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375F1" w14:textId="67F7175B" w:rsidR="0029186F" w:rsidRPr="0029186F" w:rsidRDefault="001E54F8" w:rsidP="0029186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Pr>
          <w:rFonts w:ascii="Times New Roman" w:eastAsia="Times New Roman" w:hAnsi="Times New Roman" w:cs="Times New Roman"/>
          <w:b/>
          <w:bCs/>
          <w:color w:val="000000"/>
          <w:kern w:val="36"/>
          <w:sz w:val="48"/>
          <w:szCs w:val="48"/>
          <w14:ligatures w14:val="none"/>
        </w:rPr>
        <w:t xml:space="preserve">White Paper #4:  </w:t>
      </w:r>
      <w:r w:rsidR="0029186F" w:rsidRPr="0029186F">
        <w:rPr>
          <w:rFonts w:ascii="Times New Roman" w:eastAsia="Times New Roman" w:hAnsi="Times New Roman" w:cs="Times New Roman"/>
          <w:b/>
          <w:bCs/>
          <w:color w:val="000000"/>
          <w:kern w:val="36"/>
          <w:sz w:val="48"/>
          <w:szCs w:val="48"/>
          <w14:ligatures w14:val="none"/>
        </w:rPr>
        <w:t>Propylene Glycol Fog in Industrial Applications:</w:t>
      </w:r>
    </w:p>
    <w:p w14:paraId="5960856D" w14:textId="7576825C" w:rsid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Aerosol Physics, Established Uses, and Implications for Submicron Particulate Management</w:t>
      </w:r>
    </w:p>
    <w:p w14:paraId="1F9FD235" w14:textId="7CE64151" w:rsidR="001E54F8" w:rsidRPr="0029186F" w:rsidRDefault="001E54F8"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By Cesar Collado</w:t>
      </w:r>
    </w:p>
    <w:p w14:paraId="66EB8F7F" w14:textId="77777777" w:rsidR="0029186F" w:rsidRPr="0029186F" w:rsidRDefault="0029186F" w:rsidP="0029186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9186F">
        <w:rPr>
          <w:rFonts w:ascii="Times New Roman" w:eastAsia="Times New Roman" w:hAnsi="Times New Roman" w:cs="Times New Roman"/>
          <w:b/>
          <w:bCs/>
          <w:color w:val="000000"/>
          <w:kern w:val="0"/>
          <w:sz w:val="36"/>
          <w:szCs w:val="36"/>
          <w14:ligatures w14:val="none"/>
        </w:rPr>
        <w:t>Abstract</w:t>
      </w:r>
    </w:p>
    <w:p w14:paraId="75ECE05D"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Propylene glycol (PG) fog has been widely utilized across industrial and commercial environments for airborne disinfection, dust suppression, airflow visualization, and odor control. Despite its long-standing use, the underlying aerosol physics that govern its behavior—particularly in relation to ultrafine particulate matter (&lt;0.3 µm)—remain under-integrated across disciplines. This paper reviews the physicochemical properties of PG aerosols, summarizes established industrial applications, and examines the mechanisms by which PG fog interacts with airborne particulates. Particular attention is given to Brownian motion, particle agglomeration, and size-dependent settling dynamics. The analysis identifies a critical limitation in conventional applications: the lack of integration between aerosol-mediated agglomeration and high-efficiency removal systems. The paper concludes by proposing an expanded framework in which PG fog is used not only as a delivery medium but as a </w:t>
      </w:r>
      <w:r w:rsidRPr="0029186F">
        <w:rPr>
          <w:rFonts w:ascii="Times New Roman" w:eastAsia="Times New Roman" w:hAnsi="Times New Roman" w:cs="Times New Roman"/>
          <w:b/>
          <w:bCs/>
          <w:color w:val="000000"/>
          <w:kern w:val="0"/>
          <w14:ligatures w14:val="none"/>
        </w:rPr>
        <w:t>particle-engineering tool</w:t>
      </w:r>
      <w:r w:rsidRPr="0029186F">
        <w:rPr>
          <w:rFonts w:ascii="Times New Roman" w:eastAsia="Times New Roman" w:hAnsi="Times New Roman" w:cs="Times New Roman"/>
          <w:color w:val="000000"/>
          <w:kern w:val="0"/>
          <w14:ligatures w14:val="none"/>
        </w:rPr>
        <w:t> to facilitate removal of submicron particulate matter, with implications for environmental health, post-remediation cleaning, and sensitive indoor environments.</w:t>
      </w:r>
    </w:p>
    <w:p w14:paraId="1B6838D6" w14:textId="77777777" w:rsidR="0029186F" w:rsidRPr="0029186F" w:rsidRDefault="0096232F" w:rsidP="0029186F">
      <w:pPr>
        <w:spacing w:after="0" w:line="240" w:lineRule="auto"/>
        <w:rPr>
          <w:rFonts w:ascii="Times New Roman" w:eastAsia="Times New Roman" w:hAnsi="Times New Roman" w:cs="Times New Roman"/>
          <w:kern w:val="0"/>
          <w14:ligatures w14:val="none"/>
        </w:rPr>
      </w:pPr>
      <w:r w:rsidRPr="0096232F">
        <w:rPr>
          <w:rFonts w:ascii="Times New Roman" w:eastAsia="Times New Roman" w:hAnsi="Times New Roman" w:cs="Times New Roman"/>
          <w:noProof/>
          <w:kern w:val="0"/>
        </w:rPr>
        <w:pict w14:anchorId="7A74F75E">
          <v:rect id="_x0000_i1038" alt="" style="width:468pt;height:.05pt;mso-width-percent:0;mso-height-percent:0;mso-width-percent:0;mso-height-percent:0" o:hralign="center" o:hrstd="t" o:hr="t" fillcolor="#a0a0a0" stroked="f"/>
        </w:pict>
      </w:r>
    </w:p>
    <w:p w14:paraId="0859368C" w14:textId="77777777" w:rsidR="0029186F" w:rsidRPr="0029186F" w:rsidRDefault="0029186F" w:rsidP="0029186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9186F">
        <w:rPr>
          <w:rFonts w:ascii="Times New Roman" w:eastAsia="Times New Roman" w:hAnsi="Times New Roman" w:cs="Times New Roman"/>
          <w:b/>
          <w:bCs/>
          <w:color w:val="000000"/>
          <w:kern w:val="0"/>
          <w:sz w:val="36"/>
          <w:szCs w:val="36"/>
          <w14:ligatures w14:val="none"/>
        </w:rPr>
        <w:t>1. Introduction</w:t>
      </w:r>
    </w:p>
    <w:p w14:paraId="618E534D"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Control of airborne particulate matter remains a central challenge in industrial hygiene, environmental engineering, and indoor air quality management. While filtration technologies such as high-efficiency particulate air (HEPA) systems have become standard, their efficiency is defined at a most penetrating particle size (MPPS) of approximately 0.3 µm. However, a substantial fraction of airborne particulate matter—particularly combustion-derived particles, secondary organic aerosols, and fragmented biological debris—exists below this threshold.</w:t>
      </w:r>
    </w:p>
    <w:p w14:paraId="2C1EA4E3"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Propylene glycol fog has been employed for decades in diverse applications ranging from microbial disinfection to dust suppression. Although often treated as a chemical delivery system, PG fog is fundamentally an </w:t>
      </w:r>
      <w:r w:rsidRPr="0029186F">
        <w:rPr>
          <w:rFonts w:ascii="Times New Roman" w:eastAsia="Times New Roman" w:hAnsi="Times New Roman" w:cs="Times New Roman"/>
          <w:b/>
          <w:bCs/>
          <w:color w:val="000000"/>
          <w:kern w:val="0"/>
          <w14:ligatures w14:val="none"/>
        </w:rPr>
        <w:t>aerosol system</w:t>
      </w:r>
      <w:r w:rsidRPr="0029186F">
        <w:rPr>
          <w:rFonts w:ascii="Times New Roman" w:eastAsia="Times New Roman" w:hAnsi="Times New Roman" w:cs="Times New Roman"/>
          <w:color w:val="000000"/>
          <w:kern w:val="0"/>
          <w14:ligatures w14:val="none"/>
        </w:rPr>
        <w:t> whose behavior is governed by well-established physical principles. Revisiting these principles provides insight into its potential role in managing ultrafine particulate burdens.</w:t>
      </w:r>
    </w:p>
    <w:p w14:paraId="2EA8723B" w14:textId="77777777" w:rsidR="0029186F" w:rsidRPr="0029186F" w:rsidRDefault="0096232F" w:rsidP="0029186F">
      <w:pPr>
        <w:spacing w:after="0" w:line="240" w:lineRule="auto"/>
        <w:rPr>
          <w:rFonts w:ascii="Times New Roman" w:eastAsia="Times New Roman" w:hAnsi="Times New Roman" w:cs="Times New Roman"/>
          <w:kern w:val="0"/>
          <w14:ligatures w14:val="none"/>
        </w:rPr>
      </w:pPr>
      <w:r w:rsidRPr="0096232F">
        <w:rPr>
          <w:rFonts w:ascii="Times New Roman" w:eastAsia="Times New Roman" w:hAnsi="Times New Roman" w:cs="Times New Roman"/>
          <w:noProof/>
          <w:kern w:val="0"/>
        </w:rPr>
        <w:pict w14:anchorId="7E59D533">
          <v:rect id="_x0000_i1037" alt="" style="width:468pt;height:.05pt;mso-width-percent:0;mso-height-percent:0;mso-width-percent:0;mso-height-percent:0" o:hralign="center" o:hrstd="t" o:hr="t" fillcolor="#a0a0a0" stroked="f"/>
        </w:pict>
      </w:r>
    </w:p>
    <w:p w14:paraId="0F330C24" w14:textId="77777777" w:rsidR="0029186F" w:rsidRPr="0029186F" w:rsidRDefault="0029186F" w:rsidP="0029186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9186F">
        <w:rPr>
          <w:rFonts w:ascii="Times New Roman" w:eastAsia="Times New Roman" w:hAnsi="Times New Roman" w:cs="Times New Roman"/>
          <w:b/>
          <w:bCs/>
          <w:color w:val="000000"/>
          <w:kern w:val="0"/>
          <w:sz w:val="36"/>
          <w:szCs w:val="36"/>
          <w14:ligatures w14:val="none"/>
        </w:rPr>
        <w:t>2. Physicochemical Properties of Propylene Glycol Aerosols</w:t>
      </w:r>
    </w:p>
    <w:p w14:paraId="3465783A"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Propylene glycol (C₃H₈O₂) is a hygroscopic, low-volatility diol with favorable toxicological properties, including classification as “generally recognized as safe” (GRAS) for certain uses by the U.S. Food and Drug Administration. When aerosolized via thermal or cold fogging systems, PG forms droplets typically ranging from 1–10 µm in diameter, depending on atomization conditions.</w:t>
      </w:r>
    </w:p>
    <w:p w14:paraId="33C216EC"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Key properties relevant to aerosol behavior include:</w:t>
      </w:r>
    </w:p>
    <w:p w14:paraId="37F62B02" w14:textId="77777777" w:rsidR="0029186F" w:rsidRPr="0029186F" w:rsidRDefault="0029186F" w:rsidP="0029186F">
      <w:pPr>
        <w:numPr>
          <w:ilvl w:val="0"/>
          <w:numId w:val="4"/>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b/>
          <w:bCs/>
          <w:color w:val="000000"/>
          <w:kern w:val="0"/>
          <w14:ligatures w14:val="none"/>
        </w:rPr>
        <w:t>Hygroscopicity:</w:t>
      </w:r>
      <w:r w:rsidRPr="0029186F">
        <w:rPr>
          <w:rFonts w:ascii="Times New Roman" w:eastAsia="Times New Roman" w:hAnsi="Times New Roman" w:cs="Times New Roman"/>
          <w:color w:val="000000"/>
          <w:kern w:val="0"/>
          <w14:ligatures w14:val="none"/>
        </w:rPr>
        <w:t> Ability to absorb water, influencing droplet growth and persistence</w:t>
      </w:r>
    </w:p>
    <w:p w14:paraId="79DCCC4E" w14:textId="77777777" w:rsidR="0029186F" w:rsidRPr="0029186F" w:rsidRDefault="0029186F" w:rsidP="0029186F">
      <w:pPr>
        <w:numPr>
          <w:ilvl w:val="0"/>
          <w:numId w:val="4"/>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b/>
          <w:bCs/>
          <w:color w:val="000000"/>
          <w:kern w:val="0"/>
          <w14:ligatures w14:val="none"/>
        </w:rPr>
        <w:t>Low vapor pressure:</w:t>
      </w:r>
      <w:r w:rsidRPr="0029186F">
        <w:rPr>
          <w:rFonts w:ascii="Times New Roman" w:eastAsia="Times New Roman" w:hAnsi="Times New Roman" w:cs="Times New Roman"/>
          <w:color w:val="000000"/>
          <w:kern w:val="0"/>
          <w14:ligatures w14:val="none"/>
        </w:rPr>
        <w:t> Supports sustained airborne residence time</w:t>
      </w:r>
    </w:p>
    <w:p w14:paraId="2696D1B6" w14:textId="77777777" w:rsidR="0029186F" w:rsidRPr="0029186F" w:rsidRDefault="0029186F" w:rsidP="0029186F">
      <w:pPr>
        <w:numPr>
          <w:ilvl w:val="0"/>
          <w:numId w:val="4"/>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b/>
          <w:bCs/>
          <w:color w:val="000000"/>
          <w:kern w:val="0"/>
          <w14:ligatures w14:val="none"/>
        </w:rPr>
        <w:t>Surface tension characteristics:</w:t>
      </w:r>
      <w:r w:rsidRPr="0029186F">
        <w:rPr>
          <w:rFonts w:ascii="Times New Roman" w:eastAsia="Times New Roman" w:hAnsi="Times New Roman" w:cs="Times New Roman"/>
          <w:color w:val="000000"/>
          <w:kern w:val="0"/>
          <w14:ligatures w14:val="none"/>
        </w:rPr>
        <w:t> Facilitate adhesion upon particle collision</w:t>
      </w:r>
    </w:p>
    <w:p w14:paraId="02F7F2E3"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These properties enable PG droplets to act as </w:t>
      </w:r>
      <w:r w:rsidRPr="0029186F">
        <w:rPr>
          <w:rFonts w:ascii="Times New Roman" w:eastAsia="Times New Roman" w:hAnsi="Times New Roman" w:cs="Times New Roman"/>
          <w:b/>
          <w:bCs/>
          <w:color w:val="000000"/>
          <w:kern w:val="0"/>
          <w14:ligatures w14:val="none"/>
        </w:rPr>
        <w:t>mobile collectors</w:t>
      </w:r>
      <w:r w:rsidRPr="0029186F">
        <w:rPr>
          <w:rFonts w:ascii="Times New Roman" w:eastAsia="Times New Roman" w:hAnsi="Times New Roman" w:cs="Times New Roman"/>
          <w:color w:val="000000"/>
          <w:kern w:val="0"/>
          <w14:ligatures w14:val="none"/>
        </w:rPr>
        <w:t> within an օդ aerosol field.</w:t>
      </w:r>
    </w:p>
    <w:p w14:paraId="7D2D91AE" w14:textId="77777777" w:rsidR="0029186F" w:rsidRPr="0029186F" w:rsidRDefault="0096232F" w:rsidP="0029186F">
      <w:pPr>
        <w:spacing w:after="0" w:line="240" w:lineRule="auto"/>
        <w:rPr>
          <w:rFonts w:ascii="Times New Roman" w:eastAsia="Times New Roman" w:hAnsi="Times New Roman" w:cs="Times New Roman"/>
          <w:kern w:val="0"/>
          <w14:ligatures w14:val="none"/>
        </w:rPr>
      </w:pPr>
      <w:r w:rsidRPr="0096232F">
        <w:rPr>
          <w:rFonts w:ascii="Times New Roman" w:eastAsia="Times New Roman" w:hAnsi="Times New Roman" w:cs="Times New Roman"/>
          <w:noProof/>
          <w:kern w:val="0"/>
        </w:rPr>
        <w:pict w14:anchorId="7B2BAB70">
          <v:rect id="_x0000_i1036" alt="" style="width:468pt;height:.05pt;mso-width-percent:0;mso-height-percent:0;mso-width-percent:0;mso-height-percent:0" o:hralign="center" o:hrstd="t" o:hr="t" fillcolor="#a0a0a0" stroked="f"/>
        </w:pict>
      </w:r>
    </w:p>
    <w:p w14:paraId="583AA84A" w14:textId="77777777" w:rsidR="0029186F" w:rsidRPr="0029186F" w:rsidRDefault="0029186F" w:rsidP="0029186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9186F">
        <w:rPr>
          <w:rFonts w:ascii="Times New Roman" w:eastAsia="Times New Roman" w:hAnsi="Times New Roman" w:cs="Times New Roman"/>
          <w:b/>
          <w:bCs/>
          <w:color w:val="000000"/>
          <w:kern w:val="0"/>
          <w:sz w:val="36"/>
          <w:szCs w:val="36"/>
          <w14:ligatures w14:val="none"/>
        </w:rPr>
        <w:t>3. Aerosol Physics Governing PG Fog Behavior</w:t>
      </w:r>
    </w:p>
    <w:p w14:paraId="5D56F4D3" w14:textId="77777777" w:rsidR="0029186F" w:rsidRPr="0029186F" w:rsidRDefault="0029186F" w:rsidP="0029186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9186F">
        <w:rPr>
          <w:rFonts w:ascii="Times New Roman" w:eastAsia="Times New Roman" w:hAnsi="Times New Roman" w:cs="Times New Roman"/>
          <w:b/>
          <w:bCs/>
          <w:color w:val="000000"/>
          <w:kern w:val="0"/>
          <w:sz w:val="27"/>
          <w:szCs w:val="27"/>
          <w14:ligatures w14:val="none"/>
        </w:rPr>
        <w:t>3.1 Brownian Motion and Ultrafine Particle Dynamics</w:t>
      </w:r>
    </w:p>
    <w:p w14:paraId="6BFB299A"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Particles below ~0.3 µm exhibit motion dominated by Brownian diffusion rather than gravitational settling. This phenomenon, first described by Albert Einstein and experimentally validated by Jean Perrin, results in random, high-frequency movement that increases collision probability with surrounding droplets.</w:t>
      </w:r>
    </w:p>
    <w:p w14:paraId="1D77E8D1" w14:textId="77777777" w:rsidR="0029186F" w:rsidRPr="0029186F" w:rsidRDefault="0029186F" w:rsidP="0029186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9186F">
        <w:rPr>
          <w:rFonts w:ascii="Times New Roman" w:eastAsia="Times New Roman" w:hAnsi="Times New Roman" w:cs="Times New Roman"/>
          <w:b/>
          <w:bCs/>
          <w:color w:val="000000"/>
          <w:kern w:val="0"/>
          <w:sz w:val="27"/>
          <w:szCs w:val="27"/>
          <w14:ligatures w14:val="none"/>
        </w:rPr>
        <w:t>3.2 Particle Size Distribution</w:t>
      </w:r>
    </w:p>
    <w:p w14:paraId="1C2B54BF"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Indoor and occupational environments typically exhibit an inverse relationship between particle size and number concentration. As described by William C. Hinds, particle counts increase exponentially as diameter decreases, with ultrafine particles (&lt;0.1–0.3 µm) often dominating total particle number concentrations.</w:t>
      </w:r>
    </w:p>
    <w:p w14:paraId="455EED6A" w14:textId="77777777" w:rsidR="0029186F" w:rsidRPr="0029186F" w:rsidRDefault="0029186F" w:rsidP="0029186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9186F">
        <w:rPr>
          <w:rFonts w:ascii="Times New Roman" w:eastAsia="Times New Roman" w:hAnsi="Times New Roman" w:cs="Times New Roman"/>
          <w:b/>
          <w:bCs/>
          <w:color w:val="000000"/>
          <w:kern w:val="0"/>
          <w:sz w:val="27"/>
          <w:szCs w:val="27"/>
          <w14:ligatures w14:val="none"/>
        </w:rPr>
        <w:t>3.3 Agglomeration Mechanisms</w:t>
      </w:r>
    </w:p>
    <w:p w14:paraId="65C6E707"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When aerosol droplets and particles collide, adhesion forces—including van der Waals interactions and liquid bridging—can result in agglomeration. This process increases the effective aerodynamic diameter of particles, altering their transport behavior.</w:t>
      </w:r>
    </w:p>
    <w:p w14:paraId="1A99EA7C" w14:textId="77777777" w:rsidR="0029186F" w:rsidRPr="0029186F" w:rsidRDefault="0029186F" w:rsidP="0029186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9186F">
        <w:rPr>
          <w:rFonts w:ascii="Times New Roman" w:eastAsia="Times New Roman" w:hAnsi="Times New Roman" w:cs="Times New Roman"/>
          <w:b/>
          <w:bCs/>
          <w:color w:val="000000"/>
          <w:kern w:val="0"/>
          <w:sz w:val="27"/>
          <w:szCs w:val="27"/>
          <w14:ligatures w14:val="none"/>
        </w:rPr>
        <w:t>3.4 Settling Dynamics</w:t>
      </w:r>
    </w:p>
    <w:p w14:paraId="1DC562F4"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According to classical settling theory (Stokes’ law), particle settling velocity increases with the square of particle diameter. Thus, agglomeration shifts particles from diffusion-dominated to gravity-dominated regimes, facilitating removal from the air column.</w:t>
      </w:r>
    </w:p>
    <w:p w14:paraId="3871DE31" w14:textId="77777777" w:rsidR="0029186F" w:rsidRPr="0029186F" w:rsidRDefault="0096232F" w:rsidP="0029186F">
      <w:pPr>
        <w:spacing w:after="0" w:line="240" w:lineRule="auto"/>
        <w:rPr>
          <w:rFonts w:ascii="Times New Roman" w:eastAsia="Times New Roman" w:hAnsi="Times New Roman" w:cs="Times New Roman"/>
          <w:kern w:val="0"/>
          <w14:ligatures w14:val="none"/>
        </w:rPr>
      </w:pPr>
      <w:r w:rsidRPr="0096232F">
        <w:rPr>
          <w:rFonts w:ascii="Times New Roman" w:eastAsia="Times New Roman" w:hAnsi="Times New Roman" w:cs="Times New Roman"/>
          <w:noProof/>
          <w:kern w:val="0"/>
        </w:rPr>
        <w:pict w14:anchorId="27269453">
          <v:rect id="_x0000_i1035" alt="" style="width:468pt;height:.05pt;mso-width-percent:0;mso-height-percent:0;mso-width-percent:0;mso-height-percent:0" o:hralign="center" o:hrstd="t" o:hr="t" fillcolor="#a0a0a0" stroked="f"/>
        </w:pict>
      </w:r>
    </w:p>
    <w:p w14:paraId="0365D672" w14:textId="77777777" w:rsidR="0029186F" w:rsidRPr="0029186F" w:rsidRDefault="0029186F" w:rsidP="0029186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9186F">
        <w:rPr>
          <w:rFonts w:ascii="Times New Roman" w:eastAsia="Times New Roman" w:hAnsi="Times New Roman" w:cs="Times New Roman"/>
          <w:b/>
          <w:bCs/>
          <w:color w:val="000000"/>
          <w:kern w:val="0"/>
          <w:sz w:val="36"/>
          <w:szCs w:val="36"/>
          <w14:ligatures w14:val="none"/>
        </w:rPr>
        <w:t>4. Established Industrial Applications of PG Fog</w:t>
      </w:r>
    </w:p>
    <w:p w14:paraId="74E08251" w14:textId="77777777" w:rsidR="0029186F" w:rsidRPr="0029186F" w:rsidRDefault="0029186F" w:rsidP="0029186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9186F">
        <w:rPr>
          <w:rFonts w:ascii="Times New Roman" w:eastAsia="Times New Roman" w:hAnsi="Times New Roman" w:cs="Times New Roman"/>
          <w:b/>
          <w:bCs/>
          <w:color w:val="000000"/>
          <w:kern w:val="0"/>
          <w:sz w:val="27"/>
          <w:szCs w:val="27"/>
          <w14:ligatures w14:val="none"/>
        </w:rPr>
        <w:t>4.1 Airborne Disinfection</w:t>
      </w:r>
    </w:p>
    <w:p w14:paraId="63F45263"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Early work by Theodore Puck demonstrated that aerosolized glycols possess bactericidal activity against airborne microorganisms. Subsequent applications have employed PG as a carrier for disinfectants in:</w:t>
      </w:r>
    </w:p>
    <w:p w14:paraId="2F098EA3" w14:textId="77777777" w:rsidR="0029186F" w:rsidRPr="0029186F" w:rsidRDefault="0029186F" w:rsidP="0029186F">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Healthcare environments</w:t>
      </w:r>
    </w:p>
    <w:p w14:paraId="1CB1C18F" w14:textId="77777777" w:rsidR="0029186F" w:rsidRPr="0029186F" w:rsidRDefault="0029186F" w:rsidP="0029186F">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Cleanrooms</w:t>
      </w:r>
    </w:p>
    <w:p w14:paraId="6A5B4338" w14:textId="77777777" w:rsidR="0029186F" w:rsidRPr="0029186F" w:rsidRDefault="0029186F" w:rsidP="0029186F">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HVAC sanitation systems</w:t>
      </w:r>
    </w:p>
    <w:p w14:paraId="4A2EA4FE"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These applications emphasize </w:t>
      </w:r>
      <w:r w:rsidRPr="0029186F">
        <w:rPr>
          <w:rFonts w:ascii="Times New Roman" w:eastAsia="Times New Roman" w:hAnsi="Times New Roman" w:cs="Times New Roman"/>
          <w:b/>
          <w:bCs/>
          <w:color w:val="000000"/>
          <w:kern w:val="0"/>
          <w14:ligatures w14:val="none"/>
        </w:rPr>
        <w:t>microbial inactivation</w:t>
      </w:r>
      <w:r w:rsidRPr="0029186F">
        <w:rPr>
          <w:rFonts w:ascii="Times New Roman" w:eastAsia="Times New Roman" w:hAnsi="Times New Roman" w:cs="Times New Roman"/>
          <w:color w:val="000000"/>
          <w:kern w:val="0"/>
          <w14:ligatures w14:val="none"/>
        </w:rPr>
        <w:t> rather than particulate removal.</w:t>
      </w:r>
    </w:p>
    <w:p w14:paraId="7A7C8274" w14:textId="77777777" w:rsidR="0029186F" w:rsidRPr="0029186F" w:rsidRDefault="0096232F" w:rsidP="0029186F">
      <w:pPr>
        <w:spacing w:after="0" w:line="240" w:lineRule="auto"/>
        <w:rPr>
          <w:rFonts w:ascii="Times New Roman" w:eastAsia="Times New Roman" w:hAnsi="Times New Roman" w:cs="Times New Roman"/>
          <w:kern w:val="0"/>
          <w14:ligatures w14:val="none"/>
        </w:rPr>
      </w:pPr>
      <w:r w:rsidRPr="0096232F">
        <w:rPr>
          <w:rFonts w:ascii="Times New Roman" w:eastAsia="Times New Roman" w:hAnsi="Times New Roman" w:cs="Times New Roman"/>
          <w:noProof/>
          <w:kern w:val="0"/>
        </w:rPr>
        <w:pict w14:anchorId="0DC74143">
          <v:rect id="_x0000_i1034" alt="" style="width:468pt;height:.05pt;mso-width-percent:0;mso-height-percent:0;mso-width-percent:0;mso-height-percent:0" o:hralign="center" o:hrstd="t" o:hr="t" fillcolor="#a0a0a0" stroked="f"/>
        </w:pict>
      </w:r>
    </w:p>
    <w:p w14:paraId="15A5A8B6" w14:textId="77777777" w:rsidR="0029186F" w:rsidRPr="0029186F" w:rsidRDefault="0029186F" w:rsidP="0029186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9186F">
        <w:rPr>
          <w:rFonts w:ascii="Times New Roman" w:eastAsia="Times New Roman" w:hAnsi="Times New Roman" w:cs="Times New Roman"/>
          <w:b/>
          <w:bCs/>
          <w:color w:val="000000"/>
          <w:kern w:val="0"/>
          <w:sz w:val="27"/>
          <w:szCs w:val="27"/>
          <w14:ligatures w14:val="none"/>
        </w:rPr>
        <w:t>4.2 Dust Suppression and Industrial Air Control</w:t>
      </w:r>
    </w:p>
    <w:p w14:paraId="0F45F84E"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Fogging systems are widely used in mining, construction, and manufacturing to reduce airborne dust. The mechanism involves droplet-particle collisions that increase particle mass and promote gravitational settling.</w:t>
      </w:r>
    </w:p>
    <w:p w14:paraId="0A5385EE"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While effective for coarse and fine particles (&gt;1 µm), these systems are not optimized for ultrafine particles due to differences in transport dynamics and collision efficiencies.</w:t>
      </w:r>
    </w:p>
    <w:p w14:paraId="4145BAC7" w14:textId="77777777" w:rsidR="0029186F" w:rsidRPr="0029186F" w:rsidRDefault="0096232F" w:rsidP="0029186F">
      <w:pPr>
        <w:spacing w:after="0" w:line="240" w:lineRule="auto"/>
        <w:rPr>
          <w:rFonts w:ascii="Times New Roman" w:eastAsia="Times New Roman" w:hAnsi="Times New Roman" w:cs="Times New Roman"/>
          <w:kern w:val="0"/>
          <w14:ligatures w14:val="none"/>
        </w:rPr>
      </w:pPr>
      <w:r w:rsidRPr="0096232F">
        <w:rPr>
          <w:rFonts w:ascii="Times New Roman" w:eastAsia="Times New Roman" w:hAnsi="Times New Roman" w:cs="Times New Roman"/>
          <w:noProof/>
          <w:kern w:val="0"/>
        </w:rPr>
        <w:pict w14:anchorId="1256D9D7">
          <v:rect id="_x0000_i1033" alt="" style="width:468pt;height:.05pt;mso-width-percent:0;mso-height-percent:0;mso-width-percent:0;mso-height-percent:0" o:hralign="center" o:hrstd="t" o:hr="t" fillcolor="#a0a0a0" stroked="f"/>
        </w:pict>
      </w:r>
    </w:p>
    <w:p w14:paraId="2B1B2A6D" w14:textId="77777777" w:rsidR="0029186F" w:rsidRPr="0029186F" w:rsidRDefault="0029186F" w:rsidP="0029186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9186F">
        <w:rPr>
          <w:rFonts w:ascii="Times New Roman" w:eastAsia="Times New Roman" w:hAnsi="Times New Roman" w:cs="Times New Roman"/>
          <w:b/>
          <w:bCs/>
          <w:color w:val="000000"/>
          <w:kern w:val="0"/>
          <w:sz w:val="27"/>
          <w:szCs w:val="27"/>
          <w14:ligatures w14:val="none"/>
        </w:rPr>
        <w:t>4.3 Airflow Visualization</w:t>
      </w:r>
    </w:p>
    <w:p w14:paraId="4C377209"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PG fog is routinely used to visualize airflow patterns in engineering applications, including:</w:t>
      </w:r>
    </w:p>
    <w:p w14:paraId="061EA654" w14:textId="77777777" w:rsidR="0029186F" w:rsidRPr="0029186F" w:rsidRDefault="0029186F" w:rsidP="0029186F">
      <w:pPr>
        <w:numPr>
          <w:ilvl w:val="0"/>
          <w:numId w:val="6"/>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Ventilation diagnostics</w:t>
      </w:r>
    </w:p>
    <w:p w14:paraId="60DF9CEF" w14:textId="77777777" w:rsidR="0029186F" w:rsidRPr="0029186F" w:rsidRDefault="0029186F" w:rsidP="0029186F">
      <w:pPr>
        <w:numPr>
          <w:ilvl w:val="0"/>
          <w:numId w:val="6"/>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Cleanroom validation</w:t>
      </w:r>
    </w:p>
    <w:p w14:paraId="7D947468" w14:textId="77777777" w:rsidR="0029186F" w:rsidRPr="0029186F" w:rsidRDefault="0029186F" w:rsidP="0029186F">
      <w:pPr>
        <w:numPr>
          <w:ilvl w:val="0"/>
          <w:numId w:val="6"/>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Aircraft cabin airflow studies</w:t>
      </w:r>
    </w:p>
    <w:p w14:paraId="4342B616"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Standards and practices from ASHRAE support the use of fog-based visualization for airflow assessment.</w:t>
      </w:r>
    </w:p>
    <w:p w14:paraId="71505104" w14:textId="77777777" w:rsidR="0029186F" w:rsidRPr="0029186F" w:rsidRDefault="0096232F" w:rsidP="0029186F">
      <w:pPr>
        <w:spacing w:after="0" w:line="240" w:lineRule="auto"/>
        <w:rPr>
          <w:rFonts w:ascii="Times New Roman" w:eastAsia="Times New Roman" w:hAnsi="Times New Roman" w:cs="Times New Roman"/>
          <w:kern w:val="0"/>
          <w14:ligatures w14:val="none"/>
        </w:rPr>
      </w:pPr>
      <w:r w:rsidRPr="0096232F">
        <w:rPr>
          <w:rFonts w:ascii="Times New Roman" w:eastAsia="Times New Roman" w:hAnsi="Times New Roman" w:cs="Times New Roman"/>
          <w:noProof/>
          <w:kern w:val="0"/>
        </w:rPr>
        <w:pict w14:anchorId="45A49E72">
          <v:rect id="_x0000_i1032" alt="" style="width:468pt;height:.05pt;mso-width-percent:0;mso-height-percent:0;mso-width-percent:0;mso-height-percent:0" o:hralign="center" o:hrstd="t" o:hr="t" fillcolor="#a0a0a0" stroked="f"/>
        </w:pict>
      </w:r>
    </w:p>
    <w:p w14:paraId="3140FD4A" w14:textId="77777777" w:rsidR="0029186F" w:rsidRPr="0029186F" w:rsidRDefault="0029186F" w:rsidP="0029186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9186F">
        <w:rPr>
          <w:rFonts w:ascii="Times New Roman" w:eastAsia="Times New Roman" w:hAnsi="Times New Roman" w:cs="Times New Roman"/>
          <w:b/>
          <w:bCs/>
          <w:color w:val="000000"/>
          <w:kern w:val="0"/>
          <w:sz w:val="27"/>
          <w:szCs w:val="27"/>
          <w14:ligatures w14:val="none"/>
        </w:rPr>
        <w:t>4.4 Odor Neutralization</w:t>
      </w:r>
    </w:p>
    <w:p w14:paraId="2541DCDF" w14:textId="77777777" w:rsid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In restoration and hospitality industries, PG fog serves as a carrier for deodorizing agents. This application targets volatile organic compounds and relies on distribution rather than particulate interaction.</w:t>
      </w:r>
    </w:p>
    <w:p w14:paraId="7AA0D3E1" w14:textId="77777777" w:rsidR="0029186F" w:rsidRPr="0029186F" w:rsidRDefault="0029186F" w:rsidP="0029186F">
      <w:pPr>
        <w:spacing w:before="100" w:beforeAutospacing="1" w:after="100" w:afterAutospacing="1" w:line="240" w:lineRule="auto"/>
        <w:outlineLvl w:val="1"/>
        <w:rPr>
          <w:rFonts w:ascii="Times New Roman" w:eastAsia="Times New Roman" w:hAnsi="Times New Roman" w:cs="Times New Roman"/>
          <w:b/>
          <w:bCs/>
          <w:color w:val="000000"/>
          <w:kern w:val="0"/>
          <w:sz w:val="27"/>
          <w:szCs w:val="27"/>
          <w14:ligatures w14:val="none"/>
        </w:rPr>
      </w:pPr>
      <w:r w:rsidRPr="0029186F">
        <w:rPr>
          <w:rFonts w:ascii="Times New Roman" w:eastAsia="Times New Roman" w:hAnsi="Times New Roman" w:cs="Times New Roman"/>
          <w:b/>
          <w:bCs/>
          <w:color w:val="000000"/>
          <w:kern w:val="0"/>
          <w:sz w:val="27"/>
          <w:szCs w:val="27"/>
          <w14:ligatures w14:val="none"/>
        </w:rPr>
        <w:t>4.5 Botanical Propylene Glycol Fog Formulations: Example of HavenFog (BioBalance)</w:t>
      </w:r>
    </w:p>
    <w:p w14:paraId="06ED6816"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Commercial propylene glycol fogging systems are frequently paired with proprietary formulations that incorporate botanical or plant-derived constituents. One such example is </w:t>
      </w:r>
      <w:r w:rsidRPr="0029186F">
        <w:rPr>
          <w:rFonts w:ascii="Times New Roman" w:eastAsia="Times New Roman" w:hAnsi="Times New Roman" w:cs="Times New Roman"/>
          <w:b/>
          <w:bCs/>
          <w:color w:val="000000"/>
          <w:kern w:val="0"/>
          <w14:ligatures w14:val="none"/>
        </w:rPr>
        <w:t>HavenFog</w:t>
      </w:r>
      <w:r w:rsidRPr="0029186F">
        <w:rPr>
          <w:rFonts w:ascii="Times New Roman" w:eastAsia="Times New Roman" w:hAnsi="Times New Roman" w:cs="Times New Roman"/>
          <w:color w:val="000000"/>
          <w:kern w:val="0"/>
          <w14:ligatures w14:val="none"/>
        </w:rPr>
        <w:t>, developed by BioBalance. HavenFog is designed for use in conjunction with fogging equipment to disperse a propylene glycol–based aerosol containing botanical ingredients.</w:t>
      </w:r>
    </w:p>
    <w:p w14:paraId="5CBEC585"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Publicly available materials from the manufacturer, including product documentation and educational blog content, describe HavenFog as a </w:t>
      </w:r>
      <w:r w:rsidRPr="0029186F">
        <w:rPr>
          <w:rFonts w:ascii="Times New Roman" w:eastAsia="Times New Roman" w:hAnsi="Times New Roman" w:cs="Times New Roman"/>
          <w:b/>
          <w:bCs/>
          <w:color w:val="000000"/>
          <w:kern w:val="0"/>
          <w14:ligatures w14:val="none"/>
        </w:rPr>
        <w:t>non-toxic, plant-based fogging solution intended for use in indoor environments</w:t>
      </w:r>
      <w:r w:rsidRPr="0029186F">
        <w:rPr>
          <w:rFonts w:ascii="Times New Roman" w:eastAsia="Times New Roman" w:hAnsi="Times New Roman" w:cs="Times New Roman"/>
          <w:color w:val="000000"/>
          <w:kern w:val="0"/>
          <w14:ligatures w14:val="none"/>
        </w:rPr>
        <w:t>, particularly where chemical sensitivity is a concern. These materials emphasize its use in applications involving:</w:t>
      </w:r>
    </w:p>
    <w:p w14:paraId="1DAC5BA1" w14:textId="77777777" w:rsidR="0029186F" w:rsidRPr="0029186F" w:rsidRDefault="0029186F" w:rsidP="0029186F">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Airspace treatment via fogging systems</w:t>
      </w:r>
    </w:p>
    <w:p w14:paraId="784400EF" w14:textId="77777777" w:rsidR="0029186F" w:rsidRPr="0029186F" w:rsidRDefault="0029186F" w:rsidP="0029186F">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Distribution of botanical constituents throughout enclosed environments</w:t>
      </w:r>
    </w:p>
    <w:p w14:paraId="63E4BBAC" w14:textId="77777777" w:rsidR="0029186F" w:rsidRPr="0029186F" w:rsidRDefault="0029186F" w:rsidP="0029186F">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Compatibility with residential and sensitive-use settings</w:t>
      </w:r>
    </w:p>
    <w:p w14:paraId="59009012"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(See BioBalance product literature and blog resources for detailed descriptions of formulation intent and use cases.)</w:t>
      </w:r>
    </w:p>
    <w:p w14:paraId="05A3F389"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Within the context of aerosol physics, such formulations function similarly to other PG-based fogging systems in that they:</w:t>
      </w:r>
    </w:p>
    <w:p w14:paraId="7DC27EF2" w14:textId="77777777" w:rsidR="0029186F" w:rsidRPr="0029186F" w:rsidRDefault="0029186F" w:rsidP="0029186F">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Generate aerosol droplets within a defined size distribution</w:t>
      </w:r>
    </w:p>
    <w:p w14:paraId="298D0240" w14:textId="77777777" w:rsidR="0029186F" w:rsidRPr="0029186F" w:rsidRDefault="0029186F" w:rsidP="0029186F">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Disperse through indoor air volumes based on airflow patterns</w:t>
      </w:r>
    </w:p>
    <w:p w14:paraId="219C2027" w14:textId="77777777" w:rsidR="0029186F" w:rsidRPr="0029186F" w:rsidRDefault="0029186F" w:rsidP="0029186F">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Interact with suspended particulate matter through collision and contact</w:t>
      </w:r>
    </w:p>
    <w:p w14:paraId="7D8A35E8"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It is important to note that this paper does not evaluate or make independent claims regarding antimicrobial efficacy or biological activity of any specific formulation, including HavenFog. Rather, the relevance of such products in this discussion is tied to their role as aerosol-generating media within a broader particulate management framework.</w:t>
      </w:r>
    </w:p>
    <w:p w14:paraId="3A42F8E5"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When integrated into a process that includes:</w:t>
      </w:r>
    </w:p>
    <w:p w14:paraId="36534D85" w14:textId="77777777" w:rsidR="0029186F" w:rsidRPr="0029186F" w:rsidRDefault="0029186F" w:rsidP="0029186F">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Controlled aerosol deployment</w:t>
      </w:r>
    </w:p>
    <w:p w14:paraId="34D1C979" w14:textId="77777777" w:rsidR="0029186F" w:rsidRPr="0029186F" w:rsidRDefault="0029186F" w:rsidP="0029186F">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Particle agglomeration dynamics</w:t>
      </w:r>
    </w:p>
    <w:p w14:paraId="6F2AFED8" w14:textId="77777777" w:rsidR="0029186F" w:rsidRPr="0029186F" w:rsidRDefault="0029186F" w:rsidP="0029186F">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High-efficiency removal (e.g., ULPA filtration or vacuuming)</w:t>
      </w:r>
    </w:p>
    <w:p w14:paraId="5F7FA724" w14:textId="77777777" w:rsidR="0029186F" w:rsidRPr="0029186F" w:rsidRDefault="0029186F" w:rsidP="0029186F">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Quantitative particle measurement</w:t>
      </w:r>
    </w:p>
    <w:p w14:paraId="3F3C07E4"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PG-based botanical fogging systems may contribute to the physical transformation of airborne particulate distributions, irrespective of their chemical or biological properties.</w:t>
      </w:r>
    </w:p>
    <w:p w14:paraId="7D077A4F"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This distinction is critical. The primary mechanism emphasized in this paper is not chemical inactivation, but rather:</w:t>
      </w:r>
    </w:p>
    <w:p w14:paraId="22EC29A7"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the use of aerosolized droplets as a medium for increasing collision frequency and</w:t>
      </w:r>
      <w:r w:rsidRPr="0029186F">
        <w:rPr>
          <w:rFonts w:ascii="Times New Roman" w:eastAsia="Times New Roman" w:hAnsi="Times New Roman" w:cs="Times New Roman"/>
          <w:b/>
          <w:bCs/>
          <w:color w:val="000000"/>
          <w:kern w:val="0"/>
          <w14:ligatures w14:val="none"/>
        </w:rPr>
        <w:t xml:space="preserve"> </w:t>
      </w:r>
      <w:r w:rsidRPr="0029186F">
        <w:rPr>
          <w:rFonts w:ascii="Times New Roman" w:eastAsia="Times New Roman" w:hAnsi="Times New Roman" w:cs="Times New Roman"/>
          <w:color w:val="000000"/>
          <w:kern w:val="0"/>
          <w14:ligatures w14:val="none"/>
        </w:rPr>
        <w:t>facilitating the transition of ultrafine particles into removable size ranges.</w:t>
      </w:r>
    </w:p>
    <w:p w14:paraId="5906B65F"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As such, products like HavenFog can be understood within this framework as delivery platforms for aerosol generation, whose ultimate impact depends on how they are integrated into a complete, physics-based particulate control strategy.</w:t>
      </w:r>
    </w:p>
    <w:p w14:paraId="258B5E42" w14:textId="078404D2" w:rsidR="0029186F" w:rsidRPr="0029186F" w:rsidRDefault="0096232F" w:rsidP="0029186F">
      <w:pPr>
        <w:spacing w:after="0" w:line="240" w:lineRule="auto"/>
        <w:rPr>
          <w:rFonts w:ascii="Times New Roman" w:eastAsia="Times New Roman" w:hAnsi="Times New Roman" w:cs="Times New Roman"/>
          <w:kern w:val="0"/>
          <w14:ligatures w14:val="none"/>
        </w:rPr>
      </w:pPr>
      <w:r w:rsidRPr="0096232F">
        <w:rPr>
          <w:rFonts w:ascii="Times New Roman" w:eastAsia="Times New Roman" w:hAnsi="Times New Roman" w:cs="Times New Roman"/>
          <w:noProof/>
          <w:kern w:val="0"/>
        </w:rPr>
        <w:pict w14:anchorId="345485E0">
          <v:rect id="_x0000_i1031" alt="" style="width:468pt;height:.05pt;mso-width-percent:0;mso-height-percent:0;mso-width-percent:0;mso-height-percent:0" o:hralign="center" o:hrstd="t" o:hr="t" fillcolor="#a0a0a0" stroked="f"/>
        </w:pict>
      </w:r>
      <w:r w:rsidR="0029186F" w:rsidRPr="0029186F">
        <w:rPr>
          <w:rFonts w:ascii="Times New Roman" w:eastAsia="Times New Roman" w:hAnsi="Times New Roman" w:cs="Times New Roman"/>
          <w:color w:val="000000"/>
          <w:kern w:val="0"/>
          <w14:ligatures w14:val="none"/>
        </w:rPr>
        <w:t>Product descriptions referenced from manufacturer-provided materials. No independent verification of efficacy claims was conducted as part of this review.</w:t>
      </w:r>
    </w:p>
    <w:p w14:paraId="46FD332B"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p>
    <w:p w14:paraId="6AC31A72" w14:textId="77777777" w:rsidR="0029186F" w:rsidRPr="0029186F" w:rsidRDefault="0096232F" w:rsidP="0029186F">
      <w:pPr>
        <w:spacing w:after="0" w:line="240" w:lineRule="auto"/>
        <w:rPr>
          <w:rFonts w:ascii="Times New Roman" w:eastAsia="Times New Roman" w:hAnsi="Times New Roman" w:cs="Times New Roman"/>
          <w:kern w:val="0"/>
          <w14:ligatures w14:val="none"/>
        </w:rPr>
      </w:pPr>
      <w:r w:rsidRPr="0096232F">
        <w:rPr>
          <w:rFonts w:ascii="Times New Roman" w:eastAsia="Times New Roman" w:hAnsi="Times New Roman" w:cs="Times New Roman"/>
          <w:noProof/>
          <w:kern w:val="0"/>
        </w:rPr>
        <w:pict w14:anchorId="0062E18D">
          <v:rect id="_x0000_i1030" alt="" style="width:468pt;height:.05pt;mso-width-percent:0;mso-height-percent:0;mso-width-percent:0;mso-height-percent:0" o:hralign="center" o:hrstd="t" o:hr="t" fillcolor="#a0a0a0" stroked="f"/>
        </w:pict>
      </w:r>
    </w:p>
    <w:p w14:paraId="59DA7389" w14:textId="77777777" w:rsidR="0029186F" w:rsidRPr="0029186F" w:rsidRDefault="0029186F" w:rsidP="0029186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9186F">
        <w:rPr>
          <w:rFonts w:ascii="Times New Roman" w:eastAsia="Times New Roman" w:hAnsi="Times New Roman" w:cs="Times New Roman"/>
          <w:b/>
          <w:bCs/>
          <w:color w:val="000000"/>
          <w:kern w:val="0"/>
          <w:sz w:val="36"/>
          <w:szCs w:val="36"/>
          <w14:ligatures w14:val="none"/>
        </w:rPr>
        <w:t>5. Limitations of Conventional PG Fog Applications</w:t>
      </w:r>
    </w:p>
    <w:p w14:paraId="2C8F2CBB"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Despite broad adoption, existing implementations exhibit several limitations:</w:t>
      </w:r>
    </w:p>
    <w:p w14:paraId="0BB3D33C" w14:textId="77777777" w:rsidR="0029186F" w:rsidRPr="0029186F" w:rsidRDefault="0029186F" w:rsidP="0029186F">
      <w:pPr>
        <w:numPr>
          <w:ilvl w:val="0"/>
          <w:numId w:val="7"/>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b/>
          <w:bCs/>
          <w:color w:val="000000"/>
          <w:kern w:val="0"/>
          <w14:ligatures w14:val="none"/>
        </w:rPr>
        <w:t>Focus on delivery rather than removal</w:t>
      </w:r>
    </w:p>
    <w:p w14:paraId="0CBB5B59" w14:textId="77777777" w:rsidR="0029186F" w:rsidRPr="0029186F" w:rsidRDefault="0029186F" w:rsidP="0029186F">
      <w:pPr>
        <w:numPr>
          <w:ilvl w:val="0"/>
          <w:numId w:val="7"/>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Optimization for </w:t>
      </w:r>
      <w:r w:rsidRPr="0029186F">
        <w:rPr>
          <w:rFonts w:ascii="Times New Roman" w:eastAsia="Times New Roman" w:hAnsi="Times New Roman" w:cs="Times New Roman"/>
          <w:b/>
          <w:bCs/>
          <w:color w:val="000000"/>
          <w:kern w:val="0"/>
          <w14:ligatures w14:val="none"/>
        </w:rPr>
        <w:t>larger particle fractions (&gt;1 µm)</w:t>
      </w:r>
    </w:p>
    <w:p w14:paraId="0AAC21CE" w14:textId="77777777" w:rsidR="0029186F" w:rsidRPr="0029186F" w:rsidRDefault="0029186F" w:rsidP="0029186F">
      <w:pPr>
        <w:numPr>
          <w:ilvl w:val="0"/>
          <w:numId w:val="7"/>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Lack of integration with </w:t>
      </w:r>
      <w:r w:rsidRPr="0029186F">
        <w:rPr>
          <w:rFonts w:ascii="Times New Roman" w:eastAsia="Times New Roman" w:hAnsi="Times New Roman" w:cs="Times New Roman"/>
          <w:b/>
          <w:bCs/>
          <w:color w:val="000000"/>
          <w:kern w:val="0"/>
          <w14:ligatures w14:val="none"/>
        </w:rPr>
        <w:t>high-efficiency filtration systems</w:t>
      </w:r>
    </w:p>
    <w:p w14:paraId="08997F5B" w14:textId="77777777" w:rsidR="0029186F" w:rsidRPr="0029186F" w:rsidRDefault="0029186F" w:rsidP="0029186F">
      <w:pPr>
        <w:numPr>
          <w:ilvl w:val="0"/>
          <w:numId w:val="7"/>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Absence of </w:t>
      </w:r>
      <w:r w:rsidRPr="0029186F">
        <w:rPr>
          <w:rFonts w:ascii="Times New Roman" w:eastAsia="Times New Roman" w:hAnsi="Times New Roman" w:cs="Times New Roman"/>
          <w:b/>
          <w:bCs/>
          <w:color w:val="000000"/>
          <w:kern w:val="0"/>
          <w14:ligatures w14:val="none"/>
        </w:rPr>
        <w:t>quantitative verification protocols</w:t>
      </w:r>
    </w:p>
    <w:p w14:paraId="03B77D49"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Consequently, fogging alone may result in </w:t>
      </w:r>
      <w:r w:rsidRPr="0029186F">
        <w:rPr>
          <w:rFonts w:ascii="Times New Roman" w:eastAsia="Times New Roman" w:hAnsi="Times New Roman" w:cs="Times New Roman"/>
          <w:b/>
          <w:bCs/>
          <w:color w:val="000000"/>
          <w:kern w:val="0"/>
          <w14:ligatures w14:val="none"/>
        </w:rPr>
        <w:t>temporary redistribution</w:t>
      </w:r>
      <w:r w:rsidRPr="0029186F">
        <w:rPr>
          <w:rFonts w:ascii="Times New Roman" w:eastAsia="Times New Roman" w:hAnsi="Times New Roman" w:cs="Times New Roman"/>
          <w:color w:val="000000"/>
          <w:kern w:val="0"/>
          <w14:ligatures w14:val="none"/>
        </w:rPr>
        <w:t> of particulates rather than sustained reduction.</w:t>
      </w:r>
    </w:p>
    <w:p w14:paraId="314E07FA" w14:textId="77777777" w:rsidR="0029186F" w:rsidRPr="0029186F" w:rsidRDefault="0096232F" w:rsidP="0029186F">
      <w:pPr>
        <w:spacing w:after="0" w:line="240" w:lineRule="auto"/>
        <w:rPr>
          <w:rFonts w:ascii="Times New Roman" w:eastAsia="Times New Roman" w:hAnsi="Times New Roman" w:cs="Times New Roman"/>
          <w:kern w:val="0"/>
          <w14:ligatures w14:val="none"/>
        </w:rPr>
      </w:pPr>
      <w:r w:rsidRPr="0096232F">
        <w:rPr>
          <w:rFonts w:ascii="Times New Roman" w:eastAsia="Times New Roman" w:hAnsi="Times New Roman" w:cs="Times New Roman"/>
          <w:noProof/>
          <w:kern w:val="0"/>
        </w:rPr>
        <w:pict w14:anchorId="1578422B">
          <v:rect id="_x0000_i1029" alt="" style="width:468pt;height:.05pt;mso-width-percent:0;mso-height-percent:0;mso-width-percent:0;mso-height-percent:0" o:hralign="center" o:hrstd="t" o:hr="t" fillcolor="#a0a0a0" stroked="f"/>
        </w:pict>
      </w:r>
    </w:p>
    <w:p w14:paraId="1994CCFA" w14:textId="77777777" w:rsidR="0029186F" w:rsidRPr="0029186F" w:rsidRDefault="0029186F" w:rsidP="0029186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9186F">
        <w:rPr>
          <w:rFonts w:ascii="Times New Roman" w:eastAsia="Times New Roman" w:hAnsi="Times New Roman" w:cs="Times New Roman"/>
          <w:b/>
          <w:bCs/>
          <w:color w:val="000000"/>
          <w:kern w:val="0"/>
          <w:sz w:val="36"/>
          <w:szCs w:val="36"/>
          <w14:ligatures w14:val="none"/>
        </w:rPr>
        <w:t>6. Implications for Submicron Particulate Management</w:t>
      </w:r>
    </w:p>
    <w:p w14:paraId="7C884D69"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The convergence of aerosol physics and PG fog properties suggests an expanded application framework.</w:t>
      </w:r>
    </w:p>
    <w:p w14:paraId="140EB700"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When deployed intentionally:</w:t>
      </w:r>
    </w:p>
    <w:p w14:paraId="138F263D" w14:textId="77777777" w:rsidR="0029186F" w:rsidRPr="0029186F" w:rsidRDefault="0029186F" w:rsidP="0029186F">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PG droplets increase collision frequency with ultrafine particles</w:t>
      </w:r>
    </w:p>
    <w:p w14:paraId="75BA9E37" w14:textId="77777777" w:rsidR="0029186F" w:rsidRPr="0029186F" w:rsidRDefault="0029186F" w:rsidP="0029186F">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Agglomeration increases particle size and mass</w:t>
      </w:r>
    </w:p>
    <w:p w14:paraId="13549CB1" w14:textId="77777777" w:rsidR="0029186F" w:rsidRPr="0029186F" w:rsidRDefault="0029186F" w:rsidP="0029186F">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Particles transition into a regime amenable to removal via </w:t>
      </w:r>
      <w:r w:rsidRPr="0029186F">
        <w:rPr>
          <w:rFonts w:ascii="Times New Roman" w:eastAsia="Times New Roman" w:hAnsi="Times New Roman" w:cs="Times New Roman"/>
          <w:b/>
          <w:bCs/>
          <w:color w:val="000000"/>
          <w:kern w:val="0"/>
          <w14:ligatures w14:val="none"/>
        </w:rPr>
        <w:t>ULPA filtration (~0.12 µm)</w:t>
      </w:r>
    </w:p>
    <w:p w14:paraId="300BFDC1"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This approach represents a shift from:</w:t>
      </w:r>
    </w:p>
    <w:p w14:paraId="5712AB94" w14:textId="77777777" w:rsidR="0029186F" w:rsidRPr="0029186F" w:rsidRDefault="0029186F" w:rsidP="0029186F">
      <w:pPr>
        <w:numPr>
          <w:ilvl w:val="0"/>
          <w:numId w:val="9"/>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b/>
          <w:bCs/>
          <w:color w:val="000000"/>
          <w:kern w:val="0"/>
          <w14:ligatures w14:val="none"/>
        </w:rPr>
        <w:t>Chemical treatment paradigms</w:t>
      </w:r>
      <w:r w:rsidRPr="0029186F">
        <w:rPr>
          <w:rFonts w:ascii="Times New Roman" w:eastAsia="Times New Roman" w:hAnsi="Times New Roman" w:cs="Times New Roman"/>
          <w:color w:val="000000"/>
          <w:kern w:val="0"/>
          <w14:ligatures w14:val="none"/>
        </w:rPr>
        <w:br/>
        <w:t>to</w:t>
      </w:r>
    </w:p>
    <w:p w14:paraId="024D3E23" w14:textId="77777777" w:rsidR="0029186F" w:rsidRPr="0029186F" w:rsidRDefault="0029186F" w:rsidP="0029186F">
      <w:pPr>
        <w:numPr>
          <w:ilvl w:val="0"/>
          <w:numId w:val="9"/>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b/>
          <w:bCs/>
          <w:color w:val="000000"/>
          <w:kern w:val="0"/>
          <w14:ligatures w14:val="none"/>
        </w:rPr>
        <w:t>physics-based particulate engineering</w:t>
      </w:r>
    </w:p>
    <w:p w14:paraId="6855715F"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Integration with high-efficiency removal systems and particle measurement technologies enables a </w:t>
      </w:r>
      <w:r w:rsidRPr="0029186F">
        <w:rPr>
          <w:rFonts w:ascii="Times New Roman" w:eastAsia="Times New Roman" w:hAnsi="Times New Roman" w:cs="Times New Roman"/>
          <w:b/>
          <w:bCs/>
          <w:color w:val="000000"/>
          <w:kern w:val="0"/>
          <w14:ligatures w14:val="none"/>
        </w:rPr>
        <w:t>closed-loop process</w:t>
      </w:r>
      <w:r w:rsidRPr="0029186F">
        <w:rPr>
          <w:rFonts w:ascii="Times New Roman" w:eastAsia="Times New Roman" w:hAnsi="Times New Roman" w:cs="Times New Roman"/>
          <w:color w:val="000000"/>
          <w:kern w:val="0"/>
          <w14:ligatures w14:val="none"/>
        </w:rPr>
        <w:t>:</w:t>
      </w:r>
    </w:p>
    <w:p w14:paraId="30EB2D3F" w14:textId="77777777" w:rsidR="0029186F" w:rsidRPr="0029186F" w:rsidRDefault="0029186F" w:rsidP="0029186F">
      <w:pPr>
        <w:numPr>
          <w:ilvl w:val="0"/>
          <w:numId w:val="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Baseline particle characterization</w:t>
      </w:r>
    </w:p>
    <w:p w14:paraId="49338B4D" w14:textId="77777777" w:rsidR="0029186F" w:rsidRPr="0029186F" w:rsidRDefault="0029186F" w:rsidP="0029186F">
      <w:pPr>
        <w:numPr>
          <w:ilvl w:val="0"/>
          <w:numId w:val="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Aerosol-mediated agglomeration</w:t>
      </w:r>
    </w:p>
    <w:p w14:paraId="5973D267" w14:textId="77777777" w:rsidR="0029186F" w:rsidRPr="0029186F" w:rsidRDefault="0029186F" w:rsidP="0029186F">
      <w:pPr>
        <w:numPr>
          <w:ilvl w:val="0"/>
          <w:numId w:val="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Mechanical removal</w:t>
      </w:r>
    </w:p>
    <w:p w14:paraId="4B5B938E" w14:textId="77777777" w:rsidR="0029186F" w:rsidRPr="0029186F" w:rsidRDefault="0029186F" w:rsidP="0029186F">
      <w:pPr>
        <w:numPr>
          <w:ilvl w:val="0"/>
          <w:numId w:val="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Post-process verification</w:t>
      </w:r>
    </w:p>
    <w:p w14:paraId="13389C22" w14:textId="77777777" w:rsidR="0029186F" w:rsidRPr="0029186F" w:rsidRDefault="0096232F" w:rsidP="0029186F">
      <w:pPr>
        <w:spacing w:after="0" w:line="240" w:lineRule="auto"/>
        <w:rPr>
          <w:rFonts w:ascii="Times New Roman" w:eastAsia="Times New Roman" w:hAnsi="Times New Roman" w:cs="Times New Roman"/>
          <w:kern w:val="0"/>
          <w14:ligatures w14:val="none"/>
        </w:rPr>
      </w:pPr>
      <w:r w:rsidRPr="0096232F">
        <w:rPr>
          <w:rFonts w:ascii="Times New Roman" w:eastAsia="Times New Roman" w:hAnsi="Times New Roman" w:cs="Times New Roman"/>
          <w:noProof/>
          <w:kern w:val="0"/>
        </w:rPr>
        <w:pict w14:anchorId="19610CEF">
          <v:rect id="_x0000_i1028" alt="" style="width:468pt;height:.05pt;mso-width-percent:0;mso-height-percent:0;mso-width-percent:0;mso-height-percent:0" o:hralign="center" o:hrstd="t" o:hr="t" fillcolor="#a0a0a0" stroked="f"/>
        </w:pict>
      </w:r>
    </w:p>
    <w:p w14:paraId="7DCA8D41" w14:textId="77777777" w:rsidR="0029186F" w:rsidRPr="0029186F" w:rsidRDefault="0029186F" w:rsidP="0029186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9186F">
        <w:rPr>
          <w:rFonts w:ascii="Times New Roman" w:eastAsia="Times New Roman" w:hAnsi="Times New Roman" w:cs="Times New Roman"/>
          <w:b/>
          <w:bCs/>
          <w:color w:val="000000"/>
          <w:kern w:val="0"/>
          <w:sz w:val="36"/>
          <w:szCs w:val="36"/>
          <w14:ligatures w14:val="none"/>
        </w:rPr>
        <w:t>7. Discussion</w:t>
      </w:r>
    </w:p>
    <w:p w14:paraId="5E99ECB3"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The disconnect between aerosol science and applied industrial practices has limited the evolution of fogging technologies. While dust suppression systems implicitly leverage agglomeration, they have not been extended to address ultrafine particle regimes, which are increasingly recognized as relevant to human health.</w:t>
      </w:r>
    </w:p>
    <w:p w14:paraId="521A730E"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Emerging research on nanoparticle exposure indicates that ultrafine particles can penetrate deep lung regions, translocate into systemic circulation, and potentially reach the central nervous system (Oberdörster et al., 2005). These findings underscore the need for control strategies that extend beyond traditional filtration thresholds.</w:t>
      </w:r>
    </w:p>
    <w:p w14:paraId="5BBCCCBB"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By reframing PG fog as a </w:t>
      </w:r>
      <w:r w:rsidRPr="0029186F">
        <w:rPr>
          <w:rFonts w:ascii="Times New Roman" w:eastAsia="Times New Roman" w:hAnsi="Times New Roman" w:cs="Times New Roman"/>
          <w:b/>
          <w:bCs/>
          <w:color w:val="000000"/>
          <w:kern w:val="0"/>
          <w14:ligatures w14:val="none"/>
        </w:rPr>
        <w:t>particle interaction medium</w:t>
      </w:r>
      <w:r w:rsidRPr="0029186F">
        <w:rPr>
          <w:rFonts w:ascii="Times New Roman" w:eastAsia="Times New Roman" w:hAnsi="Times New Roman" w:cs="Times New Roman"/>
          <w:color w:val="000000"/>
          <w:kern w:val="0"/>
          <w14:ligatures w14:val="none"/>
        </w:rPr>
        <w:t>, rather than solely a delivery vehicle, it becomes possible to address a broader spectrum of airborne contaminants, including fragmented biological material and submicron debris.</w:t>
      </w:r>
    </w:p>
    <w:p w14:paraId="75070A4E" w14:textId="77777777" w:rsidR="0029186F" w:rsidRPr="0029186F" w:rsidRDefault="0096232F" w:rsidP="0029186F">
      <w:pPr>
        <w:spacing w:after="0" w:line="240" w:lineRule="auto"/>
        <w:rPr>
          <w:rFonts w:ascii="Times New Roman" w:eastAsia="Times New Roman" w:hAnsi="Times New Roman" w:cs="Times New Roman"/>
          <w:kern w:val="0"/>
          <w14:ligatures w14:val="none"/>
        </w:rPr>
      </w:pPr>
      <w:r w:rsidRPr="0096232F">
        <w:rPr>
          <w:rFonts w:ascii="Times New Roman" w:eastAsia="Times New Roman" w:hAnsi="Times New Roman" w:cs="Times New Roman"/>
          <w:noProof/>
          <w:kern w:val="0"/>
        </w:rPr>
        <w:pict w14:anchorId="7BF89F21">
          <v:rect id="_x0000_i1027" alt="" style="width:468pt;height:.05pt;mso-width-percent:0;mso-height-percent:0;mso-width-percent:0;mso-height-percent:0" o:hralign="center" o:hrstd="t" o:hr="t" fillcolor="#a0a0a0" stroked="f"/>
        </w:pict>
      </w:r>
    </w:p>
    <w:p w14:paraId="2A235384" w14:textId="77777777" w:rsidR="0029186F" w:rsidRPr="0029186F" w:rsidRDefault="0029186F" w:rsidP="0029186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9186F">
        <w:rPr>
          <w:rFonts w:ascii="Times New Roman" w:eastAsia="Times New Roman" w:hAnsi="Times New Roman" w:cs="Times New Roman"/>
          <w:b/>
          <w:bCs/>
          <w:color w:val="000000"/>
          <w:kern w:val="0"/>
          <w:sz w:val="36"/>
          <w:szCs w:val="36"/>
          <w14:ligatures w14:val="none"/>
        </w:rPr>
        <w:t>8. Conclusion</w:t>
      </w:r>
    </w:p>
    <w:p w14:paraId="2847A820"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Propylene glycol fog is a mature technology with well-established industrial applications. However, its full potential has not been realized due to fragmented understanding across disciplines.</w:t>
      </w:r>
    </w:p>
    <w:p w14:paraId="60099DCD"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This review demonstrates that:</w:t>
      </w:r>
    </w:p>
    <w:p w14:paraId="6BF7BAEE" w14:textId="77777777" w:rsidR="0029186F" w:rsidRPr="0029186F" w:rsidRDefault="0029186F" w:rsidP="0029186F">
      <w:pPr>
        <w:numPr>
          <w:ilvl w:val="0"/>
          <w:numId w:val="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PG fog operates within a robust framework of aerosol physics</w:t>
      </w:r>
    </w:p>
    <w:p w14:paraId="19CB2729" w14:textId="77777777" w:rsidR="0029186F" w:rsidRPr="0029186F" w:rsidRDefault="0029186F" w:rsidP="0029186F">
      <w:pPr>
        <w:numPr>
          <w:ilvl w:val="0"/>
          <w:numId w:val="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Its interaction with airborne particles can be intentionally leveraged</w:t>
      </w:r>
    </w:p>
    <w:p w14:paraId="21AA1C8C" w14:textId="77777777" w:rsidR="0029186F" w:rsidRPr="0029186F" w:rsidRDefault="0029186F" w:rsidP="0029186F">
      <w:pPr>
        <w:numPr>
          <w:ilvl w:val="0"/>
          <w:numId w:val="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Integration with high-efficiency removal systems enables control of ultrafine particulate matter</w:t>
      </w:r>
    </w:p>
    <w:p w14:paraId="1615F9BC"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Future work should focus on:</w:t>
      </w:r>
    </w:p>
    <w:p w14:paraId="641A50BA" w14:textId="77777777" w:rsidR="0029186F" w:rsidRPr="0029186F" w:rsidRDefault="0029186F" w:rsidP="0029186F">
      <w:pPr>
        <w:numPr>
          <w:ilvl w:val="0"/>
          <w:numId w:val="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Quantitative characterization of agglomeration efficiency in submicron ranges</w:t>
      </w:r>
    </w:p>
    <w:p w14:paraId="6097C895" w14:textId="77777777" w:rsidR="0029186F" w:rsidRPr="0029186F" w:rsidRDefault="0029186F" w:rsidP="0029186F">
      <w:pPr>
        <w:numPr>
          <w:ilvl w:val="0"/>
          <w:numId w:val="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Standardization of combined fogging-filtration protocols</w:t>
      </w:r>
    </w:p>
    <w:p w14:paraId="39F6F43D" w14:textId="77777777" w:rsidR="0029186F" w:rsidRPr="0029186F" w:rsidRDefault="0029186F" w:rsidP="0029186F">
      <w:pPr>
        <w:numPr>
          <w:ilvl w:val="0"/>
          <w:numId w:val="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Clinical and environmental outcome studies</w:t>
      </w:r>
    </w:p>
    <w:p w14:paraId="5204A884" w14:textId="77777777" w:rsidR="0029186F" w:rsidRPr="0029186F" w:rsidRDefault="0029186F" w:rsidP="0029186F">
      <w:p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Such efforts may position PG fog as a central tool in next-generation air quality engineering.</w:t>
      </w:r>
    </w:p>
    <w:p w14:paraId="17C1C06C" w14:textId="77777777" w:rsidR="0029186F" w:rsidRPr="0029186F" w:rsidRDefault="0096232F" w:rsidP="0029186F">
      <w:pPr>
        <w:spacing w:after="0" w:line="240" w:lineRule="auto"/>
        <w:rPr>
          <w:rFonts w:ascii="Times New Roman" w:eastAsia="Times New Roman" w:hAnsi="Times New Roman" w:cs="Times New Roman"/>
          <w:kern w:val="0"/>
          <w14:ligatures w14:val="none"/>
        </w:rPr>
      </w:pPr>
      <w:r w:rsidRPr="0096232F">
        <w:rPr>
          <w:rFonts w:ascii="Times New Roman" w:eastAsia="Times New Roman" w:hAnsi="Times New Roman" w:cs="Times New Roman"/>
          <w:noProof/>
          <w:kern w:val="0"/>
        </w:rPr>
        <w:pict w14:anchorId="4EF102B4">
          <v:rect id="_x0000_i1026" alt="" style="width:468pt;height:.05pt;mso-width-percent:0;mso-height-percent:0;mso-width-percent:0;mso-height-percent:0" o:hralign="center" o:hrstd="t" o:hr="t" fillcolor="#a0a0a0" stroked="f"/>
        </w:pict>
      </w:r>
    </w:p>
    <w:p w14:paraId="7EFFBB5C" w14:textId="77777777" w:rsidR="0029186F" w:rsidRPr="0029186F" w:rsidRDefault="0029186F" w:rsidP="0029186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9186F">
        <w:rPr>
          <w:rFonts w:ascii="Times New Roman" w:eastAsia="Times New Roman" w:hAnsi="Times New Roman" w:cs="Times New Roman"/>
          <w:b/>
          <w:bCs/>
          <w:color w:val="000000"/>
          <w:kern w:val="0"/>
          <w:sz w:val="36"/>
          <w:szCs w:val="36"/>
          <w14:ligatures w14:val="none"/>
        </w:rPr>
        <w:t>References</w:t>
      </w:r>
    </w:p>
    <w:p w14:paraId="33C3A73E" w14:textId="77777777" w:rsidR="0029186F" w:rsidRPr="0029186F" w:rsidRDefault="0029186F" w:rsidP="0029186F">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Einstein, A. (1905). On the motion of small particles suspended in liquids. </w:t>
      </w:r>
      <w:r w:rsidRPr="0029186F">
        <w:rPr>
          <w:rFonts w:ascii="Times New Roman" w:eastAsia="Times New Roman" w:hAnsi="Times New Roman" w:cs="Times New Roman"/>
          <w:i/>
          <w:iCs/>
          <w:color w:val="000000"/>
          <w:kern w:val="0"/>
          <w14:ligatures w14:val="none"/>
        </w:rPr>
        <w:t>Annalen der Physik</w:t>
      </w:r>
      <w:r w:rsidRPr="0029186F">
        <w:rPr>
          <w:rFonts w:ascii="Times New Roman" w:eastAsia="Times New Roman" w:hAnsi="Times New Roman" w:cs="Times New Roman"/>
          <w:color w:val="000000"/>
          <w:kern w:val="0"/>
          <w14:ligatures w14:val="none"/>
        </w:rPr>
        <w:t>.</w:t>
      </w:r>
    </w:p>
    <w:p w14:paraId="73F3C1DF" w14:textId="77777777" w:rsidR="0029186F" w:rsidRPr="0029186F" w:rsidRDefault="0029186F" w:rsidP="0029186F">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Hinds, W. C. (1999). </w:t>
      </w:r>
      <w:r w:rsidRPr="0029186F">
        <w:rPr>
          <w:rFonts w:ascii="Times New Roman" w:eastAsia="Times New Roman" w:hAnsi="Times New Roman" w:cs="Times New Roman"/>
          <w:i/>
          <w:iCs/>
          <w:color w:val="000000"/>
          <w:kern w:val="0"/>
          <w14:ligatures w14:val="none"/>
        </w:rPr>
        <w:t>Aerosol Technology: Properties, Behavior, and Measurement of Airborne Particles</w:t>
      </w:r>
      <w:r w:rsidRPr="0029186F">
        <w:rPr>
          <w:rFonts w:ascii="Times New Roman" w:eastAsia="Times New Roman" w:hAnsi="Times New Roman" w:cs="Times New Roman"/>
          <w:color w:val="000000"/>
          <w:kern w:val="0"/>
          <w14:ligatures w14:val="none"/>
        </w:rPr>
        <w:t>. Wiley.</w:t>
      </w:r>
    </w:p>
    <w:p w14:paraId="69618BBC" w14:textId="77777777" w:rsidR="0029186F" w:rsidRPr="0029186F" w:rsidRDefault="0029186F" w:rsidP="0029186F">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Oberdörster, G., Oberdörster, E., &amp; Oberdörster, J. (2005). Nanotoxicology: An emerging discipline. </w:t>
      </w:r>
      <w:r w:rsidRPr="0029186F">
        <w:rPr>
          <w:rFonts w:ascii="Times New Roman" w:eastAsia="Times New Roman" w:hAnsi="Times New Roman" w:cs="Times New Roman"/>
          <w:i/>
          <w:iCs/>
          <w:color w:val="000000"/>
          <w:kern w:val="0"/>
          <w14:ligatures w14:val="none"/>
        </w:rPr>
        <w:t>Environmental Health Perspectives</w:t>
      </w:r>
      <w:r w:rsidRPr="0029186F">
        <w:rPr>
          <w:rFonts w:ascii="Times New Roman" w:eastAsia="Times New Roman" w:hAnsi="Times New Roman" w:cs="Times New Roman"/>
          <w:color w:val="000000"/>
          <w:kern w:val="0"/>
          <w14:ligatures w14:val="none"/>
        </w:rPr>
        <w:t>, 113(7), 823–839.</w:t>
      </w:r>
    </w:p>
    <w:p w14:paraId="5E3A9193" w14:textId="77777777" w:rsidR="0029186F" w:rsidRPr="0029186F" w:rsidRDefault="0029186F" w:rsidP="0029186F">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Perrin, J. (1913). </w:t>
      </w:r>
      <w:r w:rsidRPr="0029186F">
        <w:rPr>
          <w:rFonts w:ascii="Times New Roman" w:eastAsia="Times New Roman" w:hAnsi="Times New Roman" w:cs="Times New Roman"/>
          <w:i/>
          <w:iCs/>
          <w:color w:val="000000"/>
          <w:kern w:val="0"/>
          <w14:ligatures w14:val="none"/>
        </w:rPr>
        <w:t>Atoms</w:t>
      </w:r>
      <w:r w:rsidRPr="0029186F">
        <w:rPr>
          <w:rFonts w:ascii="Times New Roman" w:eastAsia="Times New Roman" w:hAnsi="Times New Roman" w:cs="Times New Roman"/>
          <w:color w:val="000000"/>
          <w:kern w:val="0"/>
          <w14:ligatures w14:val="none"/>
        </w:rPr>
        <w:t>.</w:t>
      </w:r>
    </w:p>
    <w:p w14:paraId="07EF8BEC" w14:textId="77777777" w:rsidR="0029186F" w:rsidRPr="0029186F" w:rsidRDefault="0029186F" w:rsidP="0029186F">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Puck, T. T., Robertson, O. H., &amp; Lemon, H. M. (1947). The bactericidal action of propylene glycol vapor on microorganisms suspended in air. </w:t>
      </w:r>
      <w:r w:rsidRPr="0029186F">
        <w:rPr>
          <w:rFonts w:ascii="Times New Roman" w:eastAsia="Times New Roman" w:hAnsi="Times New Roman" w:cs="Times New Roman"/>
          <w:i/>
          <w:iCs/>
          <w:color w:val="000000"/>
          <w:kern w:val="0"/>
          <w14:ligatures w14:val="none"/>
        </w:rPr>
        <w:t>Journal of Experimental Medicine</w:t>
      </w:r>
      <w:r w:rsidRPr="0029186F">
        <w:rPr>
          <w:rFonts w:ascii="Times New Roman" w:eastAsia="Times New Roman" w:hAnsi="Times New Roman" w:cs="Times New Roman"/>
          <w:color w:val="000000"/>
          <w:kern w:val="0"/>
          <w14:ligatures w14:val="none"/>
        </w:rPr>
        <w:t>, 85(6), 729–739.</w:t>
      </w:r>
    </w:p>
    <w:p w14:paraId="0BD79635" w14:textId="77777777" w:rsidR="0029186F" w:rsidRPr="0029186F" w:rsidRDefault="0029186F" w:rsidP="0029186F">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9186F">
        <w:rPr>
          <w:rFonts w:ascii="Times New Roman" w:eastAsia="Times New Roman" w:hAnsi="Times New Roman" w:cs="Times New Roman"/>
          <w:color w:val="000000"/>
          <w:kern w:val="0"/>
          <w14:ligatures w14:val="none"/>
        </w:rPr>
        <w:t>ASHRAE. (2021). </w:t>
      </w:r>
      <w:r w:rsidRPr="0029186F">
        <w:rPr>
          <w:rFonts w:ascii="Times New Roman" w:eastAsia="Times New Roman" w:hAnsi="Times New Roman" w:cs="Times New Roman"/>
          <w:i/>
          <w:iCs/>
          <w:color w:val="000000"/>
          <w:kern w:val="0"/>
          <w14:ligatures w14:val="none"/>
        </w:rPr>
        <w:t>ASHRAE Handbook—HVAC Applications</w:t>
      </w:r>
      <w:r w:rsidRPr="0029186F">
        <w:rPr>
          <w:rFonts w:ascii="Times New Roman" w:eastAsia="Times New Roman" w:hAnsi="Times New Roman" w:cs="Times New Roman"/>
          <w:color w:val="000000"/>
          <w:kern w:val="0"/>
          <w14:ligatures w14:val="none"/>
        </w:rPr>
        <w:t>.</w:t>
      </w:r>
    </w:p>
    <w:p w14:paraId="68AA2EF1" w14:textId="77777777" w:rsidR="0029186F" w:rsidRPr="0029186F" w:rsidRDefault="0096232F" w:rsidP="0029186F">
      <w:pPr>
        <w:spacing w:after="0" w:line="240" w:lineRule="auto"/>
        <w:rPr>
          <w:rFonts w:ascii="Times New Roman" w:eastAsia="Times New Roman" w:hAnsi="Times New Roman" w:cs="Times New Roman"/>
          <w:kern w:val="0"/>
          <w14:ligatures w14:val="none"/>
        </w:rPr>
      </w:pPr>
      <w:r w:rsidRPr="0096232F">
        <w:rPr>
          <w:rFonts w:ascii="Times New Roman" w:eastAsia="Times New Roman" w:hAnsi="Times New Roman" w:cs="Times New Roman"/>
          <w:noProof/>
          <w:kern w:val="0"/>
        </w:rPr>
        <w:pict w14:anchorId="043FA683">
          <v:rect id="_x0000_i1025" alt="" style="width:468pt;height:.05pt;mso-width-percent:0;mso-height-percent:0;mso-width-percent:0;mso-height-percent:0" o:hralign="center" o:hrstd="t" o:hr="t" fillcolor="#a0a0a0" stroked="f"/>
        </w:pict>
      </w:r>
    </w:p>
    <w:p w14:paraId="185ABE2B" w14:textId="77777777" w:rsidR="002A2657" w:rsidRDefault="002A2657"/>
    <w:p w14:paraId="48AE0076" w14:textId="77777777" w:rsidR="0029186F" w:rsidRDefault="0029186F"/>
    <w:p w14:paraId="01A0755D" w14:textId="77777777" w:rsidR="0029186F" w:rsidRDefault="0029186F"/>
    <w:p w14:paraId="716CA356" w14:textId="77777777" w:rsidR="0029186F" w:rsidRDefault="0029186F"/>
    <w:p w14:paraId="297A38E4" w14:textId="77777777" w:rsidR="0029186F" w:rsidRDefault="0029186F"/>
    <w:p w14:paraId="0A7719EB" w14:textId="77777777" w:rsidR="0029186F" w:rsidRDefault="0029186F"/>
    <w:sectPr w:rsidR="002918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30036"/>
    <w:multiLevelType w:val="multilevel"/>
    <w:tmpl w:val="7132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40A7B"/>
    <w:multiLevelType w:val="multilevel"/>
    <w:tmpl w:val="8C76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D681C"/>
    <w:multiLevelType w:val="multilevel"/>
    <w:tmpl w:val="8EB09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267874"/>
    <w:multiLevelType w:val="multilevel"/>
    <w:tmpl w:val="944E0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BC439C"/>
    <w:multiLevelType w:val="multilevel"/>
    <w:tmpl w:val="FFB6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8563BF"/>
    <w:multiLevelType w:val="multilevel"/>
    <w:tmpl w:val="C254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AE52CC"/>
    <w:multiLevelType w:val="multilevel"/>
    <w:tmpl w:val="672C9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C948AF"/>
    <w:multiLevelType w:val="multilevel"/>
    <w:tmpl w:val="37A03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F72152"/>
    <w:multiLevelType w:val="multilevel"/>
    <w:tmpl w:val="FF6C9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237BC5"/>
    <w:multiLevelType w:val="multilevel"/>
    <w:tmpl w:val="00CA8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3D59FA"/>
    <w:multiLevelType w:val="multilevel"/>
    <w:tmpl w:val="0AACA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6B42D5"/>
    <w:multiLevelType w:val="multilevel"/>
    <w:tmpl w:val="5DA87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7D0492"/>
    <w:multiLevelType w:val="multilevel"/>
    <w:tmpl w:val="F1BEB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3453459">
    <w:abstractNumId w:val="7"/>
  </w:num>
  <w:num w:numId="2" w16cid:durableId="1689519978">
    <w:abstractNumId w:val="12"/>
  </w:num>
  <w:num w:numId="3" w16cid:durableId="899946319">
    <w:abstractNumId w:val="4"/>
  </w:num>
  <w:num w:numId="4" w16cid:durableId="1939677662">
    <w:abstractNumId w:val="3"/>
  </w:num>
  <w:num w:numId="5" w16cid:durableId="496917212">
    <w:abstractNumId w:val="11"/>
  </w:num>
  <w:num w:numId="6" w16cid:durableId="636378432">
    <w:abstractNumId w:val="10"/>
  </w:num>
  <w:num w:numId="7" w16cid:durableId="360473251">
    <w:abstractNumId w:val="6"/>
  </w:num>
  <w:num w:numId="8" w16cid:durableId="445393125">
    <w:abstractNumId w:val="9"/>
  </w:num>
  <w:num w:numId="9" w16cid:durableId="499005274">
    <w:abstractNumId w:val="0"/>
  </w:num>
  <w:num w:numId="10" w16cid:durableId="75254288">
    <w:abstractNumId w:val="8"/>
  </w:num>
  <w:num w:numId="11" w16cid:durableId="1235817667">
    <w:abstractNumId w:val="1"/>
  </w:num>
  <w:num w:numId="12" w16cid:durableId="249966498">
    <w:abstractNumId w:val="5"/>
  </w:num>
  <w:num w:numId="13" w16cid:durableId="12776349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86F"/>
    <w:rsid w:val="001E54F8"/>
    <w:rsid w:val="0029186F"/>
    <w:rsid w:val="002A2657"/>
    <w:rsid w:val="00422E6B"/>
    <w:rsid w:val="004614F6"/>
    <w:rsid w:val="0088061D"/>
    <w:rsid w:val="0096232F"/>
    <w:rsid w:val="00AB0319"/>
    <w:rsid w:val="00BC04A9"/>
    <w:rsid w:val="00C123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898FD"/>
  <w15:chartTrackingRefBased/>
  <w15:docId w15:val="{99DCDC07-E295-5F43-AD6E-FCC83119C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18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18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918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18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18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18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18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18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18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8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18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918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18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18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18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18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18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186F"/>
    <w:rPr>
      <w:rFonts w:eastAsiaTheme="majorEastAsia" w:cstheme="majorBidi"/>
      <w:color w:val="272727" w:themeColor="text1" w:themeTint="D8"/>
    </w:rPr>
  </w:style>
  <w:style w:type="paragraph" w:styleId="Title">
    <w:name w:val="Title"/>
    <w:basedOn w:val="Normal"/>
    <w:next w:val="Normal"/>
    <w:link w:val="TitleChar"/>
    <w:uiPriority w:val="10"/>
    <w:qFormat/>
    <w:rsid w:val="002918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18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18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18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186F"/>
    <w:pPr>
      <w:spacing w:before="160"/>
      <w:jc w:val="center"/>
    </w:pPr>
    <w:rPr>
      <w:i/>
      <w:iCs/>
      <w:color w:val="404040" w:themeColor="text1" w:themeTint="BF"/>
    </w:rPr>
  </w:style>
  <w:style w:type="character" w:customStyle="1" w:styleId="QuoteChar">
    <w:name w:val="Quote Char"/>
    <w:basedOn w:val="DefaultParagraphFont"/>
    <w:link w:val="Quote"/>
    <w:uiPriority w:val="29"/>
    <w:rsid w:val="0029186F"/>
    <w:rPr>
      <w:i/>
      <w:iCs/>
      <w:color w:val="404040" w:themeColor="text1" w:themeTint="BF"/>
    </w:rPr>
  </w:style>
  <w:style w:type="paragraph" w:styleId="ListParagraph">
    <w:name w:val="List Paragraph"/>
    <w:basedOn w:val="Normal"/>
    <w:uiPriority w:val="34"/>
    <w:qFormat/>
    <w:rsid w:val="0029186F"/>
    <w:pPr>
      <w:ind w:left="720"/>
      <w:contextualSpacing/>
    </w:pPr>
  </w:style>
  <w:style w:type="character" w:styleId="IntenseEmphasis">
    <w:name w:val="Intense Emphasis"/>
    <w:basedOn w:val="DefaultParagraphFont"/>
    <w:uiPriority w:val="21"/>
    <w:qFormat/>
    <w:rsid w:val="0029186F"/>
    <w:rPr>
      <w:i/>
      <w:iCs/>
      <w:color w:val="0F4761" w:themeColor="accent1" w:themeShade="BF"/>
    </w:rPr>
  </w:style>
  <w:style w:type="paragraph" w:styleId="IntenseQuote">
    <w:name w:val="Intense Quote"/>
    <w:basedOn w:val="Normal"/>
    <w:next w:val="Normal"/>
    <w:link w:val="IntenseQuoteChar"/>
    <w:uiPriority w:val="30"/>
    <w:qFormat/>
    <w:rsid w:val="002918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186F"/>
    <w:rPr>
      <w:i/>
      <w:iCs/>
      <w:color w:val="0F4761" w:themeColor="accent1" w:themeShade="BF"/>
    </w:rPr>
  </w:style>
  <w:style w:type="character" w:styleId="IntenseReference">
    <w:name w:val="Intense Reference"/>
    <w:basedOn w:val="DefaultParagraphFont"/>
    <w:uiPriority w:val="32"/>
    <w:qFormat/>
    <w:rsid w:val="0029186F"/>
    <w:rPr>
      <w:b/>
      <w:bCs/>
      <w:smallCaps/>
      <w:color w:val="0F4761" w:themeColor="accent1" w:themeShade="BF"/>
      <w:spacing w:val="5"/>
    </w:rPr>
  </w:style>
  <w:style w:type="character" w:styleId="Strong">
    <w:name w:val="Strong"/>
    <w:basedOn w:val="DefaultParagraphFont"/>
    <w:uiPriority w:val="22"/>
    <w:qFormat/>
    <w:rsid w:val="0029186F"/>
    <w:rPr>
      <w:b/>
      <w:bCs/>
    </w:rPr>
  </w:style>
  <w:style w:type="paragraph" w:styleId="NormalWeb">
    <w:name w:val="Normal (Web)"/>
    <w:basedOn w:val="Normal"/>
    <w:uiPriority w:val="99"/>
    <w:semiHidden/>
    <w:unhideWhenUsed/>
    <w:rsid w:val="0029186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29186F"/>
  </w:style>
  <w:style w:type="character" w:customStyle="1" w:styleId="whitespace-normal">
    <w:name w:val="whitespace-normal"/>
    <w:basedOn w:val="DefaultParagraphFont"/>
    <w:rsid w:val="0029186F"/>
  </w:style>
  <w:style w:type="character" w:styleId="Emphasis">
    <w:name w:val="Emphasis"/>
    <w:basedOn w:val="DefaultParagraphFont"/>
    <w:uiPriority w:val="20"/>
    <w:qFormat/>
    <w:rsid w:val="002918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1812</Words>
  <Characters>10331</Characters>
  <Application>Microsoft Office Word</Application>
  <DocSecurity>0</DocSecurity>
  <Lines>86</Lines>
  <Paragraphs>24</Paragraphs>
  <ScaleCrop>false</ScaleCrop>
  <Company/>
  <LinksUpToDate>false</LinksUpToDate>
  <CharactersWithSpaces>12119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Collado</dc:creator>
  <cp:keywords/>
  <dc:description/>
  <cp:lastModifiedBy>Cesar Collado</cp:lastModifiedBy>
  <cp:revision>2</cp:revision>
  <dcterms:created xsi:type="dcterms:W3CDTF">2026-04-28T00:09:00Z</dcterms:created>
  <dcterms:modified xsi:type="dcterms:W3CDTF">2026-04-28T00:09:00Z</dcterms:modified>
</cp:coreProperties>
</file>