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5F0E4"/>
  <w:body>
    <w:p>
      <w:pPr>
        <w:spacing w:after="160"/>
        <w:shd w:fill="F5F0E4"/>
      </w:pPr>
      <w:r>
        <w:rPr>
          <w:b/>
          <w:color w:val="94702F"/>
          <w:sz w:val="18"/>
        </w:rPr>
        <w:t>MEDIA KIT  /  PROFILE</w:t>
      </w:r>
    </w:p>
    <w:p>
      <w:pPr>
        <w:pStyle w:val="Title"/>
      </w:pPr>
      <w:r>
        <w:rPr>
          <w:b w:val="0"/>
        </w:rPr>
        <w:t>Dr Inyang Takon</w:t>
      </w:r>
    </w:p>
    <w:p>
      <w:pPr>
        <w:spacing w:after="60"/>
      </w:pPr>
      <w:r>
        <w:rPr>
          <w:b/>
          <w:color w:val="123F43"/>
          <w:sz w:val="28"/>
        </w:rPr>
        <w:t>Consultant Neurodevelopmental Paediatrician</w:t>
      </w:r>
    </w:p>
    <w:p>
      <w:pPr>
        <w:spacing w:after="60"/>
      </w:pPr>
      <w:r>
        <w:rPr>
          <w:b w:val="0"/>
          <w:color w:val="123F43"/>
          <w:sz w:val="24"/>
        </w:rPr>
        <w:t>Speaker  |  Author  |  Podcast Host</w:t>
      </w:r>
    </w:p>
    <w:p>
      <w:pPr>
        <w:spacing w:after="340"/>
      </w:pPr>
      <w:r>
        <w:rPr>
          <w:b w:val="0"/>
          <w:color w:val="94702F"/>
          <w:sz w:val="22"/>
        </w:rPr>
        <w:t>Founder, Early Intervention Matters</w:t>
      </w:r>
    </w:p>
    <w:p>
      <w:pPr>
        <w:spacing w:after="320"/>
      </w:pPr>
      <w:r>
        <w:rPr>
          <w:b w:val="0"/>
          <w:color w:val="123F43"/>
          <w:sz w:val="38"/>
        </w:rPr>
        <w:t>Making neurodevelopment understandable, so families and professionals can recognise needs and support children earlier.</w:t>
      </w:r>
    </w:p>
    <w:p>
      <w:pPr>
        <w:pStyle w:val="Heading1"/>
      </w:pPr>
      <w:r>
        <w:rPr>
          <w:b w:val="0"/>
        </w:rPr>
        <w:t>About Dr Takon</w:t>
      </w:r>
    </w:p>
    <w:p>
      <w:r>
        <w:rPr>
          <w:b w:val="0"/>
        </w:rPr>
        <w:t>Dr Inyang Takon is a Senior Consultant Neurodevelopmental Paediatrician with more than 20 years of experience supporting children, young people and families affected by neurodevelopmental conditions. She translates specialist knowledge into clear, practical conversations for parents, professionals and wider audiences.</w:t>
      </w:r>
    </w:p>
    <w:p>
      <w:r>
        <w:rPr>
          <w:b w:val="0"/>
        </w:rPr>
        <w:t>Her interests include early support, culturally informed care and inequalities in access to assessment and intervention, particularly within African, Black and minority ethnic communities. Through her clinical work and Early Intervention Matters, she champions support that responds to a child’s needs, including while families wait for a diagnosis.</w:t>
      </w:r>
    </w:p>
    <w:p>
      <w:pPr>
        <w:pStyle w:val="Heading1"/>
      </w:pPr>
      <w:r>
        <w:rPr>
          <w:b w:val="0"/>
        </w:rPr>
        <w:t>Key areas of expertise</w:t>
      </w:r>
    </w:p>
    <w:p>
      <w:pPr>
        <w:spacing w:after="180"/>
      </w:pPr>
      <w:r>
        <w:rPr>
          <w:b w:val="0"/>
          <w:sz w:val="22"/>
        </w:rPr>
        <w:t>ADHD • Autism and co-occurring conditions • Tic disorders</w:t>
        <w:br/>
        <w:t>Developmental coordination disorder (DCD) • Fetal alcohol spectrum disorder (FASD) • Developmental difficulties • Transition to adulthood</w:t>
      </w:r>
    </w:p>
    <w:p>
      <w:pPr>
        <w:pStyle w:val="Heading1"/>
      </w:pPr>
      <w:r>
        <w:rPr>
          <w:b w:val="0"/>
        </w:rPr>
        <w:t>Early Intervention Matters</w:t>
      </w:r>
    </w:p>
    <w:p>
      <w:r>
        <w:rPr>
          <w:b w:val="0"/>
        </w:rPr>
        <w:t>An education platform and podcast helping parents, professionals, educators and communities understand neurodevelopment and access support earlier. Its focus is accessible knowledge, greater awareness and practical ways to support children and young people.</w:t>
      </w:r>
    </w:p>
    <w:p>
      <w:pPr>
        <w:spacing w:after="100"/>
      </w:pPr>
      <w:r>
        <w:rPr>
          <w:b/>
        </w:rPr>
        <w:t xml:space="preserve">Explore the platform  </w:t>
      </w:r>
      <w:hyperlink r:id="rId11">
        <w:r>
          <w:rPr>
            <w:color w:val="123F43"/>
          </w:rPr>
          <w:t>www.drtakon.com</w:t>
        </w:r>
      </w:hyperlink>
    </w:p>
    <w:p>
      <w:pPr>
        <w:pStyle w:val="Heading1"/>
      </w:pPr>
      <w:r>
        <w:rPr>
          <w:b w:val="0"/>
        </w:rPr>
        <w:t>Why book Dr Takon</w:t>
      </w:r>
    </w:p>
    <w:p>
      <w:r>
        <w:rPr>
          <w:b w:val="0"/>
          <w:sz w:val="22"/>
        </w:rPr>
        <w:t>Clinical depth from more than two decades of practice. Clear explanations of complex topics. A practical focus on families, schools and services, with a culturally informed perspective on access and inclusion.</w:t>
      </w:r>
    </w:p>
    <w:p>
      <w:r>
        <w:br w:type="page"/>
      </w:r>
    </w:p>
    <w:p>
      <w:pPr>
        <w:spacing w:after="160"/>
      </w:pPr>
      <w:r>
        <w:rPr>
          <w:b/>
          <w:color w:val="94702F"/>
          <w:sz w:val="18"/>
        </w:rPr>
        <w:t>MEDIA KIT  /  TOPICS AND BOOKINGS</w:t>
      </w:r>
    </w:p>
    <w:p>
      <w:pPr>
        <w:spacing w:after="200"/>
      </w:pPr>
      <w:r>
        <w:rPr>
          <w:b/>
          <w:color w:val="123F43"/>
          <w:sz w:val="56"/>
        </w:rPr>
        <w:t>Conversations that help</w:t>
        <w:br/>
        <w:t>audiences act earlier</w:t>
      </w:r>
    </w:p>
    <w:p>
      <w:pPr>
        <w:spacing w:after="160"/>
      </w:pPr>
      <w:r>
        <w:rPr>
          <w:b w:val="0"/>
          <w:sz w:val="22"/>
        </w:rPr>
        <w:t>Available for interviews, keynote talks, panels and educational sessions, with topics shaped around your audience.</w:t>
      </w:r>
    </w:p>
    <w:p>
      <w:pPr>
        <w:pStyle w:val="Heading1"/>
      </w:pPr>
      <w:r>
        <w:rPr>
          <w:b w:val="0"/>
        </w:rPr>
        <w:t>Signature speaking and media topics</w:t>
      </w:r>
    </w:p>
    <w:p>
      <w:pPr>
        <w:keepNext/>
        <w:spacing w:after="40"/>
      </w:pPr>
      <w:r>
        <w:rPr>
          <w:b/>
          <w:color w:val="123F43"/>
          <w:sz w:val="23"/>
        </w:rPr>
        <w:t>01  Supporting children before diagnosis</w:t>
      </w:r>
    </w:p>
    <w:p>
      <w:pPr>
        <w:spacing w:after="160"/>
        <w:ind w:left="374"/>
      </w:pPr>
      <w:r>
        <w:rPr>
          <w:b w:val="0"/>
          <w:sz w:val="21"/>
        </w:rPr>
        <w:t>Practical steps for families and professionals during the wait for assessment.</w:t>
      </w:r>
    </w:p>
    <w:p>
      <w:pPr>
        <w:keepNext/>
        <w:spacing w:after="40"/>
      </w:pPr>
      <w:r>
        <w:rPr>
          <w:b/>
          <w:color w:val="123F43"/>
          <w:sz w:val="23"/>
        </w:rPr>
        <w:t>02  Understanding ADHD beyond the label</w:t>
      </w:r>
    </w:p>
    <w:p>
      <w:pPr>
        <w:spacing w:after="160"/>
        <w:ind w:left="374"/>
      </w:pPr>
      <w:r>
        <w:rPr>
          <w:b w:val="0"/>
          <w:sz w:val="21"/>
        </w:rPr>
        <w:t>Everyday needs, co-occurring difficulties and common parental questions.</w:t>
      </w:r>
    </w:p>
    <w:p>
      <w:pPr>
        <w:keepNext/>
        <w:spacing w:after="40"/>
      </w:pPr>
      <w:r>
        <w:rPr>
          <w:b/>
          <w:color w:val="123F43"/>
          <w:sz w:val="23"/>
        </w:rPr>
        <w:t>03  Autism and the individual child</w:t>
      </w:r>
    </w:p>
    <w:p>
      <w:pPr>
        <w:spacing w:after="160"/>
        <w:ind w:left="374"/>
      </w:pPr>
      <w:r>
        <w:rPr>
          <w:b w:val="0"/>
          <w:sz w:val="21"/>
        </w:rPr>
        <w:t>Moving from a diagnosis to an understanding of strengths and support needs.</w:t>
      </w:r>
    </w:p>
    <w:p>
      <w:pPr>
        <w:keepNext/>
        <w:spacing w:after="40"/>
      </w:pPr>
      <w:r>
        <w:rPr>
          <w:b/>
          <w:color w:val="123F43"/>
          <w:sz w:val="23"/>
        </w:rPr>
        <w:t>04  Girls and overlooked neurodevelopmental needs</w:t>
      </w:r>
    </w:p>
    <w:p>
      <w:pPr>
        <w:spacing w:after="160"/>
        <w:ind w:left="374"/>
      </w:pPr>
      <w:r>
        <w:rPr>
          <w:b w:val="0"/>
          <w:sz w:val="21"/>
        </w:rPr>
        <w:t>Masking, less recognised presentations and why difficulties can be missed.</w:t>
      </w:r>
    </w:p>
    <w:p>
      <w:pPr>
        <w:keepNext/>
        <w:spacing w:after="40"/>
      </w:pPr>
      <w:r>
        <w:rPr>
          <w:b/>
          <w:color w:val="123F43"/>
          <w:sz w:val="23"/>
        </w:rPr>
        <w:t>05  ADHD medication and family concerns</w:t>
      </w:r>
    </w:p>
    <w:p>
      <w:pPr>
        <w:spacing w:after="160"/>
        <w:ind w:left="374"/>
      </w:pPr>
      <w:r>
        <w:rPr>
          <w:b w:val="0"/>
          <w:sz w:val="21"/>
        </w:rPr>
        <w:t>Clear conversations about treatment questions and shared decision-making.</w:t>
      </w:r>
    </w:p>
    <w:p>
      <w:pPr>
        <w:keepNext/>
        <w:spacing w:after="40"/>
      </w:pPr>
      <w:r>
        <w:rPr>
          <w:b/>
          <w:color w:val="123F43"/>
          <w:sz w:val="23"/>
        </w:rPr>
        <w:t>06  Helping neurodivergent children thrive at school</w:t>
      </w:r>
    </w:p>
    <w:p>
      <w:pPr>
        <w:spacing w:after="160"/>
        <w:ind w:left="374"/>
      </w:pPr>
      <w:r>
        <w:rPr>
          <w:b w:val="0"/>
          <w:sz w:val="21"/>
        </w:rPr>
        <w:t>Recognising needs and strengthening collaboration between families and educators.</w:t>
      </w:r>
    </w:p>
    <w:p>
      <w:pPr>
        <w:keepNext/>
        <w:spacing w:after="40"/>
      </w:pPr>
      <w:r>
        <w:rPr>
          <w:b/>
          <w:color w:val="123F43"/>
          <w:sz w:val="23"/>
        </w:rPr>
        <w:t>07  Culture and equitable access to support</w:t>
      </w:r>
    </w:p>
    <w:p>
      <w:pPr>
        <w:spacing w:after="160"/>
        <w:ind w:left="374"/>
      </w:pPr>
      <w:r>
        <w:rPr>
          <w:b w:val="0"/>
          <w:sz w:val="21"/>
        </w:rPr>
        <w:t>Addressing barriers to understanding, assessment and early intervention.</w:t>
      </w:r>
    </w:p>
    <w:p>
      <w:pPr>
        <w:keepNext/>
        <w:spacing w:after="40"/>
      </w:pPr>
      <w:r>
        <w:rPr>
          <w:b/>
          <w:color w:val="123F43"/>
          <w:sz w:val="23"/>
        </w:rPr>
        <w:t>08  Growing up with neurodevelopmental differences</w:t>
      </w:r>
    </w:p>
    <w:p>
      <w:pPr>
        <w:spacing w:after="160"/>
        <w:ind w:left="374"/>
      </w:pPr>
      <w:r>
        <w:rPr>
          <w:b w:val="0"/>
          <w:sz w:val="21"/>
        </w:rPr>
        <w:t>Preparing young people and families for transitions into adult life and services.</w:t>
      </w:r>
    </w:p>
    <w:p>
      <w:pPr>
        <w:pStyle w:val="Heading1"/>
      </w:pPr>
      <w:r>
        <w:rPr>
          <w:b w:val="0"/>
        </w:rPr>
        <w:t>Audiences served</w:t>
      </w:r>
    </w:p>
    <w:p>
      <w:pPr>
        <w:spacing w:after="160"/>
      </w:pPr>
      <w:r>
        <w:rPr>
          <w:b w:val="0"/>
          <w:sz w:val="21"/>
        </w:rPr>
        <w:t>Radio, TV and podcast hosts; conference organisers; education and social care teams; charities; corporate organisations; parents, carers and community groups.</w:t>
      </w:r>
    </w:p>
    <w:p>
      <w:pPr>
        <w:pStyle w:val="Heading1"/>
      </w:pPr>
      <w:r>
        <w:rPr>
          <w:b w:val="0"/>
        </w:rPr>
        <w:t>Booking and resources</w:t>
      </w:r>
    </w:p>
    <w:p>
      <w:pPr>
        <w:spacing w:after="100"/>
      </w:pPr>
      <w:r>
        <w:rPr>
          <w:b/>
        </w:rPr>
        <w:t xml:space="preserve">Media and speaking enquiries  </w:t>
      </w:r>
      <w:hyperlink r:id="rId12">
        <w:r>
          <w:rPr>
            <w:color w:val="123F43"/>
          </w:rPr>
          <w:t>www.drtakon.it.com</w:t>
        </w:r>
      </w:hyperlink>
    </w:p>
    <w:p>
      <w:pPr>
        <w:spacing w:after="100"/>
      </w:pPr>
      <w:r>
        <w:rPr>
          <w:b/>
        </w:rPr>
        <w:t xml:space="preserve">Parent resources  </w:t>
      </w:r>
      <w:hyperlink r:id="rId13">
        <w:r>
          <w:rPr>
            <w:color w:val="123F43"/>
          </w:rPr>
          <w:t>www.braindiverse.org</w:t>
        </w:r>
      </w:hyperlink>
    </w:p>
    <w:p>
      <w:pPr>
        <w:spacing w:after="0"/>
      </w:pPr>
      <w:r>
        <w:rPr>
          <w:b/>
          <w:color w:val="123F43"/>
          <w:sz w:val="21"/>
        </w:rPr>
        <w:t>UK-based • Available for UK and international virtual engagements</w:t>
      </w:r>
    </w:p>
    <w:sectPr w:rsidR="00FC693F" w:rsidRPr="0006063C" w:rsidSect="00034616">
      <w:headerReference w:type="default" r:id="rId9"/>
      <w:footerReference w:type="default" r:id="rId10"/>
      <w:pgSz w:w="11909" w:h="16834"/>
      <w:pgMar w:top="922" w:right="1123" w:bottom="864" w:left="1123"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123F43"/>
        <w:sz w:val="16"/>
      </w:rPr>
      <w:t xml:space="preserve">DR INYANG TAKON  •  MEDIA AND SPEAKING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94702F"/>
        <w:sz w:val="16"/>
      </w:rPr>
      <w:t>EARLY INTERVENTION MATTERS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263C3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Calibri" w:hAnsi="Calibri"/>
      <w:b/>
      <w:bCs/>
      <w:color w:val="123F43"/>
      <w:sz w:val="30"/>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Calibri" w:hAnsi="Calibri"/>
      <w:b/>
      <w:bCs/>
      <w:color w:val="123F4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123F43"/>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drtakon.com" TargetMode="External"/><Relationship Id="rId12" Type="http://schemas.openxmlformats.org/officeDocument/2006/relationships/hyperlink" Target="https://www.drtakon.it.com" TargetMode="External"/><Relationship Id="rId13" Type="http://schemas.openxmlformats.org/officeDocument/2006/relationships/hyperlink" Target="https://www.braindivers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Inyang Takon Media Kit</dc:title>
  <dc:subject>Early Intervention Matters media and speaking</dc:subject>
  <dc:creator>Dr Inyang Takon</dc:creator>
  <cp:keywords/>
  <dc:description>generated by python-docx</dc:description>
  <cp:lastModifiedBy/>
  <cp:revision>1</cp:revision>
  <dcterms:created xsi:type="dcterms:W3CDTF">2013-12-23T23:15:00Z</dcterms:created>
  <dcterms:modified xsi:type="dcterms:W3CDTF">2013-12-23T23:15:00Z</dcterms:modified>
  <cp:category/>
</cp:coreProperties>
</file>