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EL PROGRAMA INCLUYE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Tiquetes aéreos Medellín – Riohacha - Medellín.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Equipaje artículo personal.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Impuestos aéreos.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Traslados aeropuerto - hotel – aeropuerto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Alojamiento por 3 o 4 noches según el plan elegido.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Alimentación de acuerdo al plan elegido.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Visita a las Minas de Sal en Manaure.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Uribia (Capital indígena de Colombia)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Desierto de Carrizal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Playa Arcoíris y ojo de agua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Caminata Pilón de Azúcar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Tour Ranchería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Tours adicionales de acuerdo al plan elegido: Pasadía, Cabo de la Vela o Punta Gallinas.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Tarjeta de asistencia médica.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Acompañamiento en los recorridos.</w:t>
      </w:r>
    </w:p>
    <w:p w:rsidR="00000000" w:rsidDel="00000000" w:rsidP="00000000" w:rsidRDefault="00000000" w:rsidRPr="00000000" w14:paraId="00000012">
      <w:pP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PLAN PASADÍA: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Alojamiento 3 noches en hotel elegido en Riohacha.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Alimentación: 3 Desayunos, 1 Almuerzo. 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Pasadía al Cabo de la Vela.</w:t>
      </w:r>
    </w:p>
    <w:p w:rsidR="00000000" w:rsidDel="00000000" w:rsidP="00000000" w:rsidRDefault="00000000" w:rsidRPr="00000000" w14:paraId="00000017">
      <w:pP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Roboto" w:cs="Roboto" w:eastAsia="Roboto" w:hAnsi="Roboto"/>
          <w:b w:val="1"/>
          <w:bCs w:val="1"/>
          <w:color w:val="ff9900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PLAN CABO DE LA VELA: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ff9900"/>
          <w:u w:val="single"/>
          <w:rtl w:val="0"/>
        </w:rPr>
        <w:t xml:space="preserve">SUPLEMENTO EN LA TARIFA DE $230.000 POR CADA PASAJERO SOBRE LA TARIFA DE 3 NOCHES (PLAN PASADIA). 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Alojamiento 2 noches en hotel elegido en Riohacha y 1 noche en el Cabo de la Vela.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Alimentación: 3 Desayunos, 2 Almuerzos y 1 Cena. 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Piedra Tortuga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Atardecer en el faro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5" w:line="240" w:lineRule="auto"/>
        <w:ind w:left="720" w:firstLine="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PLAN PUNTA GALLINAS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Alojamiento 4 noches: 2 noches en hotel elegido en Riohacha + 1 noche en cabo de la vela + 1 noche en punta gallinas.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Alimentación: 4 Desayunos, 2 Almuerzos y 2 Cenas. 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Desierto de puerto bahía honda, de Bahía hondita nuevo y Portete, Piedra Tortuga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Dunas de Taroa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Mirador de Kasare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Faro punta gallinas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OPCIONALES: (TARIFAS NETAS)</w:t>
      </w:r>
    </w:p>
    <w:p w:rsidR="00000000" w:rsidDel="00000000" w:rsidP="00000000" w:rsidRDefault="00000000" w:rsidRPr="00000000" w14:paraId="00000028">
      <w:pP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Cuatrimoto – $100.000 por persona aproximadamente (en Dunas de Taroa).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Skateboarding - $80.000 la hora, por persona aproximadamente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(en Dunas de Taroa).</w:t>
      </w:r>
    </w:p>
    <w:p w:rsidR="00000000" w:rsidDel="00000000" w:rsidP="00000000" w:rsidRDefault="00000000" w:rsidRPr="00000000" w14:paraId="0000002B">
      <w:pP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NO INCLUYE </w:t>
      </w:r>
    </w:p>
    <w:p w:rsidR="00000000" w:rsidDel="00000000" w:rsidP="00000000" w:rsidRDefault="00000000" w:rsidRPr="00000000" w14:paraId="0000002E">
      <w:pP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Gastos no especificados.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5" w:line="240" w:lineRule="auto"/>
        <w:ind w:left="720" w:hanging="360"/>
        <w:jc w:val="both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No incluye equipaje de bodega.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75" w:line="240" w:lineRule="auto"/>
        <w:ind w:left="720" w:firstLine="0"/>
        <w:jc w:val="both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0.000000000002" w:type="dxa"/>
        <w:jc w:val="left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2482"/>
        <w:gridCol w:w="1519"/>
        <w:gridCol w:w="1803"/>
        <w:gridCol w:w="1517"/>
        <w:gridCol w:w="1506"/>
        <w:gridCol w:w="1243"/>
        <w:tblGridChange w:id="0">
          <w:tblGrid>
            <w:gridCol w:w="2482"/>
            <w:gridCol w:w="1519"/>
            <w:gridCol w:w="1803"/>
            <w:gridCol w:w="1517"/>
            <w:gridCol w:w="1506"/>
            <w:gridCol w:w="1243"/>
          </w:tblGrid>
        </w:tblGridChange>
      </w:tblGrid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32">
            <w:pPr>
              <w:spacing w:before="240" w:line="276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VIGENCIA HASTA EL 31 DE DICIEMBRE 2026</w:t>
            </w:r>
          </w:p>
          <w:p w:rsidR="00000000" w:rsidDel="00000000" w:rsidP="00000000" w:rsidRDefault="00000000" w:rsidRPr="00000000" w14:paraId="00000033">
            <w:pPr>
              <w:spacing w:after="75" w:lineRule="auto"/>
              <w:jc w:val="center"/>
              <w:rPr>
                <w:rFonts w:ascii="Roboto" w:cs="Roboto" w:eastAsia="Roboto" w:hAnsi="Roboto"/>
                <w:b w:val="0"/>
                <w:bCs w:val="0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ACOMODACIÓN DOBLE Y MÚLTIPLE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after="75" w:lineRule="auto"/>
              <w:jc w:val="center"/>
              <w:rPr>
                <w:rFonts w:ascii="Roboto" w:cs="Roboto" w:eastAsia="Roboto" w:hAnsi="Roboto"/>
                <w:b w:val="0"/>
                <w:bCs w:val="0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4"/>
                <w:szCs w:val="24"/>
                <w:rtl w:val="0"/>
              </w:rPr>
              <w:t xml:space="preserve">HOTEL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75" w:lineRule="auto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HOTEL GIMAURA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HOTEL</w:t>
            </w:r>
          </w:p>
          <w:p w:rsidR="00000000" w:rsidDel="00000000" w:rsidP="00000000" w:rsidRDefault="00000000" w:rsidRPr="00000000" w14:paraId="0000003C">
            <w:pPr>
              <w:spacing w:after="75" w:lineRule="auto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MIRAFLORES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HOTEL</w:t>
            </w:r>
          </w:p>
          <w:p w:rsidR="00000000" w:rsidDel="00000000" w:rsidP="00000000" w:rsidRDefault="00000000" w:rsidRPr="00000000" w14:paraId="0000003E">
            <w:pPr>
              <w:spacing w:after="75" w:lineRule="auto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ARIMACA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HOTEL</w:t>
            </w:r>
          </w:p>
          <w:p w:rsidR="00000000" w:rsidDel="00000000" w:rsidP="00000000" w:rsidRDefault="00000000" w:rsidRPr="00000000" w14:paraId="00000040">
            <w:pPr>
              <w:spacing w:after="75" w:lineRule="auto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TAROA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75" w:lineRule="auto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NOCHES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JUNIO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2060"/>
                <w:sz w:val="24"/>
                <w:szCs w:val="24"/>
                <w:rtl w:val="0"/>
              </w:rPr>
              <w:t xml:space="preserve"> </w:t>
            </w: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2060"/>
                <w:sz w:val="24"/>
                <w:szCs w:val="24"/>
                <w:rtl w:val="0"/>
              </w:rPr>
              <w:t xml:space="preserve"> </w:t>
            </w: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2060"/>
                <w:sz w:val="24"/>
                <w:szCs w:val="24"/>
                <w:rtl w:val="0"/>
              </w:rPr>
              <w:t xml:space="preserve"> </w:t>
            </w: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after="75" w:lineRule="auto"/>
              <w:jc w:val="center"/>
              <w:rPr>
                <w:rFonts w:ascii="Roboto" w:cs="Roboto" w:eastAsia="Roboto" w:hAnsi="Robot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JUNIO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 </w:t>
            </w: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 </w:t>
            </w: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 </w:t>
            </w: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$ 2,115,000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$ 2,335,000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$ 2,505,000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after="75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3N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after="75" w:lineRule="auto"/>
              <w:jc w:val="center"/>
              <w:rPr>
                <w:rFonts w:ascii="Roboto" w:cs="Roboto" w:eastAsia="Roboto" w:hAnsi="Robot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JUN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 </w:t>
            </w: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 </w:t>
            </w: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AL 03 JUL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 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$ 2,865,000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$ 2,985,000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$ 2,995,000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$ 3,125,000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75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4N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JULIO 03 AL 06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JULIO 06 AL 10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JULIO 10 AL 13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JULIO 13 AL 17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JULIO 17 AL 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$ 2,115,000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$ 2,335,000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$ 2,505,000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75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3N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JULIO 20 AL 24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JULIO 24 AL 27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JULIO 27 AL 31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JULIO 31 AL 03 AGOSTO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AGOSTO 03 AL 07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$ 2,865,000</w:t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$ 2,985,000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$ 2,995,000</w:t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$ 3,125,000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75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AGOSTO 07 AL 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$ 2,115,000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$ 2,335,000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$ 2,505,000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after="75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3N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AGOSTO 10 AL 14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AGOSTO 14 AL 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$ 2,115,000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$ 2,335,000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$ 2,505,000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75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3N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AGOSTO 17 AL 21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8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AGOSTO 21 AL 24</w:t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AGOSTO 24 AL 28</w:t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AGOSTO 28 AL 31</w:t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AGOSTO 31 AL 04 SEPTIEMBRE</w:t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0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SEPTIEMBRE 04 AL 07</w:t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SEPTIEMBRE 07 AL 11</w:t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SEPTIEMBRE 11 AL 14</w:t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0D0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2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SEPTIEMBRE 14 AL 18</w:t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D4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D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D7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8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SEPTIEMBRE 18 AL 21</w:t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0DC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0DD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SEPTIEMBRE 21 AL 25</w:t>
            </w:r>
          </w:p>
        </w:tc>
        <w:tc>
          <w:tcPr/>
          <w:p w:rsidR="00000000" w:rsidDel="00000000" w:rsidP="00000000" w:rsidRDefault="00000000" w:rsidRPr="00000000" w14:paraId="000000DF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E0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E2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E3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SEPTIEMBRE 25 AL 28</w:t>
            </w:r>
          </w:p>
        </w:tc>
        <w:tc>
          <w:tcPr/>
          <w:p w:rsidR="00000000" w:rsidDel="00000000" w:rsidP="00000000" w:rsidRDefault="00000000" w:rsidRPr="00000000" w14:paraId="000000E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0E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0E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A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SEPTIEMBRE 28 AL 02 OCTUBRE</w:t>
            </w:r>
          </w:p>
        </w:tc>
        <w:tc>
          <w:tcPr/>
          <w:p w:rsidR="00000000" w:rsidDel="00000000" w:rsidP="00000000" w:rsidRDefault="00000000" w:rsidRPr="00000000" w14:paraId="000000EB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0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OCTUBRE 02 AL 05</w:t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0F2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0F3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OCTUBRE 05 AL 09</w:t>
            </w:r>
          </w:p>
        </w:tc>
        <w:tc>
          <w:tcPr/>
          <w:p w:rsidR="00000000" w:rsidDel="00000000" w:rsidP="00000000" w:rsidRDefault="00000000" w:rsidRPr="00000000" w14:paraId="000000F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OCTUBRE 09 AL 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$ 2,115,000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$ 2,335,000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$ 2,505,000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after="75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3N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OCTUBRE 12 AL 16</w:t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10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107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8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OCTUBRE 16 AL 19</w:t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OCTUBRE 19 AL 23</w:t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4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OCTUBRE 23 AL 26</w:t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11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11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11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OCTUBRE 26 AL 30</w:t>
            </w:r>
          </w:p>
        </w:tc>
        <w:tc>
          <w:tcPr/>
          <w:p w:rsidR="00000000" w:rsidDel="00000000" w:rsidP="00000000" w:rsidRDefault="00000000" w:rsidRPr="00000000" w14:paraId="0000011B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11C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11D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11E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11F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OCTUBRE 30 AL 02 NOV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$ 2,115,000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$ 2,315,000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$ 2,335,000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spacing w:after="75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$ 2,505,000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spacing w:after="75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3N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6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NOVIEMBRE 02 AL 06</w:t>
            </w:r>
          </w:p>
        </w:tc>
        <w:tc>
          <w:tcPr/>
          <w:p w:rsidR="00000000" w:rsidDel="00000000" w:rsidP="00000000" w:rsidRDefault="00000000" w:rsidRPr="00000000" w14:paraId="0000012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12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129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12A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12B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C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NOVIEMBRE 06 AL 09</w:t>
            </w:r>
          </w:p>
        </w:tc>
        <w:tc>
          <w:tcPr/>
          <w:p w:rsidR="00000000" w:rsidDel="00000000" w:rsidP="00000000" w:rsidRDefault="00000000" w:rsidRPr="00000000" w14:paraId="0000012D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12F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130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131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NOVIEMBRE 09 AL 13</w:t>
            </w:r>
          </w:p>
        </w:tc>
        <w:tc>
          <w:tcPr/>
          <w:p w:rsidR="00000000" w:rsidDel="00000000" w:rsidP="00000000" w:rsidRDefault="00000000" w:rsidRPr="00000000" w14:paraId="00000133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134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13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13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137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8">
            <w:pPr>
              <w:spacing w:after="75" w:lineRule="auto"/>
              <w:jc w:val="center"/>
              <w:rPr>
                <w:rFonts w:ascii="Roboto" w:cs="Roboto" w:eastAsia="Roboto" w:hAnsi="Roboto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sz w:val="24"/>
                <w:szCs w:val="24"/>
                <w:rtl w:val="0"/>
              </w:rPr>
              <w:t xml:space="preserve">NOVIEMBRE 13 AL 16</w:t>
            </w:r>
          </w:p>
        </w:tc>
        <w:tc>
          <w:tcPr/>
          <w:p w:rsidR="00000000" w:rsidDel="00000000" w:rsidP="00000000" w:rsidRDefault="00000000" w:rsidRPr="00000000" w14:paraId="00000139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$ 2,115,000</w:t>
            </w:r>
          </w:p>
        </w:tc>
        <w:tc>
          <w:tcPr/>
          <w:p w:rsidR="00000000" w:rsidDel="00000000" w:rsidP="00000000" w:rsidRDefault="00000000" w:rsidRPr="00000000" w14:paraId="0000013A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$ 2,315,000</w:t>
            </w:r>
          </w:p>
        </w:tc>
        <w:tc>
          <w:tcPr/>
          <w:p w:rsidR="00000000" w:rsidDel="00000000" w:rsidP="00000000" w:rsidRDefault="00000000" w:rsidRPr="00000000" w14:paraId="0000013B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$ 2,335,000</w:t>
            </w:r>
          </w:p>
        </w:tc>
        <w:tc>
          <w:tcPr/>
          <w:p w:rsidR="00000000" w:rsidDel="00000000" w:rsidP="00000000" w:rsidRDefault="00000000" w:rsidRPr="00000000" w14:paraId="0000013C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$ 2,505,000</w:t>
            </w:r>
          </w:p>
        </w:tc>
        <w:tc>
          <w:tcPr/>
          <w:p w:rsidR="00000000" w:rsidDel="00000000" w:rsidP="00000000" w:rsidRDefault="00000000" w:rsidRPr="00000000" w14:paraId="0000013D">
            <w:pPr>
              <w:spacing w:after="75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NOVIEMBRE 16 AL 20</w:t>
            </w:r>
          </w:p>
        </w:tc>
        <w:tc>
          <w:tcPr/>
          <w:p w:rsidR="00000000" w:rsidDel="00000000" w:rsidP="00000000" w:rsidRDefault="00000000" w:rsidRPr="00000000" w14:paraId="0000013F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140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141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142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143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4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NOVIEMBRE 20 AL 23</w:t>
            </w:r>
          </w:p>
        </w:tc>
        <w:tc>
          <w:tcPr/>
          <w:p w:rsidR="00000000" w:rsidDel="00000000" w:rsidP="00000000" w:rsidRDefault="00000000" w:rsidRPr="00000000" w14:paraId="0000014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14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149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A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NOVIEMBRE 23 AL 27</w:t>
            </w:r>
          </w:p>
        </w:tc>
        <w:tc>
          <w:tcPr/>
          <w:p w:rsidR="00000000" w:rsidDel="00000000" w:rsidP="00000000" w:rsidRDefault="00000000" w:rsidRPr="00000000" w14:paraId="0000014B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14C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14D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14E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14F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0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NOVIEMBRE 27 AL 30</w:t>
            </w:r>
          </w:p>
        </w:tc>
        <w:tc>
          <w:tcPr/>
          <w:p w:rsidR="00000000" w:rsidDel="00000000" w:rsidP="00000000" w:rsidRDefault="00000000" w:rsidRPr="00000000" w14:paraId="00000151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152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153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154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155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6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NOVIEMBRE 30 AL 04 DIC</w:t>
            </w:r>
          </w:p>
        </w:tc>
        <w:tc>
          <w:tcPr/>
          <w:p w:rsidR="00000000" w:rsidDel="00000000" w:rsidP="00000000" w:rsidRDefault="00000000" w:rsidRPr="00000000" w14:paraId="0000015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15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159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15B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C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DICIEMBRE 04 AL 07</w:t>
            </w:r>
          </w:p>
        </w:tc>
        <w:tc>
          <w:tcPr/>
          <w:p w:rsidR="00000000" w:rsidDel="00000000" w:rsidP="00000000" w:rsidRDefault="00000000" w:rsidRPr="00000000" w14:paraId="0000015D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15E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161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2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DICIEMBRE 07 AL 11</w:t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164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16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16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167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8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DICIEMBRE 11 AL 14</w:t>
            </w:r>
          </w:p>
        </w:tc>
        <w:tc>
          <w:tcPr/>
          <w:p w:rsidR="00000000" w:rsidDel="00000000" w:rsidP="00000000" w:rsidRDefault="00000000" w:rsidRPr="00000000" w14:paraId="00000169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16A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16B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16C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16D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E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DICIEMBRE 14 AL 18</w:t>
            </w:r>
          </w:p>
        </w:tc>
        <w:tc>
          <w:tcPr/>
          <w:p w:rsidR="00000000" w:rsidDel="00000000" w:rsidP="00000000" w:rsidRDefault="00000000" w:rsidRPr="00000000" w14:paraId="0000016F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$ 2,655,000</w:t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$ 2,785,000</w:t>
            </w:r>
          </w:p>
        </w:tc>
        <w:tc>
          <w:tcPr/>
          <w:p w:rsidR="00000000" w:rsidDel="00000000" w:rsidP="00000000" w:rsidRDefault="00000000" w:rsidRPr="00000000" w14:paraId="00000171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$ 2,795,000</w:t>
            </w:r>
          </w:p>
        </w:tc>
        <w:tc>
          <w:tcPr/>
          <w:p w:rsidR="00000000" w:rsidDel="00000000" w:rsidP="00000000" w:rsidRDefault="00000000" w:rsidRPr="00000000" w14:paraId="00000172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$ 2,915,000</w:t>
            </w:r>
          </w:p>
        </w:tc>
        <w:tc>
          <w:tcPr/>
          <w:p w:rsidR="00000000" w:rsidDel="00000000" w:rsidP="00000000" w:rsidRDefault="00000000" w:rsidRPr="00000000" w14:paraId="00000173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4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DICIEMBRE 18 AL 21</w:t>
            </w:r>
          </w:p>
        </w:tc>
        <w:tc>
          <w:tcPr/>
          <w:p w:rsidR="00000000" w:rsidDel="00000000" w:rsidP="00000000" w:rsidRDefault="00000000" w:rsidRPr="00000000" w14:paraId="00000175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$ 1,905,000</w:t>
            </w:r>
          </w:p>
        </w:tc>
        <w:tc>
          <w:tcPr/>
          <w:p w:rsidR="00000000" w:rsidDel="00000000" w:rsidP="00000000" w:rsidRDefault="00000000" w:rsidRPr="00000000" w14:paraId="00000176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$ 2,095,000</w:t>
            </w:r>
          </w:p>
        </w:tc>
        <w:tc>
          <w:tcPr/>
          <w:p w:rsidR="00000000" w:rsidDel="00000000" w:rsidP="00000000" w:rsidRDefault="00000000" w:rsidRPr="00000000" w14:paraId="00000177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$ 2,125,000</w:t>
            </w:r>
          </w:p>
        </w:tc>
        <w:tc>
          <w:tcPr/>
          <w:p w:rsidR="00000000" w:rsidDel="00000000" w:rsidP="00000000" w:rsidRDefault="00000000" w:rsidRPr="00000000" w14:paraId="00000178">
            <w:pPr>
              <w:spacing w:after="75" w:lineRule="auto"/>
              <w:jc w:val="both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$ 2,295,000</w:t>
            </w:r>
          </w:p>
        </w:tc>
        <w:tc>
          <w:tcPr/>
          <w:p w:rsidR="00000000" w:rsidDel="00000000" w:rsidP="00000000" w:rsidRDefault="00000000" w:rsidRPr="00000000" w14:paraId="00000179">
            <w:pPr>
              <w:spacing w:after="75" w:lineRule="auto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sz w:val="24"/>
                <w:szCs w:val="24"/>
                <w:rtl w:val="0"/>
              </w:rPr>
              <w:t xml:space="preserve">3N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A">
            <w:pPr>
              <w:spacing w:after="75" w:lineRule="auto"/>
              <w:jc w:val="center"/>
              <w:rPr>
                <w:rFonts w:ascii="Roboto" w:cs="Roboto" w:eastAsia="Roboto" w:hAnsi="Roboto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sz w:val="24"/>
                <w:szCs w:val="24"/>
                <w:rtl w:val="0"/>
              </w:rPr>
              <w:t xml:space="preserve">DICIEMBRE 21 AL 25</w:t>
            </w:r>
          </w:p>
        </w:tc>
        <w:tc>
          <w:tcPr/>
          <w:p w:rsidR="00000000" w:rsidDel="00000000" w:rsidP="00000000" w:rsidRDefault="00000000" w:rsidRPr="00000000" w14:paraId="0000017B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$ 2,865,000</w:t>
            </w:r>
          </w:p>
        </w:tc>
        <w:tc>
          <w:tcPr/>
          <w:p w:rsidR="00000000" w:rsidDel="00000000" w:rsidP="00000000" w:rsidRDefault="00000000" w:rsidRPr="00000000" w14:paraId="0000017C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$ 2,985,000</w:t>
            </w:r>
          </w:p>
        </w:tc>
        <w:tc>
          <w:tcPr/>
          <w:p w:rsidR="00000000" w:rsidDel="00000000" w:rsidP="00000000" w:rsidRDefault="00000000" w:rsidRPr="00000000" w14:paraId="0000017D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$ 2,995,000</w:t>
            </w:r>
          </w:p>
        </w:tc>
        <w:tc>
          <w:tcPr/>
          <w:p w:rsidR="00000000" w:rsidDel="00000000" w:rsidP="00000000" w:rsidRDefault="00000000" w:rsidRPr="00000000" w14:paraId="0000017E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$ 3,125,000</w:t>
            </w:r>
          </w:p>
        </w:tc>
        <w:tc>
          <w:tcPr/>
          <w:p w:rsidR="00000000" w:rsidDel="00000000" w:rsidP="00000000" w:rsidRDefault="00000000" w:rsidRPr="00000000" w14:paraId="0000017F">
            <w:pPr>
              <w:spacing w:after="75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4N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0">
            <w:pPr>
              <w:spacing w:after="75" w:lineRule="auto"/>
              <w:jc w:val="center"/>
              <w:rPr>
                <w:rFonts w:ascii="Roboto" w:cs="Roboto" w:eastAsia="Roboto" w:hAnsi="Roboto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sz w:val="24"/>
                <w:szCs w:val="24"/>
                <w:rtl w:val="0"/>
              </w:rPr>
              <w:t xml:space="preserve">DICIEMBRE 25 AL 28</w:t>
            </w:r>
          </w:p>
        </w:tc>
        <w:tc>
          <w:tcPr/>
          <w:p w:rsidR="00000000" w:rsidDel="00000000" w:rsidP="00000000" w:rsidRDefault="00000000" w:rsidRPr="00000000" w14:paraId="00000181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$ 2,115,000</w:t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$ 2,315,000</w:t>
            </w:r>
          </w:p>
        </w:tc>
        <w:tc>
          <w:tcPr/>
          <w:p w:rsidR="00000000" w:rsidDel="00000000" w:rsidP="00000000" w:rsidRDefault="00000000" w:rsidRPr="00000000" w14:paraId="00000183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$ 2,335,000</w:t>
            </w:r>
          </w:p>
        </w:tc>
        <w:tc>
          <w:tcPr/>
          <w:p w:rsidR="00000000" w:rsidDel="00000000" w:rsidP="00000000" w:rsidRDefault="00000000" w:rsidRPr="00000000" w14:paraId="00000184">
            <w:pPr>
              <w:spacing w:after="75" w:lineRule="auto"/>
              <w:jc w:val="both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$ 2,505,000</w:t>
            </w:r>
          </w:p>
        </w:tc>
        <w:tc>
          <w:tcPr/>
          <w:p w:rsidR="00000000" w:rsidDel="00000000" w:rsidP="00000000" w:rsidRDefault="00000000" w:rsidRPr="00000000" w14:paraId="00000185">
            <w:pPr>
              <w:spacing w:after="75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3N</w:t>
            </w:r>
          </w:p>
        </w:tc>
      </w:tr>
    </w:tbl>
    <w:p w:rsidR="00000000" w:rsidDel="00000000" w:rsidP="00000000" w:rsidRDefault="00000000" w:rsidRPr="00000000" w14:paraId="00000186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spacing w:after="75" w:line="240" w:lineRule="auto"/>
        <w:ind w:left="360" w:firstLine="0"/>
        <w:jc w:val="center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sz w:val="24"/>
          <w:szCs w:val="24"/>
          <w:rtl w:val="0"/>
        </w:rPr>
        <w:t xml:space="preserve">SALIDAS VIERNES CON LUNES Y LUNES CON VIERNES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2060"/>
          <w:sz w:val="28"/>
          <w:szCs w:val="28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472c4"/>
          <w:rtl w:val="0"/>
        </w:rPr>
        <w:t xml:space="preserve">TARIFAS POR PERSONA DE ACUERDO A LA ACOMODACIÓN.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2060"/>
          <w:sz w:val="28"/>
          <w:szCs w:val="28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472c4"/>
          <w:rtl w:val="0"/>
        </w:rPr>
        <w:t xml:space="preserve">TARIFA PLAN DE 3 NOCHES: PASADIA CABO DE LA VELA.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2060"/>
          <w:sz w:val="28"/>
          <w:szCs w:val="28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472c4"/>
          <w:u w:val="single"/>
          <w:rtl w:val="0"/>
        </w:rPr>
        <w:t xml:space="preserve">SUPLEMENTO EN LA TARIFA DE 3 NOCHES PARA EN EL PLAN DE CABO DE LA VELA DE $230.000 POR CADA PASAJERO.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2060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472c4"/>
          <w:rtl w:val="0"/>
        </w:rPr>
        <w:t xml:space="preserve">TARIFA PLAN DE 4 NOCHES: PLAN PUNTA GALLINAS.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ff0000"/>
          <w:sz w:val="28"/>
          <w:szCs w:val="28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SUPLEMENTO EN HABITACIÓN SENCILLA INCREMENTAR EL 35% SOBRE LA TARIFA.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472c4"/>
          <w:rtl w:val="0"/>
        </w:rPr>
        <w:t xml:space="preserve">TARIFA SUJETA A CAMBIO Y DISPONIBILIDAD AL MOMENTO DE RESERVAR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4472c4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5" w:line="240" w:lineRule="auto"/>
        <w:ind w:left="720" w:firstLine="0"/>
        <w:jc w:val="both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6"/>
          <w:szCs w:val="26"/>
          <w:rtl w:val="0"/>
        </w:rPr>
        <w:t xml:space="preserve">NOTAS: </w:t>
      </w:r>
    </w:p>
    <w:p w:rsidR="00000000" w:rsidDel="00000000" w:rsidP="00000000" w:rsidRDefault="00000000" w:rsidRPr="00000000" w14:paraId="00000190">
      <w:pPr>
        <w:spacing w:after="75" w:line="240" w:lineRule="auto"/>
        <w:jc w:val="both"/>
        <w:rPr>
          <w:rFonts w:ascii="Roboto" w:cs="Roboto" w:eastAsia="Roboto" w:hAnsi="Roboto"/>
          <w:b w:val="1"/>
          <w:bCs w:val="1"/>
          <w:color w:val="00206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En habitación sencilla se incrementa el 35 % de la tarifa.</w:t>
      </w:r>
    </w:p>
    <w:p w:rsidR="00000000" w:rsidDel="00000000" w:rsidP="00000000" w:rsidRDefault="00000000" w:rsidRPr="00000000" w14:paraId="00000192">
      <w:pPr>
        <w:numPr>
          <w:ilvl w:val="0"/>
          <w:numId w:val="2"/>
        </w:numPr>
        <w:spacing w:after="75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Tarifas para acomodación múltiple o doble.</w:t>
      </w:r>
    </w:p>
    <w:p w:rsidR="00000000" w:rsidDel="00000000" w:rsidP="00000000" w:rsidRDefault="00000000" w:rsidRPr="00000000" w14:paraId="00000193">
      <w:pPr>
        <w:numPr>
          <w:ilvl w:val="0"/>
          <w:numId w:val="2"/>
        </w:numPr>
        <w:spacing w:after="75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Niños de 0 a 23 meses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 pagan $85.000 (solo seguro. No tienen alimentación y duermen con los padres)</w:t>
      </w:r>
    </w:p>
    <w:p w:rsidR="00000000" w:rsidDel="00000000" w:rsidP="00000000" w:rsidRDefault="00000000" w:rsidRPr="00000000" w14:paraId="00000194">
      <w:pPr>
        <w:numPr>
          <w:ilvl w:val="0"/>
          <w:numId w:val="2"/>
        </w:numPr>
        <w:spacing w:after="75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Niños de 2 a 3 años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 pagan seguro + Tiquete Aéreo (No tienen alimentación y duermen con los padres)</w:t>
      </w:r>
    </w:p>
    <w:p w:rsidR="00000000" w:rsidDel="00000000" w:rsidP="00000000" w:rsidRDefault="00000000" w:rsidRPr="00000000" w14:paraId="00000195">
      <w:pPr>
        <w:numPr>
          <w:ilvl w:val="0"/>
          <w:numId w:val="2"/>
        </w:numPr>
        <w:spacing w:after="75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Niños de 4 a 9 años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 pagan el 90% de la tarifa de múltiple. </w:t>
      </w:r>
    </w:p>
    <w:p w:rsidR="00000000" w:rsidDel="00000000" w:rsidP="00000000" w:rsidRDefault="00000000" w:rsidRPr="00000000" w14:paraId="00000196">
      <w:pPr>
        <w:numPr>
          <w:ilvl w:val="0"/>
          <w:numId w:val="2"/>
        </w:numPr>
        <w:spacing w:after="75" w:line="240" w:lineRule="auto"/>
        <w:ind w:left="720" w:hanging="360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Niños de 10 años 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en adelante pagan como adulto de acuerdo a la acomodación.</w:t>
      </w:r>
    </w:p>
    <w:p w:rsidR="00000000" w:rsidDel="00000000" w:rsidP="00000000" w:rsidRDefault="00000000" w:rsidRPr="00000000" w14:paraId="00000197">
      <w:pPr>
        <w:numPr>
          <w:ilvl w:val="0"/>
          <w:numId w:val="2"/>
        </w:numP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Si viaja Adulto + Niño; el niño paga como adulto tarifa de doble.</w:t>
      </w:r>
    </w:p>
    <w:p w:rsidR="00000000" w:rsidDel="00000000" w:rsidP="00000000" w:rsidRDefault="00000000" w:rsidRPr="00000000" w14:paraId="00000198">
      <w:pPr>
        <w:numPr>
          <w:ilvl w:val="0"/>
          <w:numId w:val="2"/>
        </w:numPr>
        <w:spacing w:after="0" w:lineRule="auto"/>
        <w:ind w:left="720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Adultos que viajen con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menores de edad 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deben presentar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registro civil del menor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 y la documentación que acredite el parentesco (padre-hijo) o si es el caso, permiso firmado y autenticado por notaría por los padres (o representante legal) con copia adjunta de los documentos de los firmantes.</w:t>
      </w:r>
    </w:p>
    <w:p w:rsidR="00000000" w:rsidDel="00000000" w:rsidP="00000000" w:rsidRDefault="00000000" w:rsidRPr="00000000" w14:paraId="00000199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bookmarkStart w:colFirst="0" w:colLast="0" w:name="_heading=h.zelest2h8ms8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19A">
      <w:pPr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bookmarkStart w:colFirst="0" w:colLast="0" w:name="_heading=h.vszzenwaz8ub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TÉRMINOS Y CONDICIONES.</w:t>
      </w:r>
    </w:p>
    <w:p w:rsidR="00000000" w:rsidDel="00000000" w:rsidP="00000000" w:rsidRDefault="00000000" w:rsidRPr="00000000" w14:paraId="0000019D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Se reserva el derecho de hacer cambios en cualquier servicio ofrecido dentro de este programa cuando lo considere necesario, con el único propósito de garantizar el éxito de la operación.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(ITINERARIO SUJETO A CAMBIOS)</w:t>
      </w:r>
    </w:p>
    <w:p w:rsidR="00000000" w:rsidDel="00000000" w:rsidP="00000000" w:rsidRDefault="00000000" w:rsidRPr="00000000" w14:paraId="0000019E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No se hace responsable por pagos que no se efectúen en las cuentas bancarias autorizadas o en nuestras instalaciones. Recuerde que todos nuestros servicios están acompañados de un código de confirmación y liquidación de reserva, el cual debe ser indicado en el momento del pago.</w:t>
      </w:r>
    </w:p>
    <w:p w:rsidR="00000000" w:rsidDel="00000000" w:rsidP="00000000" w:rsidRDefault="00000000" w:rsidRPr="00000000" w14:paraId="0000019F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Rechazamos la explotación, la pornografía, el turismo sexual y demás formas de abuso sexual con menores y contribuye al cumplimiento de la ley 679 de 2001, está sujeto al régimen de responsabilidad que establece la ley 300/96 y D.R. 1075/97.</w:t>
      </w:r>
    </w:p>
    <w:p w:rsidR="00000000" w:rsidDel="00000000" w:rsidP="00000000" w:rsidRDefault="00000000" w:rsidRPr="00000000" w14:paraId="000001A0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67" w:top="3403" w:left="1080" w:right="1080" w:header="96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Verdan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2">
    <w:pPr>
      <w:tabs>
        <w:tab w:val="center" w:leader="none" w:pos="4419"/>
        <w:tab w:val="right" w:leader="none" w:pos="8838"/>
      </w:tabs>
      <w:spacing w:after="0" w:lineRule="auto"/>
      <w:ind w:left="720" w:firstLine="0"/>
      <w:rPr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-685794</wp:posOffset>
          </wp:positionH>
          <wp:positionV relativeFrom="paragraph">
            <wp:posOffset>-610229</wp:posOffset>
          </wp:positionV>
          <wp:extent cx="7772400" cy="2178638"/>
          <wp:effectExtent b="0" l="0" r="0" t="0"/>
          <wp:wrapNone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268" r="2270" t="0"/>
                  <a:stretch>
                    <a:fillRect/>
                  </a:stretch>
                </pic:blipFill>
                <pic:spPr>
                  <a:xfrm>
                    <a:off x="0" y="0"/>
                    <a:ext cx="7772400" cy="21786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A3">
    <w:pPr>
      <w:widowControl w:val="0"/>
      <w:spacing w:after="0" w:line="240" w:lineRule="auto"/>
      <w:jc w:val="center"/>
      <w:rPr>
        <w:sz w:val="24"/>
        <w:szCs w:val="24"/>
      </w:rPr>
    </w:pPr>
    <w:r w:rsidDel="00000000" w:rsidR="00000000" w:rsidRPr="00000000">
      <w:rPr>
        <w:rFonts w:ascii="Roboto" w:cs="Roboto" w:eastAsia="Roboto" w:hAnsi="Roboto"/>
        <w:b w:val="1"/>
        <w:bCs w:val="1"/>
        <w:color w:val="ff0000"/>
        <w:rtl w:val="0"/>
      </w:rPr>
      <w:t xml:space="preserve">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rrafodelista">
    <w:name w:val="List Paragraph"/>
    <w:basedOn w:val="Normal"/>
    <w:uiPriority w:val="34"/>
    <w:qFormat w:val="1"/>
    <w:rsid w:val="008678EA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8678EA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8678EA"/>
    <w:rPr>
      <w:rFonts w:eastAsiaTheme="minorEastAsia"/>
      <w:lang w:eastAsia="es-CO"/>
    </w:rPr>
  </w:style>
  <w:style w:type="paragraph" w:styleId="Piedepgina">
    <w:name w:val="footer"/>
    <w:basedOn w:val="Normal"/>
    <w:link w:val="PiedepginaCar"/>
    <w:uiPriority w:val="99"/>
    <w:unhideWhenUsed w:val="1"/>
    <w:rsid w:val="008678EA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678EA"/>
    <w:rPr>
      <w:rFonts w:eastAsiaTheme="minorEastAsia"/>
      <w:lang w:eastAsia="es-CO"/>
    </w:rPr>
  </w:style>
  <w:style w:type="paragraph" w:styleId="NormalWeb">
    <w:name w:val="Normal (Web)"/>
    <w:basedOn w:val="Normal"/>
    <w:uiPriority w:val="99"/>
    <w:unhideWhenUsed w:val="1"/>
    <w:rsid w:val="008678E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ES"/>
    </w:rPr>
  </w:style>
  <w:style w:type="table" w:styleId="Cuadrculamedia1-nfasis5">
    <w:name w:val="Medium Grid 1 Accent 5"/>
    <w:basedOn w:val="Tablanormal"/>
    <w:uiPriority w:val="67"/>
    <w:rsid w:val="00CC5971"/>
    <w:pPr>
      <w:spacing w:after="0" w:line="240" w:lineRule="auto"/>
    </w:pPr>
    <w:tblPr>
      <w:tblStyleRowBandSize w:val="1"/>
      <w:tblStyleColBandSize w:val="1"/>
      <w:tblBorders>
        <w:top w:color="7295d2" w:space="0" w:sz="8" w:themeColor="accent5" w:themeTint="0000BF" w:val="single"/>
        <w:left w:color="7295d2" w:space="0" w:sz="8" w:themeColor="accent5" w:themeTint="0000BF" w:val="single"/>
        <w:bottom w:color="7295d2" w:space="0" w:sz="8" w:themeColor="accent5" w:themeTint="0000BF" w:val="single"/>
        <w:right w:color="7295d2" w:space="0" w:sz="8" w:themeColor="accent5" w:themeTint="0000BF" w:val="single"/>
        <w:insideH w:color="7295d2" w:space="0" w:sz="8" w:themeColor="accent5" w:themeTint="0000BF" w:val="single"/>
        <w:insideV w:color="7295d2" w:space="0" w:sz="8" w:themeColor="accent5" w:themeTint="0000BF" w:val="single"/>
      </w:tblBorders>
    </w:tblPr>
    <w:tcPr>
      <w:shd w:color="auto" w:fill="d0dbf0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295d2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1b8e1" w:themeFill="accent5" w:themeFillTint="00007F" w:val="clear"/>
      </w:tcPr>
    </w:tblStylePr>
    <w:tblStylePr w:type="band1Horz">
      <w:tblPr/>
      <w:tcPr>
        <w:shd w:color="auto" w:fill="a1b8e1" w:themeFill="accent5" w:themeFillTint="00007F" w:val="clear"/>
      </w:tcPr>
    </w:tblStylePr>
  </w:style>
  <w:style w:type="table" w:styleId="Sombreadomedio1-nfasis1">
    <w:name w:val="Medium Shading 1 Accent 1"/>
    <w:basedOn w:val="Tablanormal"/>
    <w:uiPriority w:val="63"/>
    <w:rsid w:val="00F31BBC"/>
    <w:pPr>
      <w:spacing w:after="0" w:line="240" w:lineRule="auto"/>
    </w:pPr>
    <w:tblPr>
      <w:tblStyleRowBandSize w:val="1"/>
      <w:tblStyleColBandSize w:val="1"/>
      <w:tblBorders>
        <w:top w:color="84b3df" w:space="0" w:sz="8" w:themeColor="accent1" w:themeTint="0000BF" w:val="single"/>
        <w:left w:color="84b3df" w:space="0" w:sz="8" w:themeColor="accent1" w:themeTint="0000BF" w:val="single"/>
        <w:bottom w:color="84b3df" w:space="0" w:sz="8" w:themeColor="accent1" w:themeTint="0000BF" w:val="single"/>
        <w:right w:color="84b3df" w:space="0" w:sz="8" w:themeColor="accent1" w:themeTint="0000BF" w:val="single"/>
        <w:insideH w:color="84b3df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84b3df" w:space="0" w:sz="8" w:themeColor="accent1" w:themeTint="0000BF" w:val="single"/>
          <w:left w:color="84b3df" w:space="0" w:sz="8" w:themeColor="accent1" w:themeTint="0000BF" w:val="single"/>
          <w:bottom w:color="84b3df" w:space="0" w:sz="8" w:themeColor="accent1" w:themeTint="0000BF" w:val="single"/>
          <w:right w:color="84b3df" w:space="0" w:sz="8" w:themeColor="accent1" w:themeTint="0000BF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4b3df" w:space="0" w:sz="6" w:themeColor="accent1" w:themeTint="0000BF" w:val="double"/>
          <w:left w:color="84b3df" w:space="0" w:sz="8" w:themeColor="accent1" w:themeTint="0000BF" w:val="single"/>
          <w:bottom w:color="84b3df" w:space="0" w:sz="8" w:themeColor="accent1" w:themeTint="0000BF" w:val="single"/>
          <w:right w:color="84b3df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6e6f4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6e6f4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ablaconcuadrcula">
    <w:name w:val="Table Grid"/>
    <w:basedOn w:val="Tablanormal"/>
    <w:uiPriority w:val="39"/>
    <w:rsid w:val="008F083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decuadrcula4-nfasis11" w:customStyle="1">
    <w:name w:val="Tabla de cuadrícula 4 - Énfasis 11"/>
    <w:basedOn w:val="Tablanormal"/>
    <w:uiPriority w:val="49"/>
    <w:rsid w:val="008F0833"/>
    <w:pPr>
      <w:spacing w:after="0" w:line="240" w:lineRule="auto"/>
    </w:pPr>
    <w:tblPr>
      <w:tblStyleRowBandSize w:val="1"/>
      <w:tblStyleColBandSize w:val="1"/>
      <w:tblBorders>
        <w:top w:color="9cc2e5" w:space="0" w:sz="4" w:themeColor="accent1" w:themeTint="000099" w:val="single"/>
        <w:left w:color="9cc2e5" w:space="0" w:sz="4" w:themeColor="accent1" w:themeTint="000099" w:val="single"/>
        <w:bottom w:color="9cc2e5" w:space="0" w:sz="4" w:themeColor="accent1" w:themeTint="000099" w:val="single"/>
        <w:right w:color="9cc2e5" w:space="0" w:sz="4" w:themeColor="accent1" w:themeTint="000099" w:val="single"/>
        <w:insideH w:color="9cc2e5" w:space="0" w:sz="4" w:themeColor="accent1" w:themeTint="000099" w:val="single"/>
        <w:insideV w:color="9cc2e5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9bd5" w:space="0" w:sz="4" w:themeColor="accent1" w:val="single"/>
          <w:left w:color="5b9bd5" w:space="0" w:sz="4" w:themeColor="accent1" w:val="single"/>
          <w:bottom w:color="5b9bd5" w:space="0" w:sz="4" w:themeColor="accent1" w:val="single"/>
          <w:right w:color="5b9bd5" w:space="0" w:sz="4" w:themeColor="accent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</w:rPr>
      <w:tblPr/>
      <w:tcPr>
        <w:tcBorders>
          <w:top w:color="5b9bd5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themeFill="accent1" w:themeFillTint="000033" w:val="clear"/>
      </w:tcPr>
    </w:tblStylePr>
    <w:tblStylePr w:type="band1Horz">
      <w:tblPr/>
      <w:tcPr>
        <w:shd w:color="auto" w:fill="deeaf6" w:themeFill="accent1" w:themeFillTint="000033" w:val="clear"/>
      </w:tcPr>
    </w:tblStylePr>
  </w:style>
  <w:style w:type="table" w:styleId="Tabladelista4-nfasis11" w:customStyle="1">
    <w:name w:val="Tabla de lista 4 - Énfasis 11"/>
    <w:basedOn w:val="Tablanormal"/>
    <w:uiPriority w:val="49"/>
    <w:rsid w:val="00FC558D"/>
    <w:pPr>
      <w:spacing w:after="0" w:line="240" w:lineRule="auto"/>
    </w:pPr>
    <w:tblPr>
      <w:tblStyleRowBandSize w:val="1"/>
      <w:tblStyleColBandSize w:val="1"/>
      <w:tblBorders>
        <w:top w:color="9cc2e5" w:space="0" w:sz="4" w:themeColor="accent1" w:themeTint="000099" w:val="single"/>
        <w:left w:color="9cc2e5" w:space="0" w:sz="4" w:themeColor="accent1" w:themeTint="000099" w:val="single"/>
        <w:bottom w:color="9cc2e5" w:space="0" w:sz="4" w:themeColor="accent1" w:themeTint="000099" w:val="single"/>
        <w:right w:color="9cc2e5" w:space="0" w:sz="4" w:themeColor="accent1" w:themeTint="000099" w:val="single"/>
        <w:insideH w:color="9cc2e5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9bd5" w:space="0" w:sz="4" w:themeColor="accent1" w:val="single"/>
          <w:left w:color="5b9bd5" w:space="0" w:sz="4" w:themeColor="accent1" w:val="single"/>
          <w:bottom w:color="5b9bd5" w:space="0" w:sz="4" w:themeColor="accent1" w:val="single"/>
          <w:right w:color="5b9bd5" w:space="0" w:sz="4" w:themeColor="accent1" w:val="single"/>
          <w:insideH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</w:rPr>
      <w:tblPr/>
      <w:tcPr>
        <w:tcBorders>
          <w:top w:color="9cc2e5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themeFill="accent1" w:themeFillTint="000033" w:val="clear"/>
      </w:tcPr>
    </w:tblStylePr>
    <w:tblStylePr w:type="band1Horz">
      <w:tblPr/>
      <w:tcPr>
        <w:shd w:color="auto" w:fill="deeaf6" w:themeFill="accent1" w:themeFillTint="000033" w:val="clear"/>
      </w:tcPr>
    </w:tblStylePr>
  </w:style>
  <w:style w:type="table" w:styleId="Tabladelista4-nfasis51" w:customStyle="1">
    <w:name w:val="Tabla de lista 4 - Énfasis 51"/>
    <w:basedOn w:val="Tablanormal"/>
    <w:uiPriority w:val="49"/>
    <w:rsid w:val="008F323F"/>
    <w:pPr>
      <w:spacing w:after="0" w:line="240" w:lineRule="auto"/>
    </w:pPr>
    <w:tblPr>
      <w:tblStyleRowBandSize w:val="1"/>
      <w:tblStyleColBandSize w:val="1"/>
      <w:tblBorders>
        <w:top w:color="8eaadb" w:space="0" w:sz="4" w:themeColor="accent5" w:themeTint="000099" w:val="single"/>
        <w:left w:color="8eaadb" w:space="0" w:sz="4" w:themeColor="accent5" w:themeTint="000099" w:val="single"/>
        <w:bottom w:color="8eaadb" w:space="0" w:sz="4" w:themeColor="accent5" w:themeTint="000099" w:val="single"/>
        <w:right w:color="8eaadb" w:space="0" w:sz="4" w:themeColor="accent5" w:themeTint="000099" w:val="single"/>
        <w:insideH w:color="8eaadb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  <w:insideH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</w:rPr>
      <w:tblPr/>
      <w:tcPr>
        <w:tcBorders>
          <w:top w:color="8eaadb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5" w:themeFillTint="000033" w:val="clear"/>
      </w:tcPr>
    </w:tblStylePr>
    <w:tblStylePr w:type="band1Horz">
      <w:tblPr/>
      <w:tcPr>
        <w:shd w:color="auto" w:fill="d9e2f3" w:themeFill="accent5" w:themeFillTint="000033" w:val="clear"/>
      </w:tcPr>
    </w:tblStylePr>
  </w:style>
  <w:style w:type="table" w:styleId="Tabladecuadrcula4-nfasis51" w:customStyle="1">
    <w:name w:val="Tabla de cuadrícula 4 - Énfasis 51"/>
    <w:basedOn w:val="Tablanormal"/>
    <w:uiPriority w:val="49"/>
    <w:rsid w:val="0034291F"/>
    <w:pPr>
      <w:spacing w:after="0" w:line="240" w:lineRule="auto"/>
    </w:pPr>
    <w:rPr>
      <w:rFonts w:cs="Times New Roman"/>
      <w:sz w:val="20"/>
      <w:szCs w:val="20"/>
    </w:rPr>
    <w:tblPr>
      <w:tblStyleRowBandSize w:val="1"/>
      <w:tblStyleColBandSize w:val="1"/>
      <w:tblBorders>
        <w:top w:color="8eaadb" w:space="0" w:sz="4" w:themeColor="accent5" w:themeTint="000099" w:val="single"/>
        <w:left w:color="8eaadb" w:space="0" w:sz="4" w:themeColor="accent5" w:themeTint="000099" w:val="single"/>
        <w:bottom w:color="8eaadb" w:space="0" w:sz="4" w:themeColor="accent5" w:themeTint="000099" w:val="single"/>
        <w:right w:color="8eaadb" w:space="0" w:sz="4" w:themeColor="accent5" w:themeTint="000099" w:val="single"/>
        <w:insideH w:color="8eaadb" w:space="0" w:sz="4" w:themeColor="accent5" w:themeTint="000099" w:val="single"/>
        <w:insideV w:color="8eaadb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</w:rPr>
      <w:tblPr/>
      <w:tcPr>
        <w:tcBorders>
          <w:top w:color="4472c4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5" w:themeFillTint="000033" w:val="clear"/>
      </w:tcPr>
    </w:tblStylePr>
    <w:tblStylePr w:type="band1Horz">
      <w:tblPr/>
      <w:tcPr>
        <w:shd w:color="auto" w:fill="d9e2f3" w:themeFill="accent5" w:themeFillTint="000033" w:val="clear"/>
      </w:tcPr>
    </w:tblStylePr>
  </w:style>
  <w:style w:type="paragraph" w:styleId="Default" w:customStyle="1">
    <w:name w:val="Default"/>
    <w:rsid w:val="00DB1A9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s-ES"/>
    </w:rPr>
  </w:style>
  <w:style w:type="table" w:styleId="Tablaconcuadrcula5oscura-nfasis5">
    <w:name w:val="Grid Table 5 Dark Accent 5"/>
    <w:basedOn w:val="Tablanormal"/>
    <w:uiPriority w:val="50"/>
    <w:rsid w:val="00787FBE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9e2f3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band1Vert">
      <w:tblPr/>
      <w:tcPr>
        <w:shd w:color="auto" w:fill="b4c6e7" w:themeFill="accent5" w:themeFillTint="000066" w:val="clear"/>
      </w:tcPr>
    </w:tblStylePr>
    <w:tblStylePr w:type="band1Horz">
      <w:tblPr/>
      <w:tcPr>
        <w:shd w:color="auto" w:fill="b4c6e7" w:themeFill="accent5" w:themeFillTint="000066" w:val="clear"/>
      </w:tcPr>
    </w:tblStylePr>
  </w:style>
  <w:style w:type="character" w:styleId="Textoennegrita">
    <w:name w:val="Strong"/>
    <w:uiPriority w:val="22"/>
    <w:qFormat w:val="1"/>
    <w:rsid w:val="00B36B2F"/>
    <w:rPr>
      <w:b w:val="1"/>
      <w:bCs w:val="1"/>
    </w:rPr>
  </w:style>
  <w:style w:type="table" w:styleId="Tabladecuadrcula5oscura-nfasis51" w:customStyle="1">
    <w:name w:val="Tabla de cuadrícula 5 oscura - Énfasis 51"/>
    <w:basedOn w:val="Tablanormal"/>
    <w:uiPriority w:val="50"/>
    <w:rsid w:val="00383A31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9e2f3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band1Vert">
      <w:tblPr/>
      <w:tcPr>
        <w:shd w:color="auto" w:fill="b4c6e7" w:themeFill="accent5" w:themeFillTint="000066" w:val="clear"/>
      </w:tcPr>
    </w:tblStylePr>
    <w:tblStylePr w:type="band1Horz">
      <w:tblPr/>
      <w:tcPr>
        <w:shd w:color="auto" w:fill="b4c6e7" w:themeFill="accent5" w:themeFillTint="000066" w:val="clear"/>
      </w:tcPr>
    </w:tblStylePr>
  </w:style>
  <w:style w:type="table" w:styleId="a" w:customStyle="1">
    <w:basedOn w:val="TableNormal4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4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4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2" w:customStyle="1">
    <w:basedOn w:val="TableNormal4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3" w:customStyle="1">
    <w:basedOn w:val="TableNormal4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</w:style>
  <w:style w:type="table" w:styleId="a4" w:customStyle="1">
    <w:basedOn w:val="TableNormal4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</w:style>
  <w:style w:type="table" w:styleId="a5" w:customStyle="1">
    <w:basedOn w:val="TableNormal4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6" w:customStyle="1">
    <w:basedOn w:val="TableNormal4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Tabladelista4-nfasis1">
    <w:name w:val="List Table 4 Accent 1"/>
    <w:basedOn w:val="Tablanormal"/>
    <w:uiPriority w:val="49"/>
    <w:rsid w:val="004150CA"/>
    <w:pPr>
      <w:spacing w:after="0" w:line="240" w:lineRule="auto"/>
    </w:pPr>
    <w:tblPr>
      <w:tblStyleRowBandSize w:val="1"/>
      <w:tblStyleColBandSize w:val="1"/>
      <w:tblBorders>
        <w:top w:color="9cc2e5" w:space="0" w:sz="4" w:themeColor="accent1" w:themeTint="000099" w:val="single"/>
        <w:left w:color="9cc2e5" w:space="0" w:sz="4" w:themeColor="accent1" w:themeTint="000099" w:val="single"/>
        <w:bottom w:color="9cc2e5" w:space="0" w:sz="4" w:themeColor="accent1" w:themeTint="000099" w:val="single"/>
        <w:right w:color="9cc2e5" w:space="0" w:sz="4" w:themeColor="accent1" w:themeTint="000099" w:val="single"/>
        <w:insideH w:color="9cc2e5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9bd5" w:space="0" w:sz="4" w:themeColor="accent1" w:val="single"/>
          <w:left w:color="5b9bd5" w:space="0" w:sz="4" w:themeColor="accent1" w:val="single"/>
          <w:bottom w:color="5b9bd5" w:space="0" w:sz="4" w:themeColor="accent1" w:val="single"/>
          <w:right w:color="5b9bd5" w:space="0" w:sz="4" w:themeColor="accent1" w:val="single"/>
          <w:insideH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</w:rPr>
      <w:tblPr/>
      <w:tcPr>
        <w:tcBorders>
          <w:top w:color="9cc2e5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themeFill="accent1" w:themeFillTint="000033" w:val="clear"/>
      </w:tcPr>
    </w:tblStylePr>
    <w:tblStylePr w:type="band1Horz">
      <w:tblPr/>
      <w:tcPr>
        <w:shd w:color="auto" w:fill="deeaf6" w:themeFill="accent1" w:themeFillTint="000033" w:val="clear"/>
      </w:tcPr>
    </w:tblStylePr>
  </w:style>
  <w:style w:type="table" w:styleId="a7" w:customStyle="1">
    <w:basedOn w:val="TableNormal3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space="0" w:sz="0" w:val="nil"/>
        </w:tcBorders>
        <w:shd w:color="auto" w:fill="5b9bd5" w:val="clear"/>
      </w:tcPr>
    </w:tblStylePr>
    <w:tblStylePr w:type="lastRow">
      <w:rPr>
        <w:b w:val="1"/>
      </w:rPr>
      <w:tblPr/>
      <w:tcPr>
        <w:tcBorders>
          <w:top w:color="9cc3e5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eebf6" w:val="clear"/>
      </w:tcPr>
    </w:tblStylePr>
    <w:tblStylePr w:type="band1Horz">
      <w:tblPr/>
      <w:tcPr>
        <w:shd w:color="auto" w:fill="deebf6" w:val="clear"/>
      </w:tcPr>
    </w:tblStylePr>
  </w:style>
  <w:style w:type="table" w:styleId="Tablaconcuadrcula5oscura-nfasis1">
    <w:name w:val="Grid Table 5 Dark Accent 1"/>
    <w:basedOn w:val="Tablanormal"/>
    <w:uiPriority w:val="50"/>
    <w:rsid w:val="00D6318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eeaf6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band1Vert">
      <w:tblPr/>
      <w:tcPr>
        <w:shd w:color="auto" w:fill="bdd6ee" w:themeFill="accent1" w:themeFillTint="000066" w:val="clear"/>
      </w:tcPr>
    </w:tblStylePr>
    <w:tblStylePr w:type="band1Horz">
      <w:tblPr/>
      <w:tcPr>
        <w:shd w:color="auto" w:fill="bdd6ee" w:themeFill="accent1" w:themeFillTint="000066" w:val="clear"/>
      </w:tcPr>
    </w:tblStylePr>
  </w:style>
  <w:style w:type="table" w:styleId="a8" w:customStyle="1">
    <w:basedOn w:val="TableNormal2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eebf6" w:val="clear"/>
    </w:tcPr>
    <w:tblStylePr w:type="firstRow">
      <w:rPr>
        <w:b w:val="1"/>
        <w:color w:val="ffffff"/>
      </w:rPr>
      <w:tblPr/>
      <w:tcPr>
        <w:shd w:color="auto" w:fill="5b9bd5" w:val="clear"/>
      </w:tcPr>
    </w:tblStylePr>
    <w:tblStylePr w:type="lastRow">
      <w:rPr>
        <w:b w:val="1"/>
        <w:color w:val="ffffff"/>
      </w:rPr>
      <w:tblPr/>
      <w:tcPr>
        <w:shd w:color="auto" w:fill="5b9bd5" w:val="clear"/>
      </w:tcPr>
    </w:tblStylePr>
    <w:tblStylePr w:type="firstCol">
      <w:rPr>
        <w:b w:val="1"/>
        <w:color w:val="ffffff"/>
      </w:rPr>
      <w:tblPr/>
      <w:tcPr>
        <w:shd w:color="auto" w:fill="5b9bd5" w:val="clear"/>
      </w:tcPr>
    </w:tblStylePr>
    <w:tblStylePr w:type="lastCol">
      <w:rPr>
        <w:b w:val="1"/>
        <w:color w:val="ffffff"/>
      </w:rPr>
      <w:tblPr/>
      <w:tcPr>
        <w:shd w:color="auto" w:fill="5b9bd5" w:val="clear"/>
      </w:tcPr>
    </w:tblStylePr>
    <w:tblStylePr w:type="band1Vert">
      <w:tblPr/>
      <w:tcPr>
        <w:shd w:color="auto" w:fill="bdd7ee" w:val="clear"/>
      </w:tcPr>
    </w:tblStylePr>
    <w:tblStylePr w:type="band1Horz">
      <w:tblPr/>
      <w:tcPr>
        <w:shd w:color="auto" w:fill="bdd7ee" w:val="clear"/>
      </w:tcPr>
    </w:tblStylePr>
  </w:style>
  <w:style w:type="table" w:styleId="a9" w:customStyle="1">
    <w:basedOn w:val="TableNormal1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eebf6" w:val="clear"/>
    </w:tcPr>
    <w:tblStylePr w:type="firstRow">
      <w:rPr>
        <w:b w:val="1"/>
        <w:bCs w:val="1"/>
        <w:color w:val="ffffff"/>
      </w:rPr>
      <w:tblPr/>
      <w:tcPr>
        <w:shd w:color="auto" w:fill="5b9bd5" w:val="clear"/>
      </w:tcPr>
    </w:tblStylePr>
    <w:tblStylePr w:type="lastRow">
      <w:rPr>
        <w:b w:val="1"/>
        <w:bCs w:val="1"/>
        <w:color w:val="ffffff"/>
      </w:rPr>
      <w:tblPr/>
      <w:tcPr>
        <w:shd w:color="auto" w:fill="5b9bd5" w:val="clear"/>
      </w:tcPr>
    </w:tblStylePr>
    <w:tblStylePr w:type="firstCol">
      <w:rPr>
        <w:b w:val="1"/>
        <w:bCs w:val="1"/>
        <w:color w:val="ffffff"/>
      </w:rPr>
      <w:tblPr/>
      <w:tcPr>
        <w:shd w:color="auto" w:fill="5b9bd5" w:val="clear"/>
      </w:tcPr>
    </w:tblStylePr>
    <w:tblStylePr w:type="lastCol">
      <w:rPr>
        <w:b w:val="1"/>
        <w:bCs w:val="1"/>
        <w:color w:val="ffffff"/>
      </w:rPr>
      <w:tblPr/>
      <w:tcPr>
        <w:shd w:color="auto" w:fill="5b9bd5" w:val="clear"/>
      </w:tcPr>
    </w:tblStylePr>
    <w:tblStylePr w:type="band1Vert">
      <w:tblPr/>
      <w:tcPr>
        <w:shd w:color="auto" w:fill="bdd7ee" w:val="clear"/>
      </w:tcPr>
    </w:tblStylePr>
    <w:tblStylePr w:type="band1Horz">
      <w:tblPr/>
      <w:tcPr>
        <w:shd w:color="auto" w:fill="bdd7ee" w:val="clear"/>
      </w:tcPr>
    </w:tblStylePr>
  </w:style>
  <w:style w:type="table" w:styleId="aa" w:customStyle="1">
    <w:basedOn w:val="TableNormal0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color="auto" w:fill="deebf6" w:val="clear"/>
    </w:tcPr>
    <w:tblStylePr w:type="firstRow">
      <w:rPr>
        <w:b w:val="1"/>
        <w:bCs w:val="1"/>
        <w:color w:val="ffffff"/>
      </w:rPr>
      <w:tblPr/>
      <w:tcPr>
        <w:shd w:color="auto" w:fill="5b9bd5" w:val="clear"/>
      </w:tcPr>
    </w:tblStylePr>
    <w:tblStylePr w:type="lastRow">
      <w:rPr>
        <w:b w:val="1"/>
        <w:bCs w:val="1"/>
        <w:color w:val="ffffff"/>
      </w:rPr>
      <w:tblPr/>
      <w:tcPr>
        <w:shd w:color="auto" w:fill="5b9bd5" w:val="clear"/>
      </w:tcPr>
    </w:tblStylePr>
    <w:tblStylePr w:type="firstCol">
      <w:rPr>
        <w:b w:val="1"/>
        <w:bCs w:val="1"/>
        <w:color w:val="ffffff"/>
      </w:rPr>
      <w:tblPr/>
      <w:tcPr>
        <w:shd w:color="auto" w:fill="5b9bd5" w:val="clear"/>
      </w:tcPr>
    </w:tblStylePr>
    <w:tblStylePr w:type="lastCol">
      <w:rPr>
        <w:b w:val="1"/>
        <w:bCs w:val="1"/>
        <w:color w:val="ffffff"/>
      </w:rPr>
      <w:tblPr/>
      <w:tcPr>
        <w:shd w:color="auto" w:fill="5b9bd5" w:val="clear"/>
      </w:tcPr>
    </w:tblStylePr>
    <w:tblStylePr w:type="band1Vert">
      <w:tblPr/>
      <w:tcPr>
        <w:shd w:color="auto" w:fill="bdd7ee" w:val="clear"/>
      </w:tcPr>
    </w:tblStylePr>
    <w:tblStylePr w:type="band1Horz">
      <w:tblPr/>
      <w:tcPr>
        <w:shd w:color="auto" w:fill="bdd7ee" w:val="clear"/>
      </w:tcPr>
    </w:tblStylePr>
  </w:style>
  <w:style w:type="table" w:styleId="Tablaconcuadrcula4-nfasis5">
    <w:name w:val="Grid Table 4 Accent 5"/>
    <w:basedOn w:val="Tablanormal"/>
    <w:uiPriority w:val="49"/>
    <w:rsid w:val="00A025C8"/>
    <w:pPr>
      <w:spacing w:after="0" w:line="240" w:lineRule="auto"/>
    </w:pPr>
    <w:tblPr>
      <w:tblStyleRowBandSize w:val="1"/>
      <w:tblStyleColBandSize w:val="1"/>
      <w:tblBorders>
        <w:top w:color="8eaadb" w:space="0" w:sz="4" w:themeColor="accent5" w:themeTint="000099" w:val="single"/>
        <w:left w:color="8eaadb" w:space="0" w:sz="4" w:themeColor="accent5" w:themeTint="000099" w:val="single"/>
        <w:bottom w:color="8eaadb" w:space="0" w:sz="4" w:themeColor="accent5" w:themeTint="000099" w:val="single"/>
        <w:right w:color="8eaadb" w:space="0" w:sz="4" w:themeColor="accent5" w:themeTint="000099" w:val="single"/>
        <w:insideH w:color="8eaadb" w:space="0" w:sz="4" w:themeColor="accent5" w:themeTint="000099" w:val="single"/>
        <w:insideV w:color="8eaadb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</w:rPr>
      <w:tblPr/>
      <w:tcPr>
        <w:tcBorders>
          <w:top w:color="4472c4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5" w:themeFillTint="000033" w:val="clear"/>
      </w:tcPr>
    </w:tblStylePr>
    <w:tblStylePr w:type="band1Horz">
      <w:tblPr/>
      <w:tcPr>
        <w:shd w:color="auto" w:fill="d9e2f3" w:themeFill="accent5" w:themeFillTint="000033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472c4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y4q4vNC567Zq/P+fQ4T/j+o9Dg==">CgMxLjAyCWguMzBqMHpsbDIOaC56ZWxlc3QyaDhtczgyDmgudnN6emVud2F6OHViOAByITFEX3VkNEE4el8xQllCOW9fREQtMm8xV19PLTl4aElfNQ==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2024-12-17T22:48:00Z</dcterms:created>
  <dc:creator>ACER</dc:creator>
</cp:coreProperties>
</file>