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166"/>
      </w:tblGrid>
      <w:tr>
        <w:tc>
          <w:tcPr>
            <w:tcW w:type="dxa" w:w="10080"/>
            <w:shd w:fill="17324D"/>
            <w:tcMar>
              <w:top w:w="250" w:type="dxa"/>
              <w:start w:w="220" w:type="dxa"/>
              <w:bottom w:w="250" w:type="dxa"/>
              <w:end w:w="220" w:type="dxa"/>
            </w:tcMar>
          </w:tcPr>
          <w:p>
            <w:pPr>
              <w:spacing w:after="160"/>
              <w:jc w:val="left"/>
            </w:pPr>
            <w:r>
              <w:rPr>
                <w:rFonts w:ascii="Arial" w:hAnsi="Arial"/>
                <w:b/>
                <w:i w:val="0"/>
                <w:color w:val="FFFFFF"/>
                <w:sz w:val="50"/>
              </w:rPr>
              <w:t>ENDOSPOOL COMMERCIALIZATION PREPAREDNESS, MARKET ENTRY &amp; CHANNEL DEVELOPMENT</w:t>
            </w:r>
          </w:p>
          <w:p>
            <w:pPr>
              <w:spacing w:after="0"/>
            </w:pPr>
            <w:r>
              <w:rPr>
                <w:rFonts w:ascii="Arial" w:hAnsi="Arial"/>
                <w:b w:val="0"/>
                <w:i w:val="0"/>
                <w:color w:val="D7E5F1"/>
                <w:sz w:val="24"/>
              </w:rPr>
              <w:t>Statement of Work with Selectable Readiness, OUS, Digital Enablement, and Commercial Activation Pathways</w:t>
            </w:r>
          </w:p>
        </w:tc>
      </w:tr>
    </w:tbl>
    <w:p/>
    <w:p>
      <w:pPr>
        <w:spacing w:after="40"/>
        <w:jc w:val="left"/>
      </w:pPr>
      <w:r>
        <w:rPr>
          <w:rFonts w:ascii="Arial" w:hAnsi="Arial"/>
          <w:b/>
          <w:i w:val="0"/>
          <w:color w:val="2F8F83"/>
          <w:sz w:val="18"/>
        </w:rPr>
        <w:t>Prepared for</w:t>
      </w:r>
    </w:p>
    <w:p>
      <w:pPr>
        <w:spacing w:after="240"/>
      </w:pPr>
      <w:r>
        <w:rPr>
          <w:rFonts w:ascii="Arial" w:hAnsi="Arial"/>
          <w:b/>
          <w:i w:val="0"/>
          <w:color w:val="17324D"/>
          <w:sz w:val="32"/>
        </w:rPr>
        <w:t>EndoSpool</w:t>
      </w:r>
    </w:p>
    <w:p>
      <w:pPr>
        <w:spacing w:after="40"/>
      </w:pPr>
      <w:r>
        <w:rPr>
          <w:rFonts w:ascii="Arial" w:hAnsi="Arial"/>
          <w:b/>
          <w:i w:val="0"/>
          <w:color w:val="2F8F83"/>
          <w:sz w:val="18"/>
        </w:rPr>
        <w:t>Prepared by</w:t>
      </w:r>
    </w:p>
    <w:p>
      <w:r>
        <w:rPr>
          <w:rFonts w:ascii="Arial" w:hAnsi="Arial"/>
          <w:b/>
          <w:i w:val="0"/>
          <w:color w:val="17324D"/>
          <w:sz w:val="30"/>
        </w:rPr>
        <w:t>1099Reps.com</w:t>
      </w:r>
    </w:p>
    <w:p>
      <w:r>
        <w:rPr>
          <w:rFonts w:ascii="Arial" w:hAnsi="Arial"/>
          <w:b w:val="0"/>
          <w:i w:val="0"/>
          <w:color w:val="1F2933"/>
          <w:sz w:val="21"/>
        </w:rPr>
        <w:t>Commercialization Architecture Practice</w:t>
      </w:r>
    </w:p>
    <w:p>
      <w:pPr>
        <w:spacing w:after="240"/>
      </w:pPr>
      <w:r>
        <w:rPr>
          <w:rFonts w:ascii="Arial" w:hAnsi="Arial"/>
          <w:b w:val="0"/>
          <w:i w:val="0"/>
          <w:color w:val="1F2933"/>
          <w:sz w:val="21"/>
        </w:rPr>
        <w:t>Engagement Lead: Traves Brady</w:t>
      </w:r>
    </w:p>
    <w:tbl>
      <w:tblPr>
        <w:tblW w:type="auto" w:w="0"/>
        <w:jc w:val="center"/>
        <w:tblLook w:firstColumn="1" w:firstRow="1" w:lastColumn="0" w:lastRow="0" w:noHBand="0" w:noVBand="1" w:val="04A0"/>
      </w:tblPr>
      <w:tblGrid>
        <w:gridCol w:w="10166"/>
      </w:tblGrid>
      <w:tr>
        <w:tc>
          <w:tcPr>
            <w:tcW w:type="dxa" w:w="10166"/>
            <w:shd w:fill="E8F4F1"/>
            <w:tcMar>
              <w:top w:w="160" w:type="dxa"/>
              <w:start w:w="170" w:type="dxa"/>
              <w:bottom w:w="160" w:type="dxa"/>
              <w:end w:w="170" w:type="dxa"/>
            </w:tcMar>
          </w:tcPr>
          <w:p>
            <w:r>
              <w:rPr>
                <w:rFonts w:ascii="Arial" w:hAnsi="Arial"/>
                <w:b/>
                <w:i w:val="0"/>
                <w:color w:val="2F8F83"/>
                <w:sz w:val="21"/>
              </w:rPr>
              <w:t>Engagement purpose</w:t>
            </w:r>
          </w:p>
          <w:p>
            <w:pPr>
              <w:spacing w:after="0"/>
            </w:pPr>
            <w:r>
              <w:rPr>
                <w:rFonts w:ascii="Arial" w:hAnsi="Arial"/>
                <w:b w:val="0"/>
                <w:i w:val="0"/>
                <w:color w:val="1F2933"/>
                <w:sz w:val="21"/>
              </w:rPr>
              <w:t>Establish a decision-ready commercialization, launch-readiness, market-entry, and channel-development pathway for EndoSpool across U.S. and selected OUS markets while preserving regulatory discipline, manufacturing scalability, pricing power, and strategic optionality.</w:t>
            </w:r>
          </w:p>
        </w:tc>
      </w:tr>
    </w:tbl>
    <w:p/>
    <w:p>
      <w:pPr>
        <w:jc w:val="right"/>
      </w:pPr>
      <w:r>
        <w:rPr>
          <w:rFonts w:ascii="Arial" w:hAnsi="Arial"/>
          <w:b/>
          <w:i w:val="0"/>
          <w:color w:val="667085"/>
          <w:sz w:val="18"/>
        </w:rPr>
        <w:t>Draft for Discussion | August 2026</w:t>
      </w:r>
    </w:p>
    <w:p>
      <w:r>
        <w:br w:type="page"/>
      </w:r>
    </w:p>
    <w:p>
      <w:pPr>
        <w:pStyle w:val="Heading1"/>
      </w:pPr>
      <w:r>
        <w:t>1. Executive Engagement Frame</w:t>
      </w:r>
    </w:p>
    <w:p>
      <w:r>
        <w:rPr>
          <w:rFonts w:ascii="Arial" w:hAnsi="Arial"/>
          <w:b w:val="0"/>
          <w:i w:val="0"/>
          <w:color w:val="1F2933"/>
          <w:sz w:val="20"/>
        </w:rPr>
        <w:t>EndoSpool appears to have moved beyond the question of whether a commercialization opportunity exists. The more valuable question is how to sequence market entry so that product readiness, human-use evidence, manufacturing capacity, shelf-life support, pricing, distribution, clinical education, regulatory discipline, and organizational capacity advance together rather than in conflict.</w:t>
      </w:r>
    </w:p>
    <w:p>
      <w:r>
        <w:rPr>
          <w:rFonts w:ascii="Arial" w:hAnsi="Arial"/>
          <w:b w:val="0"/>
          <w:i w:val="0"/>
          <w:color w:val="1F2933"/>
          <w:sz w:val="20"/>
        </w:rPr>
        <w:t>1099Reps.com therefore proposes a phased engagement. EndoSpool may select either a focused six-week sprint or a full three-month commercialization preparedness program. Upon completion of the selected readiness phase and satisfaction of agreed launch gates, EndoSpool may activate U.S. salesforce and distribution development, OUS market development, digital enablement tools, or a combination of these pathways.</w:t>
      </w:r>
    </w:p>
    <w:tbl>
      <w:tblPr>
        <w:tblW w:type="auto" w:w="0"/>
        <w:jc w:val="center"/>
        <w:tblLayout w:type="fixed"/>
        <w:tblLook w:firstColumn="1" w:firstRow="1" w:lastColumn="0" w:lastRow="0" w:noHBand="0" w:noVBand="1" w:val="04A0"/>
      </w:tblPr>
      <w:tblGrid>
        <w:gridCol w:w="10166"/>
      </w:tblGrid>
      <w:tr>
        <w:tc>
          <w:tcPr>
            <w:tcW w:type="dxa" w:w="10080"/>
            <w:shd w:fill="EAF2F8"/>
            <w:tcMar>
              <w:top w:w="120" w:type="dxa"/>
              <w:start w:w="145" w:type="dxa"/>
              <w:bottom w:w="120" w:type="dxa"/>
              <w:end w:w="145" w:type="dxa"/>
            </w:tcMar>
          </w:tcPr>
          <w:p>
            <w:pPr>
              <w:spacing w:after="60"/>
            </w:pPr>
            <w:r>
              <w:rPr>
                <w:rFonts w:ascii="Arial" w:hAnsi="Arial"/>
                <w:b/>
                <w:i w:val="0"/>
                <w:color w:val="17324D"/>
                <w:sz w:val="20"/>
              </w:rPr>
              <w:t>Guiding principle</w:t>
            </w:r>
          </w:p>
          <w:p>
            <w:pPr>
              <w:spacing w:after="0"/>
            </w:pPr>
            <w:r>
              <w:rPr>
                <w:rFonts w:ascii="Arial" w:hAnsi="Arial"/>
                <w:b w:val="0"/>
                <w:i w:val="0"/>
                <w:color w:val="1F2933"/>
                <w:sz w:val="19"/>
              </w:rPr>
              <w:t>The work is designed to maximize EndoSpool's long-term launch success and strategic value. It does not presume that a broad independent-representative launch, stocking-distributor model, OEM relationship, licensing transaction, or OUS pathway is automatically superior. Each pathway will be tested against the evidence and operating realities.</w:t>
            </w:r>
          </w:p>
        </w:tc>
      </w:tr>
    </w:tbl>
    <w:p>
      <w:pPr>
        <w:spacing w:after="0"/>
      </w:pPr>
    </w:p>
    <w:p>
      <w:pPr>
        <w:pStyle w:val="Heading1"/>
      </w:pPr>
      <w:r>
        <w:t>2. Current-State Assumptions to Be Validated</w:t>
      </w:r>
    </w:p>
    <w:p>
      <w:pPr>
        <w:pStyle w:val="ListBullet"/>
        <w:spacing w:after="80"/>
        <w:ind w:left="317" w:hanging="202"/>
      </w:pPr>
      <w:r>
        <w:rPr>
          <w:rFonts w:ascii="Arial" w:hAnsi="Arial"/>
          <w:b w:val="0"/>
          <w:i w:val="0"/>
          <w:color w:val="1F2933"/>
          <w:sz w:val="18"/>
        </w:rPr>
        <w:t>The sterile device is intended to house three loaded sterile tubes and pass through an 8 mm trocar.</w:t>
      </w:r>
    </w:p>
    <w:p>
      <w:pPr>
        <w:pStyle w:val="ListBullet"/>
        <w:spacing w:after="80"/>
        <w:ind w:left="317" w:hanging="202"/>
      </w:pPr>
      <w:r>
        <w:rPr>
          <w:rFonts w:ascii="Arial" w:hAnsi="Arial"/>
          <w:b w:val="0"/>
          <w:i w:val="0"/>
          <w:color w:val="1F2933"/>
          <w:sz w:val="18"/>
        </w:rPr>
        <w:t>The product is intended to be brand agnostic with respect to compatible suture selection, subject to final labeling, validation, and configuration.</w:t>
      </w:r>
    </w:p>
    <w:p>
      <w:pPr>
        <w:pStyle w:val="ListBullet"/>
        <w:spacing w:after="80"/>
        <w:ind w:left="317" w:hanging="202"/>
      </w:pPr>
      <w:r>
        <w:rPr>
          <w:rFonts w:ascii="Arial" w:hAnsi="Arial"/>
          <w:b w:val="0"/>
          <w:i w:val="0"/>
          <w:color w:val="1F2933"/>
          <w:sz w:val="18"/>
        </w:rPr>
        <w:t>Management currently anticipates a U.S. Class I, 510(k)-exempt pathway; the exact product code, intended-use boundaries, sterile-device obligations, registration/listing plan, and quality requirements remain subject to formal confirmation.</w:t>
      </w:r>
    </w:p>
    <w:p>
      <w:pPr>
        <w:pStyle w:val="ListBullet"/>
        <w:spacing w:after="80"/>
        <w:ind w:left="317" w:hanging="202"/>
      </w:pPr>
      <w:r>
        <w:rPr>
          <w:rFonts w:ascii="Arial" w:hAnsi="Arial"/>
          <w:b w:val="0"/>
          <w:i w:val="0"/>
          <w:color w:val="1F2933"/>
          <w:sz w:val="18"/>
        </w:rPr>
        <w:t>Pig-lab work is underway; human-use commercial product is not yet available.</w:t>
      </w:r>
    </w:p>
    <w:p>
      <w:pPr>
        <w:pStyle w:val="ListBullet"/>
        <w:spacing w:after="80"/>
        <w:ind w:left="317" w:hanging="202"/>
      </w:pPr>
      <w:r>
        <w:rPr>
          <w:rFonts w:ascii="Arial" w:hAnsi="Arial"/>
          <w:b w:val="0"/>
          <w:i w:val="0"/>
          <w:color w:val="1F2933"/>
          <w:sz w:val="18"/>
        </w:rPr>
        <w:t>Initial manufacturing capacity is expected to be approximately 1,000 units per month, with subsequent scale-up and accelerated-aging data intended to support a two-year shelf-life claim in approximately months six through eight.</w:t>
      </w:r>
    </w:p>
    <w:p>
      <w:pPr>
        <w:pStyle w:val="ListBullet"/>
        <w:spacing w:after="80"/>
        <w:ind w:left="317" w:hanging="202"/>
      </w:pPr>
      <w:r>
        <w:rPr>
          <w:rFonts w:ascii="Arial" w:hAnsi="Arial"/>
          <w:b w:val="0"/>
          <w:i w:val="0"/>
          <w:color w:val="1F2933"/>
          <w:sz w:val="18"/>
        </w:rPr>
        <w:t>Current quoted COGS are approximately $32 per unit at 1,000 units, $26 at 5,000 units, and $21 at 10,000 units, subject to verification of all included and excluded cost elements.</w:t>
      </w:r>
    </w:p>
    <w:p>
      <w:pPr>
        <w:pStyle w:val="ListBullet"/>
        <w:spacing w:after="80"/>
        <w:ind w:left="317" w:hanging="202"/>
      </w:pPr>
      <w:r>
        <w:rPr>
          <w:rFonts w:ascii="Arial" w:hAnsi="Arial"/>
          <w:b w:val="0"/>
          <w:i w:val="0"/>
          <w:color w:val="1F2933"/>
          <w:sz w:val="18"/>
        </w:rPr>
        <w:t>A contemplated end-user price is approximately $270 per unit. A stocking-distributor concept has been discussed at approximately 55% to EndoSpool and 45% to the distributor, implying an illustrative transfer price of $148.50.</w:t>
      </w:r>
    </w:p>
    <w:p>
      <w:pPr>
        <w:pStyle w:val="ListBullet"/>
        <w:spacing w:after="80"/>
        <w:ind w:left="317" w:hanging="202"/>
      </w:pPr>
      <w:r>
        <w:rPr>
          <w:rFonts w:ascii="Arial" w:hAnsi="Arial"/>
          <w:b w:val="0"/>
          <w:i w:val="0"/>
          <w:color w:val="1F2933"/>
          <w:sz w:val="18"/>
        </w:rPr>
        <w:t>EndoSpool is open to direct, representative, stocking-distributor, strategic-distributor, OEM, licensing, private-label, bundled, and OUS pathways.</w:t>
      </w:r>
    </w:p>
    <w:p>
      <w:pPr>
        <w:pStyle w:val="ListBullet"/>
        <w:spacing w:after="80"/>
        <w:ind w:left="317" w:hanging="202"/>
      </w:pPr>
      <w:r>
        <w:rPr>
          <w:rFonts w:ascii="Arial" w:hAnsi="Arial"/>
          <w:b w:val="0"/>
          <w:i w:val="0"/>
          <w:color w:val="1F2933"/>
          <w:sz w:val="18"/>
        </w:rPr>
        <w:t>A prior licensing effort with Gore was not completed; the process and feedback may provide useful strategic diligence.</w:t>
      </w:r>
    </w:p>
    <w:p>
      <w:pPr>
        <w:pStyle w:val="ListBullet"/>
        <w:spacing w:after="80"/>
        <w:ind w:left="317" w:hanging="202"/>
      </w:pPr>
      <w:r>
        <w:rPr>
          <w:rFonts w:ascii="Arial" w:hAnsi="Arial"/>
          <w:b w:val="0"/>
          <w:i w:val="0"/>
          <w:color w:val="1F2933"/>
          <w:sz w:val="18"/>
        </w:rPr>
        <w:t>EndoSpool expects an initial market launch in or around October 2026, subject to regulatory, product, manufacturing, labeling, shelf-life, and human-use readiness.</w:t>
      </w:r>
    </w:p>
    <w:p>
      <w:r>
        <w:rPr>
          <w:rFonts w:ascii="Arial" w:hAnsi="Arial"/>
          <w:b w:val="0"/>
          <w:i w:val="0"/>
          <w:color w:val="1F2933"/>
          <w:sz w:val="20"/>
        </w:rPr>
        <w:t>These assumptions are not represented as verified facts or regulatory conclusions. They define the initial diligence agenda and will be updated during the selected engagement.</w:t>
      </w:r>
    </w:p>
    <w:p>
      <w:pPr>
        <w:pStyle w:val="Heading1"/>
      </w:pPr>
      <w:r>
        <w:t>3. Engagement Architecture and Fees at a Glance</w:t>
      </w:r>
    </w:p>
    <w:tbl>
      <w:tblPr>
        <w:tblStyle w:val="TableGrid"/>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604"/>
            <w:shd w:fill="17324D"/>
            <w:vAlign w:val="center"/>
            <w:tcMar>
              <w:top w:w="75" w:type="dxa"/>
              <w:start w:w="75" w:type="dxa"/>
              <w:bottom w:w="75" w:type="dxa"/>
              <w:end w:w="75" w:type="dxa"/>
            </w:tcMar>
          </w:tcPr>
          <w:p>
            <w:pPr>
              <w:jc w:val="left"/>
            </w:pPr>
            <w:r>
              <w:rPr>
                <w:rFonts w:ascii="Arial" w:hAnsi="Arial"/>
                <w:b/>
                <w:i w:val="0"/>
                <w:color w:val="FFFFFF"/>
                <w:sz w:val="17"/>
              </w:rPr>
              <w:t>Path</w:t>
            </w:r>
          </w:p>
        </w:tc>
        <w:tc>
          <w:tcPr>
            <w:tcW w:type="dxa" w:w="2808"/>
            <w:shd w:fill="17324D"/>
            <w:vAlign w:val="center"/>
            <w:tcMar>
              <w:top w:w="75" w:type="dxa"/>
              <w:start w:w="75" w:type="dxa"/>
              <w:bottom w:w="75" w:type="dxa"/>
              <w:end w:w="75" w:type="dxa"/>
            </w:tcMar>
          </w:tcPr>
          <w:p>
            <w:pPr>
              <w:jc w:val="left"/>
            </w:pPr>
            <w:r>
              <w:rPr>
                <w:rFonts w:ascii="Arial" w:hAnsi="Arial"/>
                <w:b/>
                <w:i w:val="0"/>
                <w:color w:val="FFFFFF"/>
                <w:sz w:val="17"/>
              </w:rPr>
              <w:t>Module</w:t>
            </w:r>
          </w:p>
        </w:tc>
        <w:tc>
          <w:tcPr>
            <w:tcW w:type="dxa" w:w="1180"/>
            <w:shd w:fill="17324D"/>
            <w:vAlign w:val="center"/>
            <w:tcMar>
              <w:top w:w="75" w:type="dxa"/>
              <w:start w:w="75" w:type="dxa"/>
              <w:bottom w:w="75" w:type="dxa"/>
              <w:end w:w="75" w:type="dxa"/>
            </w:tcMar>
          </w:tcPr>
          <w:p>
            <w:pPr>
              <w:jc w:val="left"/>
            </w:pPr>
            <w:r>
              <w:rPr>
                <w:rFonts w:ascii="Arial" w:hAnsi="Arial"/>
                <w:b/>
                <w:i w:val="0"/>
                <w:color w:val="FFFFFF"/>
                <w:sz w:val="17"/>
              </w:rPr>
              <w:t>Duration</w:t>
            </w:r>
          </w:p>
        </w:tc>
        <w:tc>
          <w:tcPr>
            <w:tcW w:type="dxa" w:w="1800"/>
            <w:shd w:fill="17324D"/>
            <w:vAlign w:val="center"/>
            <w:tcMar>
              <w:top w:w="75" w:type="dxa"/>
              <w:start w:w="75" w:type="dxa"/>
              <w:bottom w:w="75" w:type="dxa"/>
              <w:end w:w="75" w:type="dxa"/>
            </w:tcMar>
          </w:tcPr>
          <w:p>
            <w:pPr>
              <w:jc w:val="left"/>
            </w:pPr>
            <w:r>
              <w:rPr>
                <w:rFonts w:ascii="Arial" w:hAnsi="Arial"/>
                <w:b/>
                <w:i w:val="0"/>
                <w:color w:val="FFFFFF"/>
                <w:sz w:val="17"/>
              </w:rPr>
              <w:t>Professional Fee</w:t>
            </w:r>
          </w:p>
        </w:tc>
        <w:tc>
          <w:tcPr>
            <w:tcW w:type="dxa" w:w="3671"/>
            <w:shd w:fill="17324D"/>
            <w:vAlign w:val="center"/>
            <w:tcMar>
              <w:top w:w="75" w:type="dxa"/>
              <w:start w:w="75" w:type="dxa"/>
              <w:bottom w:w="75" w:type="dxa"/>
              <w:end w:w="75" w:type="dxa"/>
            </w:tcMar>
          </w:tcPr>
          <w:p>
            <w:pPr>
              <w:jc w:val="left"/>
            </w:pPr>
            <w:r>
              <w:rPr>
                <w:rFonts w:ascii="Arial" w:hAnsi="Arial"/>
                <w:b/>
                <w:i w:val="0"/>
                <w:color w:val="FFFFFF"/>
                <w:sz w:val="17"/>
              </w:rPr>
              <w:t>Purpose</w:t>
            </w:r>
          </w:p>
        </w:tc>
      </w:tr>
      <w:tr>
        <w:trPr>
          <w:cantSplit/>
        </w:trPr>
        <w:tc>
          <w:tcPr>
            <w:tcW w:type="dxa" w:w="604"/>
            <w:vAlign w:val="top"/>
            <w:tcMar>
              <w:top w:w="65" w:type="dxa"/>
              <w:start w:w="70" w:type="dxa"/>
              <w:bottom w:w="65" w:type="dxa"/>
              <w:end w:w="70" w:type="dxa"/>
            </w:tcMar>
          </w:tcPr>
          <w:p>
            <w:pPr>
              <w:spacing w:after="0"/>
            </w:pPr>
            <w:r>
              <w:rPr>
                <w:rFonts w:ascii="Arial" w:hAnsi="Arial"/>
                <w:b w:val="0"/>
                <w:i w:val="0"/>
                <w:color w:val="1F2933"/>
                <w:sz w:val="16"/>
              </w:rPr>
              <w:t>A</w:t>
            </w:r>
          </w:p>
        </w:tc>
        <w:tc>
          <w:tcPr>
            <w:tcW w:type="dxa" w:w="2808"/>
            <w:vAlign w:val="top"/>
            <w:tcMar>
              <w:top w:w="65" w:type="dxa"/>
              <w:start w:w="70" w:type="dxa"/>
              <w:bottom w:w="65" w:type="dxa"/>
              <w:end w:w="70" w:type="dxa"/>
            </w:tcMar>
          </w:tcPr>
          <w:p>
            <w:pPr>
              <w:spacing w:after="0"/>
            </w:pPr>
            <w:r>
              <w:rPr>
                <w:rFonts w:ascii="Arial" w:hAnsi="Arial"/>
                <w:b w:val="0"/>
                <w:i w:val="0"/>
                <w:color w:val="1F2933"/>
                <w:sz w:val="16"/>
              </w:rPr>
              <w:t>6-Week Commercialization Preparedness Sprint</w:t>
            </w:r>
          </w:p>
        </w:tc>
        <w:tc>
          <w:tcPr>
            <w:tcW w:type="dxa" w:w="1180"/>
            <w:vAlign w:val="top"/>
            <w:tcMar>
              <w:top w:w="65" w:type="dxa"/>
              <w:start w:w="70" w:type="dxa"/>
              <w:bottom w:w="65" w:type="dxa"/>
              <w:end w:w="70" w:type="dxa"/>
            </w:tcMar>
          </w:tcPr>
          <w:p>
            <w:pPr>
              <w:spacing w:after="0"/>
            </w:pPr>
            <w:r>
              <w:rPr>
                <w:rFonts w:ascii="Arial" w:hAnsi="Arial"/>
                <w:b w:val="0"/>
                <w:i w:val="0"/>
                <w:color w:val="1F2933"/>
                <w:sz w:val="16"/>
              </w:rPr>
              <w:t>6 weeks</w:t>
            </w:r>
          </w:p>
        </w:tc>
        <w:tc>
          <w:tcPr>
            <w:tcW w:type="dxa" w:w="1800"/>
            <w:vAlign w:val="top"/>
            <w:tcMar>
              <w:top w:w="65" w:type="dxa"/>
              <w:start w:w="70" w:type="dxa"/>
              <w:bottom w:w="65" w:type="dxa"/>
              <w:end w:w="70" w:type="dxa"/>
            </w:tcMar>
          </w:tcPr>
          <w:p>
            <w:pPr>
              <w:spacing w:after="0"/>
            </w:pPr>
            <w:r>
              <w:rPr>
                <w:rFonts w:ascii="Arial" w:hAnsi="Arial"/>
                <w:b w:val="0"/>
                <w:i w:val="0"/>
                <w:color w:val="1F2933"/>
                <w:sz w:val="16"/>
              </w:rPr>
              <w:t>$27,500</w:t>
            </w:r>
          </w:p>
        </w:tc>
        <w:tc>
          <w:tcPr>
            <w:tcW w:type="dxa" w:w="3671"/>
            <w:vAlign w:val="top"/>
            <w:tcMar>
              <w:top w:w="65" w:type="dxa"/>
              <w:start w:w="70" w:type="dxa"/>
              <w:bottom w:w="65" w:type="dxa"/>
              <w:end w:w="70" w:type="dxa"/>
            </w:tcMar>
          </w:tcPr>
          <w:p>
            <w:pPr>
              <w:spacing w:after="0"/>
            </w:pPr>
            <w:r>
              <w:rPr>
                <w:rFonts w:ascii="Arial" w:hAnsi="Arial"/>
                <w:b w:val="0"/>
                <w:i w:val="0"/>
                <w:color w:val="1F2933"/>
                <w:sz w:val="16"/>
              </w:rPr>
              <w:t>Focused readiness, economics, channel, manufacturing-risk, and launch-gate assessment.</w:t>
            </w:r>
          </w:p>
        </w:tc>
      </w:tr>
      <w:tr>
        <w:trPr>
          <w:cantSplit/>
        </w:trPr>
        <w:tc>
          <w:tcPr>
            <w:tcW w:type="dxa" w:w="604"/>
            <w:vAlign w:val="top"/>
            <w:tcMar>
              <w:top w:w="65" w:type="dxa"/>
              <w:start w:w="70" w:type="dxa"/>
              <w:bottom w:w="65" w:type="dxa"/>
              <w:end w:w="70" w:type="dxa"/>
            </w:tcMar>
          </w:tcPr>
          <w:p>
            <w:pPr>
              <w:spacing w:after="0"/>
            </w:pPr>
            <w:r>
              <w:rPr>
                <w:rFonts w:ascii="Arial" w:hAnsi="Arial"/>
                <w:b w:val="0"/>
                <w:i w:val="0"/>
                <w:color w:val="1F2933"/>
                <w:sz w:val="16"/>
              </w:rPr>
              <w:t>B</w:t>
            </w:r>
          </w:p>
        </w:tc>
        <w:tc>
          <w:tcPr>
            <w:tcW w:type="dxa" w:w="2808"/>
            <w:vAlign w:val="top"/>
            <w:tcMar>
              <w:top w:w="65" w:type="dxa"/>
              <w:start w:w="70" w:type="dxa"/>
              <w:bottom w:w="65" w:type="dxa"/>
              <w:end w:w="70" w:type="dxa"/>
            </w:tcMar>
          </w:tcPr>
          <w:p>
            <w:pPr>
              <w:spacing w:after="0"/>
            </w:pPr>
            <w:r>
              <w:rPr>
                <w:rFonts w:ascii="Arial" w:hAnsi="Arial"/>
                <w:b w:val="0"/>
                <w:i w:val="0"/>
                <w:color w:val="1F2933"/>
                <w:sz w:val="16"/>
              </w:rPr>
              <w:t>3-Month Integrated Commercialization Preparedness Program - Recommended</w:t>
            </w:r>
          </w:p>
        </w:tc>
        <w:tc>
          <w:tcPr>
            <w:tcW w:type="dxa" w:w="1180"/>
            <w:vAlign w:val="top"/>
            <w:tcMar>
              <w:top w:w="65" w:type="dxa"/>
              <w:start w:w="70" w:type="dxa"/>
              <w:bottom w:w="65" w:type="dxa"/>
              <w:end w:w="70" w:type="dxa"/>
            </w:tcMar>
          </w:tcPr>
          <w:p>
            <w:pPr>
              <w:spacing w:after="0"/>
            </w:pPr>
            <w:r>
              <w:rPr>
                <w:rFonts w:ascii="Arial" w:hAnsi="Arial"/>
                <w:b w:val="0"/>
                <w:i w:val="0"/>
                <w:color w:val="1F2933"/>
                <w:sz w:val="16"/>
              </w:rPr>
              <w:t>12 weeks</w:t>
            </w:r>
          </w:p>
        </w:tc>
        <w:tc>
          <w:tcPr>
            <w:tcW w:type="dxa" w:w="1800"/>
            <w:vAlign w:val="top"/>
            <w:tcMar>
              <w:top w:w="65" w:type="dxa"/>
              <w:start w:w="70" w:type="dxa"/>
              <w:bottom w:w="65" w:type="dxa"/>
              <w:end w:w="70" w:type="dxa"/>
            </w:tcMar>
          </w:tcPr>
          <w:p>
            <w:pPr>
              <w:spacing w:after="0"/>
            </w:pPr>
            <w:r>
              <w:rPr>
                <w:rFonts w:ascii="Arial" w:hAnsi="Arial"/>
                <w:b w:val="0"/>
                <w:i w:val="0"/>
                <w:color w:val="1F2933"/>
                <w:sz w:val="16"/>
              </w:rPr>
              <w:t>$43,500</w:t>
            </w:r>
          </w:p>
        </w:tc>
        <w:tc>
          <w:tcPr>
            <w:tcW w:type="dxa" w:w="3671"/>
            <w:vAlign w:val="top"/>
            <w:tcMar>
              <w:top w:w="65" w:type="dxa"/>
              <w:start w:w="70" w:type="dxa"/>
              <w:bottom w:w="65" w:type="dxa"/>
              <w:end w:w="70" w:type="dxa"/>
            </w:tcMar>
          </w:tcPr>
          <w:p>
            <w:pPr>
              <w:spacing w:after="0"/>
            </w:pPr>
            <w:r>
              <w:rPr>
                <w:rFonts w:ascii="Arial" w:hAnsi="Arial"/>
                <w:b w:val="0"/>
                <w:i w:val="0"/>
                <w:color w:val="1F2933"/>
                <w:sz w:val="16"/>
              </w:rPr>
              <w:t>Full commercialization, manufacturing, quality, channel, OUS screen, digital requirements, and launch architecture.</w:t>
            </w:r>
          </w:p>
        </w:tc>
      </w:tr>
      <w:tr>
        <w:trPr>
          <w:cantSplit/>
        </w:trPr>
        <w:tc>
          <w:tcPr>
            <w:tcW w:type="dxa" w:w="604"/>
            <w:vAlign w:val="top"/>
            <w:tcMar>
              <w:top w:w="65" w:type="dxa"/>
              <w:start w:w="70" w:type="dxa"/>
              <w:bottom w:w="65" w:type="dxa"/>
              <w:end w:w="70" w:type="dxa"/>
            </w:tcMar>
          </w:tcPr>
          <w:p>
            <w:pPr>
              <w:spacing w:after="0"/>
            </w:pPr>
            <w:r>
              <w:rPr>
                <w:rFonts w:ascii="Arial" w:hAnsi="Arial"/>
                <w:b w:val="0"/>
                <w:i w:val="0"/>
                <w:color w:val="1F2933"/>
                <w:sz w:val="16"/>
              </w:rPr>
              <w:t>C</w:t>
            </w:r>
          </w:p>
        </w:tc>
        <w:tc>
          <w:tcPr>
            <w:tcW w:type="dxa" w:w="2808"/>
            <w:vAlign w:val="top"/>
            <w:tcMar>
              <w:top w:w="65" w:type="dxa"/>
              <w:start w:w="70" w:type="dxa"/>
              <w:bottom w:w="65" w:type="dxa"/>
              <w:end w:w="70" w:type="dxa"/>
            </w:tcMar>
          </w:tcPr>
          <w:p>
            <w:pPr>
              <w:spacing w:after="0"/>
            </w:pPr>
            <w:r>
              <w:rPr>
                <w:rFonts w:ascii="Arial" w:hAnsi="Arial"/>
                <w:b w:val="0"/>
                <w:i w:val="0"/>
                <w:color w:val="1F2933"/>
                <w:sz w:val="16"/>
              </w:rPr>
              <w:t>OUS Regulatory and International Market Profile</w:t>
            </w:r>
          </w:p>
        </w:tc>
        <w:tc>
          <w:tcPr>
            <w:tcW w:type="dxa" w:w="1180"/>
            <w:vAlign w:val="top"/>
            <w:tcMar>
              <w:top w:w="65" w:type="dxa"/>
              <w:start w:w="70" w:type="dxa"/>
              <w:bottom w:w="65" w:type="dxa"/>
              <w:end w:w="70" w:type="dxa"/>
            </w:tcMar>
          </w:tcPr>
          <w:p>
            <w:pPr>
              <w:spacing w:after="0"/>
            </w:pPr>
            <w:r>
              <w:rPr>
                <w:rFonts w:ascii="Arial" w:hAnsi="Arial"/>
                <w:b w:val="0"/>
                <w:i w:val="0"/>
                <w:color w:val="1F2933"/>
                <w:sz w:val="16"/>
              </w:rPr>
              <w:t>8-10 weeks</w:t>
            </w:r>
          </w:p>
        </w:tc>
        <w:tc>
          <w:tcPr>
            <w:tcW w:type="dxa" w:w="1800"/>
            <w:vAlign w:val="top"/>
            <w:tcMar>
              <w:top w:w="65" w:type="dxa"/>
              <w:start w:w="70" w:type="dxa"/>
              <w:bottom w:w="65" w:type="dxa"/>
              <w:end w:w="70" w:type="dxa"/>
            </w:tcMar>
          </w:tcPr>
          <w:p>
            <w:pPr>
              <w:spacing w:after="0"/>
            </w:pPr>
            <w:r>
              <w:rPr>
                <w:rFonts w:ascii="Arial" w:hAnsi="Arial"/>
                <w:b w:val="0"/>
                <w:i w:val="0"/>
                <w:color w:val="1F2933"/>
                <w:sz w:val="16"/>
              </w:rPr>
              <w:t>$18,500 for 2 markets / $24,500 for 3 markets</w:t>
            </w:r>
          </w:p>
        </w:tc>
        <w:tc>
          <w:tcPr>
            <w:tcW w:type="dxa" w:w="3671"/>
            <w:vAlign w:val="top"/>
            <w:tcMar>
              <w:top w:w="65" w:type="dxa"/>
              <w:start w:w="70" w:type="dxa"/>
              <w:bottom w:w="65" w:type="dxa"/>
              <w:end w:w="70" w:type="dxa"/>
            </w:tcMar>
          </w:tcPr>
          <w:p>
            <w:pPr>
              <w:spacing w:after="0"/>
            </w:pPr>
            <w:r>
              <w:rPr>
                <w:rFonts w:ascii="Arial" w:hAnsi="Arial"/>
                <w:b w:val="0"/>
                <w:i w:val="0"/>
                <w:color w:val="1F2933"/>
                <w:sz w:val="16"/>
              </w:rPr>
              <w:t>Country-specific regulatory pathway and market-entry profiles; formal submissions excluded.</w:t>
            </w:r>
          </w:p>
        </w:tc>
      </w:tr>
      <w:tr>
        <w:trPr>
          <w:cantSplit/>
        </w:trPr>
        <w:tc>
          <w:tcPr>
            <w:tcW w:type="dxa" w:w="604"/>
            <w:vAlign w:val="top"/>
            <w:tcMar>
              <w:top w:w="65" w:type="dxa"/>
              <w:start w:w="70" w:type="dxa"/>
              <w:bottom w:w="65" w:type="dxa"/>
              <w:end w:w="70" w:type="dxa"/>
            </w:tcMar>
          </w:tcPr>
          <w:p>
            <w:pPr>
              <w:spacing w:after="0"/>
            </w:pPr>
            <w:r>
              <w:rPr>
                <w:rFonts w:ascii="Arial" w:hAnsi="Arial"/>
                <w:b w:val="0"/>
                <w:i w:val="0"/>
                <w:color w:val="1F2933"/>
                <w:sz w:val="16"/>
              </w:rPr>
              <w:t>D</w:t>
            </w:r>
          </w:p>
        </w:tc>
        <w:tc>
          <w:tcPr>
            <w:tcW w:type="dxa" w:w="2808"/>
            <w:vAlign w:val="top"/>
            <w:tcMar>
              <w:top w:w="65" w:type="dxa"/>
              <w:start w:w="70" w:type="dxa"/>
              <w:bottom w:w="65" w:type="dxa"/>
              <w:end w:w="70" w:type="dxa"/>
            </w:tcMar>
          </w:tcPr>
          <w:p>
            <w:pPr>
              <w:spacing w:after="0"/>
            </w:pPr>
            <w:r>
              <w:rPr>
                <w:rFonts w:ascii="Arial" w:hAnsi="Arial"/>
                <w:b w:val="0"/>
                <w:i w:val="0"/>
                <w:color w:val="1F2933"/>
                <w:sz w:val="16"/>
              </w:rPr>
              <w:t>Digital Market Entry and Clinical Enablement Tools</w:t>
            </w:r>
          </w:p>
        </w:tc>
        <w:tc>
          <w:tcPr>
            <w:tcW w:type="dxa" w:w="1180"/>
            <w:vAlign w:val="top"/>
            <w:tcMar>
              <w:top w:w="65" w:type="dxa"/>
              <w:start w:w="70" w:type="dxa"/>
              <w:bottom w:w="65" w:type="dxa"/>
              <w:end w:w="70" w:type="dxa"/>
            </w:tcMar>
          </w:tcPr>
          <w:p>
            <w:pPr>
              <w:spacing w:after="0"/>
            </w:pPr>
            <w:r>
              <w:rPr>
                <w:rFonts w:ascii="Arial" w:hAnsi="Arial"/>
                <w:b w:val="0"/>
                <w:i w:val="0"/>
                <w:color w:val="1F2933"/>
                <w:sz w:val="16"/>
              </w:rPr>
              <w:t>6-12 weeks</w:t>
            </w:r>
          </w:p>
        </w:tc>
        <w:tc>
          <w:tcPr>
            <w:tcW w:type="dxa" w:w="1800"/>
            <w:vAlign w:val="top"/>
            <w:tcMar>
              <w:top w:w="65" w:type="dxa"/>
              <w:start w:w="70" w:type="dxa"/>
              <w:bottom w:w="65" w:type="dxa"/>
              <w:end w:w="70" w:type="dxa"/>
            </w:tcMar>
          </w:tcPr>
          <w:p>
            <w:pPr>
              <w:spacing w:after="0"/>
            </w:pPr>
            <w:r>
              <w:rPr>
                <w:rFonts w:ascii="Arial" w:hAnsi="Arial"/>
                <w:b w:val="0"/>
                <w:i w:val="0"/>
                <w:color w:val="1F2933"/>
                <w:sz w:val="16"/>
              </w:rPr>
              <w:t>$18,500 to $29,500; localization additional</w:t>
            </w:r>
          </w:p>
        </w:tc>
        <w:tc>
          <w:tcPr>
            <w:tcW w:type="dxa" w:w="3671"/>
            <w:vAlign w:val="top"/>
            <w:tcMar>
              <w:top w:w="65" w:type="dxa"/>
              <w:start w:w="70" w:type="dxa"/>
              <w:bottom w:w="65" w:type="dxa"/>
              <w:end w:w="70" w:type="dxa"/>
            </w:tcMar>
          </w:tcPr>
          <w:p>
            <w:pPr>
              <w:spacing w:after="0"/>
            </w:pPr>
            <w:r>
              <w:rPr>
                <w:rFonts w:ascii="Arial" w:hAnsi="Arial"/>
                <w:b w:val="0"/>
                <w:i w:val="0"/>
                <w:color w:val="1F2933"/>
                <w:sz w:val="16"/>
              </w:rPr>
              <w:t>Explainers, in-service, IFU companion, training modules, resource hub, and launch dashboard options.</w:t>
            </w:r>
          </w:p>
        </w:tc>
      </w:tr>
      <w:tr>
        <w:trPr>
          <w:cantSplit/>
        </w:trPr>
        <w:tc>
          <w:tcPr>
            <w:tcW w:type="dxa" w:w="604"/>
            <w:vAlign w:val="top"/>
            <w:tcMar>
              <w:top w:w="65" w:type="dxa"/>
              <w:start w:w="70" w:type="dxa"/>
              <w:bottom w:w="65" w:type="dxa"/>
              <w:end w:w="70" w:type="dxa"/>
            </w:tcMar>
          </w:tcPr>
          <w:p>
            <w:pPr>
              <w:spacing w:after="0"/>
            </w:pPr>
            <w:r>
              <w:rPr>
                <w:rFonts w:ascii="Arial" w:hAnsi="Arial"/>
                <w:b w:val="0"/>
                <w:i w:val="0"/>
                <w:color w:val="1F2933"/>
                <w:sz w:val="16"/>
              </w:rPr>
              <w:t>E</w:t>
            </w:r>
          </w:p>
        </w:tc>
        <w:tc>
          <w:tcPr>
            <w:tcW w:type="dxa" w:w="2808"/>
            <w:vAlign w:val="top"/>
            <w:tcMar>
              <w:top w:w="65" w:type="dxa"/>
              <w:start w:w="70" w:type="dxa"/>
              <w:bottom w:w="65" w:type="dxa"/>
              <w:end w:w="70" w:type="dxa"/>
            </w:tcMar>
          </w:tcPr>
          <w:p>
            <w:pPr>
              <w:spacing w:after="0"/>
            </w:pPr>
            <w:r>
              <w:rPr>
                <w:rFonts w:ascii="Arial" w:hAnsi="Arial"/>
                <w:b w:val="0"/>
                <w:i w:val="0"/>
                <w:color w:val="1F2933"/>
                <w:sz w:val="16"/>
              </w:rPr>
              <w:t>U.S. Distribution and Salesforce Development</w:t>
            </w:r>
          </w:p>
        </w:tc>
        <w:tc>
          <w:tcPr>
            <w:tcW w:type="dxa" w:w="1180"/>
            <w:vAlign w:val="top"/>
            <w:tcMar>
              <w:top w:w="65" w:type="dxa"/>
              <w:start w:w="70" w:type="dxa"/>
              <w:bottom w:w="65" w:type="dxa"/>
              <w:end w:w="70" w:type="dxa"/>
            </w:tcMar>
          </w:tcPr>
          <w:p>
            <w:pPr>
              <w:spacing w:after="0"/>
            </w:pPr>
            <w:r>
              <w:rPr>
                <w:rFonts w:ascii="Arial" w:hAnsi="Arial"/>
                <w:b w:val="0"/>
                <w:i w:val="0"/>
                <w:color w:val="1F2933"/>
                <w:sz w:val="16"/>
              </w:rPr>
              <w:t>12-month initial term</w:t>
            </w:r>
          </w:p>
        </w:tc>
        <w:tc>
          <w:tcPr>
            <w:tcW w:type="dxa" w:w="1800"/>
            <w:vAlign w:val="top"/>
            <w:tcMar>
              <w:top w:w="65" w:type="dxa"/>
              <w:start w:w="70" w:type="dxa"/>
              <w:bottom w:w="65" w:type="dxa"/>
              <w:end w:w="70" w:type="dxa"/>
            </w:tcMar>
          </w:tcPr>
          <w:p>
            <w:pPr>
              <w:spacing w:after="0"/>
            </w:pPr>
            <w:r>
              <w:rPr>
                <w:rFonts w:ascii="Arial" w:hAnsi="Arial"/>
                <w:b w:val="0"/>
                <w:i w:val="0"/>
                <w:color w:val="1F2933"/>
                <w:sz w:val="16"/>
              </w:rPr>
              <w:t>$12,500/month + 15% of Net Collected Product Revenue</w:t>
            </w:r>
          </w:p>
        </w:tc>
        <w:tc>
          <w:tcPr>
            <w:tcW w:type="dxa" w:w="3671"/>
            <w:vAlign w:val="top"/>
            <w:tcMar>
              <w:top w:w="65" w:type="dxa"/>
              <w:start w:w="70" w:type="dxa"/>
              <w:bottom w:w="65" w:type="dxa"/>
              <w:end w:w="70" w:type="dxa"/>
            </w:tcMar>
          </w:tcPr>
          <w:p>
            <w:pPr>
              <w:spacing w:after="0"/>
            </w:pPr>
            <w:r>
              <w:rPr>
                <w:rFonts w:ascii="Arial" w:hAnsi="Arial"/>
                <w:b w:val="0"/>
                <w:i w:val="0"/>
                <w:color w:val="1F2933"/>
                <w:sz w:val="16"/>
              </w:rPr>
              <w:t>Attributed-opportunity or managed-channel model; commission includes wholesale and transfer sales.</w:t>
            </w:r>
          </w:p>
        </w:tc>
      </w:tr>
      <w:tr>
        <w:trPr>
          <w:cantSplit/>
        </w:trPr>
        <w:tc>
          <w:tcPr>
            <w:tcW w:type="dxa" w:w="604"/>
            <w:vAlign w:val="top"/>
            <w:tcMar>
              <w:top w:w="65" w:type="dxa"/>
              <w:start w:w="70" w:type="dxa"/>
              <w:bottom w:w="65" w:type="dxa"/>
              <w:end w:w="70" w:type="dxa"/>
            </w:tcMar>
          </w:tcPr>
          <w:p>
            <w:pPr>
              <w:spacing w:after="0"/>
            </w:pPr>
            <w:r>
              <w:rPr>
                <w:rFonts w:ascii="Arial" w:hAnsi="Arial"/>
                <w:b w:val="0"/>
                <w:i w:val="0"/>
                <w:color w:val="1F2933"/>
                <w:sz w:val="16"/>
              </w:rPr>
              <w:t>F</w:t>
            </w:r>
          </w:p>
        </w:tc>
        <w:tc>
          <w:tcPr>
            <w:tcW w:type="dxa" w:w="2808"/>
            <w:vAlign w:val="top"/>
            <w:tcMar>
              <w:top w:w="65" w:type="dxa"/>
              <w:start w:w="70" w:type="dxa"/>
              <w:bottom w:w="65" w:type="dxa"/>
              <w:end w:w="70" w:type="dxa"/>
            </w:tcMar>
          </w:tcPr>
          <w:p>
            <w:pPr>
              <w:spacing w:after="0"/>
            </w:pPr>
            <w:r>
              <w:rPr>
                <w:rFonts w:ascii="Arial" w:hAnsi="Arial"/>
                <w:b w:val="0"/>
                <w:i w:val="0"/>
                <w:color w:val="1F2933"/>
                <w:sz w:val="16"/>
              </w:rPr>
              <w:t>OUS Market Development Sidecar</w:t>
            </w:r>
          </w:p>
        </w:tc>
        <w:tc>
          <w:tcPr>
            <w:tcW w:type="dxa" w:w="1180"/>
            <w:vAlign w:val="top"/>
            <w:tcMar>
              <w:top w:w="65" w:type="dxa"/>
              <w:start w:w="70" w:type="dxa"/>
              <w:bottom w:w="65" w:type="dxa"/>
              <w:end w:w="70" w:type="dxa"/>
            </w:tcMar>
          </w:tcPr>
          <w:p>
            <w:pPr>
              <w:spacing w:after="0"/>
            </w:pPr>
            <w:r>
              <w:rPr>
                <w:rFonts w:ascii="Arial" w:hAnsi="Arial"/>
                <w:b w:val="0"/>
                <w:i w:val="0"/>
                <w:color w:val="1F2933"/>
                <w:sz w:val="16"/>
              </w:rPr>
              <w:t>3-month minimum</w:t>
            </w:r>
          </w:p>
        </w:tc>
        <w:tc>
          <w:tcPr>
            <w:tcW w:type="dxa" w:w="1800"/>
            <w:vAlign w:val="top"/>
            <w:tcMar>
              <w:top w:w="65" w:type="dxa"/>
              <w:start w:w="70" w:type="dxa"/>
              <w:bottom w:w="65" w:type="dxa"/>
              <w:end w:w="70" w:type="dxa"/>
            </w:tcMar>
          </w:tcPr>
          <w:p>
            <w:pPr>
              <w:spacing w:after="0"/>
            </w:pPr>
            <w:r>
              <w:rPr>
                <w:rFonts w:ascii="Arial" w:hAnsi="Arial"/>
                <w:b w:val="0"/>
                <w:i w:val="0"/>
                <w:color w:val="1F2933"/>
                <w:sz w:val="16"/>
              </w:rPr>
              <w:t>$7,500/month for up to 2 markets; $10,000/month for 3</w:t>
            </w:r>
          </w:p>
        </w:tc>
        <w:tc>
          <w:tcPr>
            <w:tcW w:type="dxa" w:w="3671"/>
            <w:vAlign w:val="top"/>
            <w:tcMar>
              <w:top w:w="65" w:type="dxa"/>
              <w:start w:w="70" w:type="dxa"/>
              <w:bottom w:w="65" w:type="dxa"/>
              <w:end w:w="70" w:type="dxa"/>
            </w:tcMar>
          </w:tcPr>
          <w:p>
            <w:pPr>
              <w:spacing w:after="0"/>
            </w:pPr>
            <w:r>
              <w:rPr>
                <w:rFonts w:ascii="Arial" w:hAnsi="Arial"/>
                <w:b w:val="0"/>
                <w:i w:val="0"/>
                <w:color w:val="1F2933"/>
                <w:sz w:val="16"/>
              </w:rPr>
              <w:t>Partner development, distributor diligence, negotiation, launch planning, and OUS success fees.</w:t>
            </w:r>
          </w:p>
        </w:tc>
      </w:tr>
    </w:tbl>
    <w:p>
      <w:pPr>
        <w:spacing w:after="0"/>
      </w:pPr>
    </w:p>
    <w:tbl>
      <w:tblPr>
        <w:tblW w:type="auto" w:w="0"/>
        <w:jc w:val="center"/>
        <w:tblLayout w:type="fixed"/>
        <w:tblLook w:firstColumn="1" w:firstRow="1" w:lastColumn="0" w:lastRow="0" w:noHBand="0" w:noVBand="1" w:val="04A0"/>
      </w:tblPr>
      <w:tblGrid>
        <w:gridCol w:w="10166"/>
      </w:tblGrid>
      <w:tr>
        <w:tc>
          <w:tcPr>
            <w:tcW w:type="dxa" w:w="10080"/>
            <w:shd w:fill="FBF4E4"/>
            <w:tcMar>
              <w:top w:w="120" w:type="dxa"/>
              <w:start w:w="145" w:type="dxa"/>
              <w:bottom w:w="120" w:type="dxa"/>
              <w:end w:w="145" w:type="dxa"/>
            </w:tcMar>
          </w:tcPr>
          <w:p>
            <w:pPr>
              <w:spacing w:after="60"/>
            </w:pPr>
            <w:r>
              <w:rPr>
                <w:rFonts w:ascii="Arial" w:hAnsi="Arial"/>
                <w:b/>
                <w:i w:val="0"/>
                <w:color w:val="D8A436"/>
                <w:sz w:val="20"/>
              </w:rPr>
              <w:t>Recommended sequence</w:t>
            </w:r>
          </w:p>
          <w:p>
            <w:pPr>
              <w:spacing w:after="0"/>
            </w:pPr>
            <w:r>
              <w:rPr>
                <w:rFonts w:ascii="Arial" w:hAnsi="Arial"/>
                <w:b w:val="0"/>
                <w:i w:val="0"/>
                <w:color w:val="1F2933"/>
                <w:sz w:val="19"/>
              </w:rPr>
              <w:t>Select Option B, the 3-Month Integrated Program, followed by a gated 12-month U.S. Commercial Activation engagement. Run the OUS Regulatory and Market Profile in parallel beginning after the product, claims, and regulatory configuration are sufficiently defined. Build the digital asset architecture during readiness and produce final market-facing content after labeling and claims are locked.</w:t>
            </w:r>
          </w:p>
        </w:tc>
      </w:tr>
    </w:tbl>
    <w:p>
      <w:pPr>
        <w:spacing w:after="0"/>
      </w:pPr>
    </w:p>
    <w:p>
      <w:pPr>
        <w:pStyle w:val="Heading1"/>
      </w:pPr>
      <w:r>
        <w:t>4. Option A - 6-Week Commercialization Preparedness Sprint</w:t>
      </w:r>
    </w:p>
    <w:p>
      <w:r>
        <w:rPr>
          <w:rFonts w:ascii="Arial" w:hAnsi="Arial"/>
          <w:b w:val="0"/>
          <w:i w:val="0"/>
          <w:color w:val="1F2933"/>
          <w:sz w:val="20"/>
        </w:rPr>
        <w:t>Professional fee: $27,500, plus pre-approved travel and third-party expenses. Payment: 50% at execution and 50% on day 21. The Sprint is a focused, decision-oriented engagement for leadership that needs a rapid commercialization baseline and prioritization plan.</w:t>
      </w:r>
    </w:p>
    <w:tbl>
      <w:tblPr>
        <w:tblW w:type="auto" w:w="0"/>
        <w:jc w:val="center"/>
        <w:tblLayout w:type="fixed"/>
        <w:tblLook w:firstColumn="1" w:firstRow="1" w:lastColumn="0" w:lastRow="0" w:noHBand="0" w:noVBand="1" w:val="04A0"/>
      </w:tblPr>
      <w:tblGrid>
        <w:gridCol w:w="10166"/>
      </w:tblGrid>
      <w:tr>
        <w:tc>
          <w:tcPr>
            <w:tcW w:type="dxa" w:w="10080"/>
            <w:shd w:fill="EAF2F8"/>
            <w:tcMar>
              <w:top w:w="120" w:type="dxa"/>
              <w:start w:w="145" w:type="dxa"/>
              <w:bottom w:w="120" w:type="dxa"/>
              <w:end w:w="145" w:type="dxa"/>
            </w:tcMar>
          </w:tcPr>
          <w:p>
            <w:pPr>
              <w:spacing w:after="60"/>
            </w:pPr>
            <w:r>
              <w:rPr>
                <w:rFonts w:ascii="Arial" w:hAnsi="Arial"/>
                <w:b/>
                <w:i w:val="0"/>
                <w:color w:val="2E75B6"/>
                <w:sz w:val="20"/>
              </w:rPr>
              <w:t>Conversion option</w:t>
            </w:r>
          </w:p>
          <w:p>
            <w:pPr>
              <w:spacing w:after="0"/>
            </w:pPr>
            <w:r>
              <w:rPr>
                <w:rFonts w:ascii="Arial" w:hAnsi="Arial"/>
                <w:b w:val="0"/>
                <w:i w:val="0"/>
                <w:color w:val="1F2933"/>
                <w:sz w:val="19"/>
              </w:rPr>
              <w:t>If EndoSpool elects the 3-Month Integrated Program no later than ten business days after the Sprint final workshop, all Option A professional fees paid will be credited toward the $43,500 Option B fee. The incremental professional fee will therefore be $16,000, and the schedule will extend by approximately six additional weeks, subject to unchanged assumptions, timely access, and 1099Reps.com capacity.</w:t>
            </w:r>
          </w:p>
        </w:tc>
      </w:tr>
    </w:tbl>
    <w:p>
      <w:pPr>
        <w:spacing w:after="0"/>
      </w:pPr>
    </w:p>
    <w:p>
      <w:pPr>
        <w:pStyle w:val="Heading2"/>
      </w:pPr>
      <w:r>
        <w:t>4.1 Sprint objectives</w:t>
      </w:r>
    </w:p>
    <w:p>
      <w:pPr>
        <w:pStyle w:val="ListBullet"/>
        <w:spacing w:after="40"/>
        <w:ind w:left="317" w:hanging="202"/>
      </w:pPr>
      <w:r>
        <w:rPr>
          <w:rFonts w:ascii="Arial" w:hAnsi="Arial"/>
          <w:b w:val="0"/>
          <w:i w:val="0"/>
          <w:color w:val="1F2933"/>
          <w:sz w:val="18"/>
        </w:rPr>
        <w:t>Establish a current-state readiness score across regulatory, product, clinical, manufacturing, quality, economics, channel, OUS, digital, and organizational domains.</w:t>
      </w:r>
    </w:p>
    <w:p>
      <w:pPr>
        <w:pStyle w:val="ListBullet"/>
        <w:spacing w:after="40"/>
        <w:ind w:left="317" w:hanging="202"/>
      </w:pPr>
      <w:r>
        <w:rPr>
          <w:rFonts w:ascii="Arial" w:hAnsi="Arial"/>
          <w:b w:val="0"/>
          <w:i w:val="0"/>
          <w:color w:val="1F2933"/>
          <w:sz w:val="18"/>
        </w:rPr>
        <w:t>Pressure-test the current U.S. classification and claims assumptions at a commercial-diligence level and identify questions requiring qualified regulatory counsel or FDA interaction.</w:t>
      </w:r>
    </w:p>
    <w:p>
      <w:pPr>
        <w:pStyle w:val="ListBullet"/>
        <w:spacing w:after="40"/>
        <w:ind w:left="317" w:hanging="202"/>
      </w:pPr>
      <w:r>
        <w:rPr>
          <w:rFonts w:ascii="Arial" w:hAnsi="Arial"/>
          <w:b w:val="0"/>
          <w:i w:val="0"/>
          <w:color w:val="1F2933"/>
          <w:sz w:val="18"/>
        </w:rPr>
        <w:t>Define the highest-value procedures, user profiles, facilities, and likely early-adopter conditions.</w:t>
      </w:r>
    </w:p>
    <w:p>
      <w:pPr>
        <w:pStyle w:val="ListBullet"/>
        <w:spacing w:after="40"/>
        <w:ind w:left="317" w:hanging="202"/>
      </w:pPr>
      <w:r>
        <w:rPr>
          <w:rFonts w:ascii="Arial" w:hAnsi="Arial"/>
          <w:b w:val="0"/>
          <w:i w:val="0"/>
          <w:color w:val="1F2933"/>
          <w:sz w:val="18"/>
        </w:rPr>
        <w:t>Model the $270 price and $148.50 illustrative transfer price across direct, rep, stocking-distributor, bundle, private-label, and OEM-supply scenarios.</w:t>
      </w:r>
    </w:p>
    <w:p>
      <w:pPr>
        <w:pStyle w:val="ListBullet"/>
        <w:spacing w:after="40"/>
        <w:ind w:left="317" w:hanging="202"/>
      </w:pPr>
      <w:r>
        <w:rPr>
          <w:rFonts w:ascii="Arial" w:hAnsi="Arial"/>
          <w:b w:val="0"/>
          <w:i w:val="0"/>
          <w:color w:val="1F2933"/>
          <w:sz w:val="18"/>
        </w:rPr>
        <w:t>Validate preliminary channel economics, including the proposed 15% commercialization success fee on actual collected revenue.</w:t>
      </w:r>
    </w:p>
    <w:p>
      <w:pPr>
        <w:pStyle w:val="ListBullet"/>
        <w:spacing w:after="40"/>
        <w:ind w:left="317" w:hanging="202"/>
      </w:pPr>
      <w:r>
        <w:rPr>
          <w:rFonts w:ascii="Arial" w:hAnsi="Arial"/>
          <w:b w:val="0"/>
          <w:i w:val="0"/>
          <w:color w:val="1F2933"/>
          <w:sz w:val="18"/>
        </w:rPr>
        <w:t>Screen manufacturing capacity, COGS, sterilization, packaging, shelf life, inventory, quality, complaint, and fulfillment risks that could delay human-use launch.</w:t>
      </w:r>
    </w:p>
    <w:p>
      <w:pPr>
        <w:pStyle w:val="ListBullet"/>
        <w:spacing w:after="40"/>
        <w:ind w:left="317" w:hanging="202"/>
      </w:pPr>
      <w:r>
        <w:rPr>
          <w:rFonts w:ascii="Arial" w:hAnsi="Arial"/>
          <w:b w:val="0"/>
          <w:i w:val="0"/>
          <w:color w:val="1F2933"/>
          <w:sz w:val="18"/>
        </w:rPr>
        <w:t>Provide a prioritized launch-gate plan and recommendation for the next 90 to 180 days.</w:t>
      </w:r>
    </w:p>
    <w:p>
      <w:pPr>
        <w:pStyle w:val="Heading2"/>
      </w:pPr>
      <w:r>
        <w:t>4.2 Sprint activities</w:t>
      </w:r>
    </w:p>
    <w:tbl>
      <w:tblPr>
        <w:tblStyle w:val="TableGrid"/>
        <w:tblW w:type="auto" w:w="0"/>
        <w:jc w:val="center"/>
        <w:tblLayout w:type="fixed"/>
        <w:tblLook w:firstColumn="1" w:firstRow="1" w:lastColumn="0" w:lastRow="0" w:noHBand="0" w:noVBand="1" w:val="04A0"/>
      </w:tblPr>
      <w:tblGrid>
        <w:gridCol w:w="5083"/>
        <w:gridCol w:w="5083"/>
      </w:tblGrid>
      <w:tr>
        <w:trPr>
          <w:tblHeader w:val="true"/>
        </w:trPr>
        <w:tc>
          <w:tcPr>
            <w:tcW w:type="dxa" w:w="2520"/>
            <w:shd w:fill="17324D"/>
            <w:vAlign w:val="center"/>
            <w:tcMar>
              <w:top w:w="75" w:type="dxa"/>
              <w:start w:w="75" w:type="dxa"/>
              <w:bottom w:w="75" w:type="dxa"/>
              <w:end w:w="75" w:type="dxa"/>
            </w:tcMar>
          </w:tcPr>
          <w:p>
            <w:pPr>
              <w:jc w:val="left"/>
            </w:pPr>
            <w:r>
              <w:rPr>
                <w:rFonts w:ascii="Arial" w:hAnsi="Arial"/>
                <w:b/>
                <w:i w:val="0"/>
                <w:color w:val="FFFFFF"/>
                <w:sz w:val="17"/>
              </w:rPr>
              <w:t>Workstream</w:t>
            </w:r>
          </w:p>
        </w:tc>
        <w:tc>
          <w:tcPr>
            <w:tcW w:type="dxa" w:w="7488"/>
            <w:shd w:fill="17324D"/>
            <w:vAlign w:val="center"/>
            <w:tcMar>
              <w:top w:w="75" w:type="dxa"/>
              <w:start w:w="75" w:type="dxa"/>
              <w:bottom w:w="75" w:type="dxa"/>
              <w:end w:w="75" w:type="dxa"/>
            </w:tcMar>
          </w:tcPr>
          <w:p>
            <w:pPr>
              <w:jc w:val="left"/>
            </w:pPr>
            <w:r>
              <w:rPr>
                <w:rFonts w:ascii="Arial" w:hAnsi="Arial"/>
                <w:b/>
                <w:i w:val="0"/>
                <w:color w:val="FFFFFF"/>
                <w:sz w:val="17"/>
              </w:rPr>
              <w:t>Included activities</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Kickoff and data room</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Executive kickoff; readiness questionnaire; document inventory; project cadence; assumptions log.</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Product and regulatory screen</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Configuration map; intended-use and claims inventory; loaded/unloaded and sterile configuration analysis; identified questions for formal regulatory review.</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Clinical and market fit</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Procedure segmentation; user and buyer map; StitchKit and substitute-process review; early-adopter profile.</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Pricing and channel economics</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Direct, rep, wholesale, distributor, bundle, and OEM-supply economics; COGS sensitivity; margin and sales productivity assumptions.</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Manufacturing and launch risk screen</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Capacity, BOM/COGS, sterilization, packaging, shelf-life, inventory, supplier, quality, and fulfillment risk triage.</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U.S. and OUS screen</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U.S. channel recommendation; high-level screening of up to four OUS markets; identification of the two or three markets best suited for a formal profile.</w:t>
            </w:r>
          </w:p>
        </w:tc>
      </w:tr>
      <w:tr>
        <w:trPr>
          <w:cantSplit/>
        </w:trPr>
        <w:tc>
          <w:tcPr>
            <w:tcW w:type="dxa" w:w="2520"/>
            <w:vAlign w:val="top"/>
            <w:tcMar>
              <w:top w:w="65" w:type="dxa"/>
              <w:start w:w="70" w:type="dxa"/>
              <w:bottom w:w="65" w:type="dxa"/>
              <w:end w:w="70" w:type="dxa"/>
            </w:tcMar>
          </w:tcPr>
          <w:p>
            <w:pPr>
              <w:spacing w:after="0"/>
            </w:pPr>
            <w:r>
              <w:rPr>
                <w:rFonts w:ascii="Arial" w:hAnsi="Arial"/>
                <w:b/>
                <w:i w:val="0"/>
                <w:color w:val="1F2933"/>
                <w:sz w:val="17"/>
              </w:rPr>
              <w:t>Decision workshop</w:t>
            </w:r>
          </w:p>
        </w:tc>
        <w:tc>
          <w:tcPr>
            <w:tcW w:type="dxa" w:w="7488"/>
            <w:vAlign w:val="top"/>
            <w:tcMar>
              <w:top w:w="65" w:type="dxa"/>
              <w:start w:w="70" w:type="dxa"/>
              <w:bottom w:w="65" w:type="dxa"/>
              <w:end w:w="70" w:type="dxa"/>
            </w:tcMar>
          </w:tcPr>
          <w:p>
            <w:pPr>
              <w:spacing w:after="0"/>
            </w:pPr>
            <w:r>
              <w:rPr>
                <w:rFonts w:ascii="Arial" w:hAnsi="Arial"/>
                <w:b w:val="0"/>
                <w:i w:val="0"/>
                <w:color w:val="1F2933"/>
                <w:sz w:val="17"/>
              </w:rPr>
              <w:t>Leadership readout and documented GO / GATED GO / NARROW / DISTRIBUTE / BUNDLE / OEM-LICENSE / OUS / BUILD CAPACITY / PAUSE recommendation.</w:t>
            </w:r>
          </w:p>
        </w:tc>
      </w:tr>
    </w:tbl>
    <w:p>
      <w:pPr>
        <w:spacing w:after="0"/>
      </w:pPr>
    </w:p>
    <w:p>
      <w:pPr>
        <w:pStyle w:val="Heading2"/>
      </w:pPr>
      <w:r>
        <w:t>4.3 Sprint deliverables</w:t>
      </w:r>
    </w:p>
    <w:p>
      <w:pPr>
        <w:pStyle w:val="ListBullet"/>
        <w:spacing w:after="40"/>
        <w:ind w:left="317" w:hanging="202"/>
      </w:pPr>
      <w:r>
        <w:rPr>
          <w:rFonts w:ascii="Arial" w:hAnsi="Arial"/>
          <w:b w:val="0"/>
          <w:i w:val="0"/>
          <w:color w:val="1F2933"/>
          <w:sz w:val="18"/>
        </w:rPr>
        <w:t>Commercialization Preparedness Scorecard and risk register.</w:t>
      </w:r>
    </w:p>
    <w:p>
      <w:pPr>
        <w:pStyle w:val="ListBullet"/>
        <w:spacing w:after="40"/>
        <w:ind w:left="317" w:hanging="202"/>
      </w:pPr>
      <w:r>
        <w:rPr>
          <w:rFonts w:ascii="Arial" w:hAnsi="Arial"/>
          <w:b w:val="0"/>
          <w:i w:val="0"/>
          <w:color w:val="1F2933"/>
          <w:sz w:val="18"/>
        </w:rPr>
        <w:t>Product, procedure, user, and buyer segmentation summary.</w:t>
      </w:r>
    </w:p>
    <w:p>
      <w:pPr>
        <w:pStyle w:val="ListBullet"/>
        <w:spacing w:after="40"/>
        <w:ind w:left="317" w:hanging="202"/>
      </w:pPr>
      <w:r>
        <w:rPr>
          <w:rFonts w:ascii="Arial" w:hAnsi="Arial"/>
          <w:b w:val="0"/>
          <w:i w:val="0"/>
          <w:color w:val="1F2933"/>
          <w:sz w:val="18"/>
        </w:rPr>
        <w:t>Preliminary U.S. regulatory/claims question list and specialist referral requirements.</w:t>
      </w:r>
    </w:p>
    <w:p>
      <w:pPr>
        <w:pStyle w:val="ListBullet"/>
        <w:spacing w:after="40"/>
        <w:ind w:left="317" w:hanging="202"/>
      </w:pPr>
      <w:r>
        <w:rPr>
          <w:rFonts w:ascii="Arial" w:hAnsi="Arial"/>
          <w:b w:val="0"/>
          <w:i w:val="0"/>
          <w:color w:val="1F2933"/>
          <w:sz w:val="18"/>
        </w:rPr>
        <w:t>Pricing, transfer-price, distributor-margin, and 15% success-fee economics model.</w:t>
      </w:r>
    </w:p>
    <w:p>
      <w:pPr>
        <w:pStyle w:val="ListBullet"/>
        <w:spacing w:after="40"/>
        <w:ind w:left="317" w:hanging="202"/>
      </w:pPr>
      <w:r>
        <w:rPr>
          <w:rFonts w:ascii="Arial" w:hAnsi="Arial"/>
          <w:b w:val="0"/>
          <w:i w:val="0"/>
          <w:color w:val="1F2933"/>
          <w:sz w:val="18"/>
        </w:rPr>
        <w:t>Manufacturing and launch-gate risk screen.</w:t>
      </w:r>
    </w:p>
    <w:p>
      <w:pPr>
        <w:pStyle w:val="ListBullet"/>
        <w:spacing w:after="40"/>
        <w:ind w:left="317" w:hanging="202"/>
      </w:pPr>
      <w:r>
        <w:rPr>
          <w:rFonts w:ascii="Arial" w:hAnsi="Arial"/>
          <w:b w:val="0"/>
          <w:i w:val="0"/>
          <w:color w:val="1F2933"/>
          <w:sz w:val="18"/>
        </w:rPr>
        <w:t>U.S. channel recommendation and OUS prioritization screen.</w:t>
      </w:r>
    </w:p>
    <w:p>
      <w:pPr>
        <w:pStyle w:val="ListBullet"/>
        <w:spacing w:after="40"/>
        <w:ind w:left="317" w:hanging="202"/>
      </w:pPr>
      <w:r>
        <w:rPr>
          <w:rFonts w:ascii="Arial" w:hAnsi="Arial"/>
          <w:b w:val="0"/>
          <w:i w:val="0"/>
          <w:color w:val="1F2933"/>
          <w:sz w:val="18"/>
        </w:rPr>
        <w:t>90-day action plan and final executive decision workshop.</w:t>
      </w:r>
    </w:p>
    <w:p>
      <w:r>
        <w:rPr>
          <w:rFonts w:ascii="Arial" w:hAnsi="Arial"/>
          <w:b w:val="0"/>
          <w:i w:val="0"/>
          <w:color w:val="1F2933"/>
          <w:sz w:val="20"/>
        </w:rPr>
        <w:t>Sprint limits: up to 12 stakeholder interviews, six recurring work sessions, one executive workshop, one on-site day if requested, and two consolidated revision rounds. The Sprint does not include a detailed manufacturing audit, formal regulatory opinion, OUS country dossiers, creation of final training videos, custom CRM development, or field activation.</w:t>
      </w:r>
    </w:p>
    <w:p>
      <w:pPr>
        <w:pStyle w:val="Heading1"/>
      </w:pPr>
      <w:r>
        <w:t>5. Option B - 3-Month Integrated Commercialization Preparedness Program</w:t>
      </w:r>
    </w:p>
    <w:p>
      <w:r>
        <w:rPr>
          <w:rFonts w:ascii="Arial" w:hAnsi="Arial"/>
          <w:b w:val="0"/>
          <w:i w:val="0"/>
          <w:color w:val="1F2933"/>
          <w:sz w:val="20"/>
        </w:rPr>
        <w:t>Professional fee: $43,500, plus pre-approved travel and third-party expenses. Payment: 50% at execution, 25% on day 30, and 25% on day 60. This is the recommended scope because EndoSpool's launch opportunity spans product, regulatory, clinical, manufacturing, commercial, digital, and international questions that should be resolved as one integrated system.</w:t>
      </w:r>
    </w:p>
    <w:p>
      <w:pPr>
        <w:pStyle w:val="Heading2"/>
      </w:pPr>
      <w:r>
        <w:t>5.1 Program objectives</w:t>
      </w:r>
    </w:p>
    <w:p>
      <w:pPr>
        <w:pStyle w:val="ListBullet"/>
        <w:spacing w:after="40"/>
        <w:ind w:left="317" w:hanging="202"/>
      </w:pPr>
      <w:r>
        <w:rPr>
          <w:rFonts w:ascii="Arial" w:hAnsi="Arial"/>
          <w:b w:val="0"/>
          <w:i w:val="0"/>
          <w:color w:val="1F2933"/>
          <w:sz w:val="18"/>
        </w:rPr>
        <w:t>Establish a granular and evidence-based view of EndoSpool's current commercialization readiness.</w:t>
      </w:r>
    </w:p>
    <w:p>
      <w:pPr>
        <w:pStyle w:val="ListBullet"/>
        <w:spacing w:after="40"/>
        <w:ind w:left="317" w:hanging="202"/>
      </w:pPr>
      <w:r>
        <w:rPr>
          <w:rFonts w:ascii="Arial" w:hAnsi="Arial"/>
          <w:b w:val="0"/>
          <w:i w:val="0"/>
          <w:color w:val="1F2933"/>
          <w:sz w:val="18"/>
        </w:rPr>
        <w:t>Define the product configuration and claims architecture that best preserves the anticipated U.S. pathway while supporting a meaningful value proposition.</w:t>
      </w:r>
    </w:p>
    <w:p>
      <w:pPr>
        <w:pStyle w:val="ListBullet"/>
        <w:spacing w:after="40"/>
        <w:ind w:left="317" w:hanging="202"/>
      </w:pPr>
      <w:r>
        <w:rPr>
          <w:rFonts w:ascii="Arial" w:hAnsi="Arial"/>
          <w:b w:val="0"/>
          <w:i w:val="0"/>
          <w:color w:val="1F2933"/>
          <w:sz w:val="18"/>
        </w:rPr>
        <w:t>Identify the procedures, surgeons, facilities, workflows, buyers, and price conditions with the highest probability of repeatable adoption.</w:t>
      </w:r>
    </w:p>
    <w:p>
      <w:pPr>
        <w:pStyle w:val="ListBullet"/>
        <w:spacing w:after="40"/>
        <w:ind w:left="317" w:hanging="202"/>
      </w:pPr>
      <w:r>
        <w:rPr>
          <w:rFonts w:ascii="Arial" w:hAnsi="Arial"/>
          <w:b w:val="0"/>
          <w:i w:val="0"/>
          <w:color w:val="1F2933"/>
          <w:sz w:val="18"/>
        </w:rPr>
        <w:t>Validate direct, representative, wholesale, stocking-distributor, bundle, private-label, OEM, licensing, and OUS economic pathways.</w:t>
      </w:r>
    </w:p>
    <w:p>
      <w:pPr>
        <w:pStyle w:val="ListBullet"/>
        <w:spacing w:after="40"/>
        <w:ind w:left="317" w:hanging="202"/>
      </w:pPr>
      <w:r>
        <w:rPr>
          <w:rFonts w:ascii="Arial" w:hAnsi="Arial"/>
          <w:b w:val="0"/>
          <w:i w:val="0"/>
          <w:color w:val="1F2933"/>
          <w:sz w:val="18"/>
        </w:rPr>
        <w:t>Assess manufacturing output, fully burdened COGS, quality, sterilization, packaging, shelf-life, inventory, fulfillment, working capital, and scale thresholds.</w:t>
      </w:r>
    </w:p>
    <w:p>
      <w:pPr>
        <w:pStyle w:val="ListBullet"/>
        <w:spacing w:after="40"/>
        <w:ind w:left="317" w:hanging="202"/>
      </w:pPr>
      <w:r>
        <w:rPr>
          <w:rFonts w:ascii="Arial" w:hAnsi="Arial"/>
          <w:b w:val="0"/>
          <w:i w:val="0"/>
          <w:color w:val="1F2933"/>
          <w:sz w:val="18"/>
        </w:rPr>
        <w:t>Build a controlled U.S. launch design aligned with available human-use product and initial monthly supply.</w:t>
      </w:r>
    </w:p>
    <w:p>
      <w:pPr>
        <w:pStyle w:val="ListBullet"/>
        <w:spacing w:after="40"/>
        <w:ind w:left="317" w:hanging="202"/>
      </w:pPr>
      <w:r>
        <w:rPr>
          <w:rFonts w:ascii="Arial" w:hAnsi="Arial"/>
          <w:b w:val="0"/>
          <w:i w:val="0"/>
          <w:color w:val="1F2933"/>
          <w:sz w:val="18"/>
        </w:rPr>
        <w:t>Prioritize OUS markets and define the regulatory and commercial work required to enter them.</w:t>
      </w:r>
    </w:p>
    <w:p>
      <w:pPr>
        <w:pStyle w:val="ListBullet"/>
        <w:spacing w:after="40"/>
        <w:ind w:left="317" w:hanging="202"/>
      </w:pPr>
      <w:r>
        <w:rPr>
          <w:rFonts w:ascii="Arial" w:hAnsi="Arial"/>
          <w:b w:val="0"/>
          <w:i w:val="0"/>
          <w:color w:val="1F2933"/>
          <w:sz w:val="18"/>
        </w:rPr>
        <w:t>Define the digital enablement, training, in-service, IFU companion, multilingual, CRM, dashboard, and distributor-reporting tools required for launch.</w:t>
      </w:r>
    </w:p>
    <w:p>
      <w:pPr>
        <w:pStyle w:val="ListBullet"/>
        <w:spacing w:after="40"/>
        <w:ind w:left="317" w:hanging="202"/>
      </w:pPr>
      <w:r>
        <w:rPr>
          <w:rFonts w:ascii="Arial" w:hAnsi="Arial"/>
          <w:b w:val="0"/>
          <w:i w:val="0"/>
          <w:color w:val="1F2933"/>
          <w:sz w:val="18"/>
        </w:rPr>
        <w:t>Produce a gated 90-, 180-, and 360-day roadmap and an implementation-ready Phase II statement of work.</w:t>
      </w:r>
    </w:p>
    <w:p>
      <w:pPr>
        <w:pStyle w:val="Heading2"/>
      </w:pPr>
      <w:r>
        <w:t>5.2 Integrated workstreams</w:t>
      </w:r>
    </w:p>
    <w:tbl>
      <w:tblPr>
        <w:tblStyle w:val="TableGrid"/>
        <w:tblW w:type="auto" w:w="0"/>
        <w:jc w:val="center"/>
        <w:tblLayout w:type="fixed"/>
        <w:tblLook w:firstColumn="1" w:firstRow="1" w:lastColumn="0" w:lastRow="0" w:noHBand="0" w:noVBand="1" w:val="04A0"/>
      </w:tblPr>
      <w:tblGrid>
        <w:gridCol w:w="5083"/>
        <w:gridCol w:w="5083"/>
      </w:tblGrid>
      <w:tr>
        <w:trPr>
          <w:tblHeader w:val="true"/>
        </w:trPr>
        <w:tc>
          <w:tcPr>
            <w:tcW w:type="dxa" w:w="2951"/>
            <w:shd w:fill="17324D"/>
            <w:vAlign w:val="center"/>
            <w:tcMar>
              <w:top w:w="75" w:type="dxa"/>
              <w:start w:w="75" w:type="dxa"/>
              <w:bottom w:w="75" w:type="dxa"/>
              <w:end w:w="75" w:type="dxa"/>
            </w:tcMar>
          </w:tcPr>
          <w:p>
            <w:pPr>
              <w:jc w:val="left"/>
            </w:pPr>
            <w:r>
              <w:rPr>
                <w:rFonts w:ascii="Arial" w:hAnsi="Arial"/>
                <w:b/>
                <w:i w:val="0"/>
                <w:color w:val="FFFFFF"/>
                <w:sz w:val="17"/>
              </w:rPr>
              <w:t>Workstream</w:t>
            </w:r>
          </w:p>
        </w:tc>
        <w:tc>
          <w:tcPr>
            <w:tcW w:type="dxa" w:w="7056"/>
            <w:shd w:fill="17324D"/>
            <w:vAlign w:val="center"/>
            <w:tcMar>
              <w:top w:w="75" w:type="dxa"/>
              <w:start w:w="75" w:type="dxa"/>
              <w:bottom w:w="75" w:type="dxa"/>
              <w:end w:w="75" w:type="dxa"/>
            </w:tcMar>
          </w:tcPr>
          <w:p>
            <w:pPr>
              <w:jc w:val="left"/>
            </w:pPr>
            <w:r>
              <w:rPr>
                <w:rFonts w:ascii="Arial" w:hAnsi="Arial"/>
                <w:b/>
                <w:i w:val="0"/>
                <w:color w:val="FFFFFF"/>
                <w:sz w:val="17"/>
              </w:rPr>
              <w:t>Scope</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A. Product configuration and claims architecture</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Map the finished commercial configuration; loaded versus unloaded responsibilities; sterile barrier; compatible suture/needle configurations; 8 mm workflow; intended use; claims boundaries; labeling and training language; differentiation without unsupported claims.</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B. Clinical workflow and market segmentation</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Map setup, loading, introduction, intracorporeal organization, suture retrieval, needle accountability, device removal, and disposal. Segment procedures, surgeon types, hospital/ASC profiles, teaching settings, and use intensity.</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C. Competitive and substitute-process assessment</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Analyze StitchKit, StitchKit PARK, manual suture introduction, glove/needle-pad practices, alternative organizers, and no-device workflows. Define EndoSpool's credible advantages, disadvantages, and evidence needs.</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D. Pricing, value, and unit economics</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Test $270 end-user pricing; model list-to-net, direct and wholesale revenue, distributor margins, 1099Reps success fees, COGS at 1,000/5,000/10,000 units, samples, returns, support burden, and break-even sales productivity.</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E. Manufacturing and scale readiness</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Review BOM, supplier quotes, tooling, assembly, loading, packaging, sterilization, testing, release, yield, scrap, lead times, capacity, safety stock, second sourcing, working capital, and ramp scenarios.</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F. Quality, shelf life, fulfillment, and postmarket readiness</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Assess QMS maturity; design controls where applicable; supplier controls; traceability; nonconformance; CAPA; complaints; MDR/vigilance; recalls; product liability; shelf-life support; expiry policy; returns; replacement; distributor inventory risk.</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G. U.S. channel and salesforce architecture</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Compare attributed-account, channel-of-record, direct, independent-rep, stocking-distributor, regional distributor, national distributor, strategic bundle, private-label, OEM, and licensing models. Define roles, territory, account ownership, training, data, inventory, and performance obligations.</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H. OUS prioritization screen</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Screen the EU, Great Britain, Canada, Japan, Australia, and other management-nominated markets at a high level. Recommend the two or three markets for formal regulatory and market profiles.</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I. Digital enablement and data architecture</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Define compliant sales and training content; market-entry explainer; virtual in-service; IFU companion; multilingual needs; QR resource hub; launch-readiness dashboard; lightweight CRM; distributor reporting; lot/expiry and evaluation-site tracking.</w:t>
            </w:r>
          </w:p>
        </w:tc>
      </w:tr>
      <w:tr>
        <w:trPr>
          <w:cantSplit/>
        </w:trPr>
        <w:tc>
          <w:tcPr>
            <w:tcW w:type="dxa" w:w="2951"/>
            <w:vAlign w:val="top"/>
            <w:tcMar>
              <w:top w:w="65" w:type="dxa"/>
              <w:start w:w="70" w:type="dxa"/>
              <w:bottom w:w="65" w:type="dxa"/>
              <w:end w:w="70" w:type="dxa"/>
            </w:tcMar>
          </w:tcPr>
          <w:p>
            <w:pPr>
              <w:spacing w:after="0"/>
            </w:pPr>
            <w:r>
              <w:rPr>
                <w:rFonts w:ascii="Arial" w:hAnsi="Arial"/>
                <w:b/>
                <w:i w:val="0"/>
                <w:color w:val="1F2933"/>
                <w:sz w:val="16"/>
              </w:rPr>
              <w:t>J. Organizational and execution readiness</w:t>
            </w:r>
          </w:p>
        </w:tc>
        <w:tc>
          <w:tcPr>
            <w:tcW w:type="dxa" w:w="7056"/>
            <w:vAlign w:val="top"/>
            <w:tcMar>
              <w:top w:w="65" w:type="dxa"/>
              <w:start w:w="70" w:type="dxa"/>
              <w:bottom w:w="65" w:type="dxa"/>
              <w:end w:w="70" w:type="dxa"/>
            </w:tcMar>
          </w:tcPr>
          <w:p>
            <w:pPr>
              <w:spacing w:after="0"/>
            </w:pPr>
            <w:r>
              <w:rPr>
                <w:rFonts w:ascii="Arial" w:hAnsi="Arial"/>
                <w:b w:val="0"/>
                <w:i w:val="0"/>
                <w:color w:val="1F2933"/>
                <w:sz w:val="16"/>
              </w:rPr>
              <w:t>Assess decision rights, leadership bandwidth, launch budget, working capital, response cadence, functional ownership, regulatory and quality support, field escalation, and ability to support multi-channel execution.</w:t>
            </w:r>
          </w:p>
        </w:tc>
      </w:tr>
    </w:tbl>
    <w:p>
      <w:pPr>
        <w:spacing w:after="0"/>
      </w:pPr>
    </w:p>
    <w:p>
      <w:pPr>
        <w:pStyle w:val="Heading2"/>
      </w:pPr>
      <w:r>
        <w:t>5.3 Program deliverables</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503"/>
            <w:shd w:fill="17324D"/>
            <w:vAlign w:val="center"/>
            <w:tcMar>
              <w:top w:w="75" w:type="dxa"/>
              <w:start w:w="75" w:type="dxa"/>
              <w:bottom w:w="75" w:type="dxa"/>
              <w:end w:w="75" w:type="dxa"/>
            </w:tcMar>
          </w:tcPr>
          <w:p>
            <w:pPr>
              <w:jc w:val="left"/>
            </w:pPr>
            <w:r>
              <w:rPr>
                <w:rFonts w:ascii="Arial" w:hAnsi="Arial"/>
                <w:b/>
                <w:i w:val="0"/>
                <w:color w:val="FFFFFF"/>
                <w:sz w:val="17"/>
              </w:rPr>
              <w:t>#</w:t>
            </w:r>
          </w:p>
        </w:tc>
        <w:tc>
          <w:tcPr>
            <w:tcW w:type="dxa" w:w="3240"/>
            <w:shd w:fill="17324D"/>
            <w:vAlign w:val="center"/>
            <w:tcMar>
              <w:top w:w="75" w:type="dxa"/>
              <w:start w:w="75" w:type="dxa"/>
              <w:bottom w:w="75" w:type="dxa"/>
              <w:end w:w="75" w:type="dxa"/>
            </w:tcMar>
          </w:tcPr>
          <w:p>
            <w:pPr>
              <w:jc w:val="left"/>
            </w:pPr>
            <w:r>
              <w:rPr>
                <w:rFonts w:ascii="Arial" w:hAnsi="Arial"/>
                <w:b/>
                <w:i w:val="0"/>
                <w:color w:val="FFFFFF"/>
                <w:sz w:val="17"/>
              </w:rPr>
              <w:t>Deliverable</w:t>
            </w:r>
          </w:p>
        </w:tc>
        <w:tc>
          <w:tcPr>
            <w:tcW w:type="dxa" w:w="6263"/>
            <w:shd w:fill="17324D"/>
            <w:vAlign w:val="center"/>
            <w:tcMar>
              <w:top w:w="75" w:type="dxa"/>
              <w:start w:w="75" w:type="dxa"/>
              <w:bottom w:w="75" w:type="dxa"/>
              <w:end w:w="75" w:type="dxa"/>
            </w:tcMar>
          </w:tcPr>
          <w:p>
            <w:pPr>
              <w:jc w:val="left"/>
            </w:pPr>
            <w:r>
              <w:rPr>
                <w:rFonts w:ascii="Arial" w:hAnsi="Arial"/>
                <w:b/>
                <w:i w:val="0"/>
                <w:color w:val="FFFFFF"/>
                <w:sz w:val="17"/>
              </w:rPr>
              <w:t>Contents</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1</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Current-State Commercialization Preparedness Assessment</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Baseline and final scores, evidence register, assumptions, risks, gating issues, and recommended interventions.</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2</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Product Configuration, Claims, and Regulatory Question Map</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Commercial configuration diagram, claims matrix, regulatory questions, and matters requiring formal specialist confirmation.</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3</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Procedure, User, Buyer, and Ideal-Customer Segmentation</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Priority procedures, surgeon/user personas, hospital/ASC profile, stakeholder map, early-adopter criteria, and disqualification criteria.</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4</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Competitive and Differentiation Framework</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StitchKit and substitute-process analysis; 8 mm, brand-flexibility, workflow, cost, training, and evidence comparison.</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5</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Pricing and Channel Economics Model</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Direct, rep, wholesale, distributor, OEM-supply, bundle, and private-label scenarios with $270/$148.50 and COGS sensitivity.</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6</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Manufacturing and Scale-Readiness Plan</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Verified capacity assumptions, fully burdened COGS definition, bottlenecks, supplier and working-capital risks, and 1,000/5,000/10,000-unit ramp requirements.</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7</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Quality, Shelf-Life, and Fulfillment Readiness Map</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Sterility, packaging, aging, lot release, expiry, returns, complaints, training, support, product liability, and distributor inventory requirements.</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8</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U.S. Multi-Channel Commercialization Architecture</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Recommended direct/rep/distributor/OEM/licensing sequence; channel class definitions; account ownership; stocking terms; performance gates; and activation plan.</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9</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OUS Market Prioritization Screen</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Comparative screen and recommendation for two or three markets to receive full regulatory and commercial profiles.</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10</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Digital Market Entry and CRM Requirements Blueprint</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Content inventory, scripts/storyboards, training architecture, multilingual plan, launch dashboard requirements, data model, and implementation budget.</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11</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Controlled Launch Plan</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Launch gates, target sites, evaluator process, training, supply allocation, claims, metrics, case feedback, reorder, and escalation plan.</w:t>
            </w:r>
          </w:p>
        </w:tc>
      </w:tr>
      <w:tr>
        <w:trPr>
          <w:cantSplit/>
        </w:trPr>
        <w:tc>
          <w:tcPr>
            <w:tcW w:type="dxa" w:w="503"/>
            <w:vAlign w:val="top"/>
            <w:tcMar>
              <w:top w:w="65" w:type="dxa"/>
              <w:start w:w="70" w:type="dxa"/>
              <w:bottom w:w="65" w:type="dxa"/>
              <w:end w:w="70" w:type="dxa"/>
            </w:tcMar>
          </w:tcPr>
          <w:p>
            <w:pPr>
              <w:spacing w:after="0"/>
            </w:pPr>
            <w:r>
              <w:rPr>
                <w:rFonts w:ascii="Arial" w:hAnsi="Arial"/>
                <w:b/>
                <w:i w:val="0"/>
                <w:color w:val="1F2933"/>
                <w:sz w:val="16"/>
              </w:rPr>
              <w:t>12</w:t>
            </w:r>
          </w:p>
        </w:tc>
        <w:tc>
          <w:tcPr>
            <w:tcW w:type="dxa" w:w="3240"/>
            <w:vAlign w:val="top"/>
            <w:tcMar>
              <w:top w:w="65" w:type="dxa"/>
              <w:start w:w="70" w:type="dxa"/>
              <w:bottom w:w="65" w:type="dxa"/>
              <w:end w:w="70" w:type="dxa"/>
            </w:tcMar>
          </w:tcPr>
          <w:p>
            <w:pPr>
              <w:spacing w:after="0"/>
            </w:pPr>
            <w:r>
              <w:rPr>
                <w:rFonts w:ascii="Arial" w:hAnsi="Arial"/>
                <w:b w:val="0"/>
                <w:i w:val="0"/>
                <w:color w:val="1F2933"/>
                <w:sz w:val="16"/>
              </w:rPr>
              <w:t>90/180/360-Day Roadmap and Executive Decision Workshop</w:t>
            </w:r>
          </w:p>
        </w:tc>
        <w:tc>
          <w:tcPr>
            <w:tcW w:type="dxa" w:w="6263"/>
            <w:vAlign w:val="top"/>
            <w:tcMar>
              <w:top w:w="65" w:type="dxa"/>
              <w:start w:w="70" w:type="dxa"/>
              <w:bottom w:w="65" w:type="dxa"/>
              <w:end w:w="70" w:type="dxa"/>
            </w:tcMar>
          </w:tcPr>
          <w:p>
            <w:pPr>
              <w:spacing w:after="0"/>
            </w:pPr>
            <w:r>
              <w:rPr>
                <w:rFonts w:ascii="Arial" w:hAnsi="Arial"/>
                <w:b w:val="0"/>
                <w:i w:val="0"/>
                <w:color w:val="1F2933"/>
                <w:sz w:val="16"/>
              </w:rPr>
              <w:t>Sequenced owners, dependencies, budgets, metrics, GO/GATED GO/NARROW/DISTRIBUTE/BUNDLE/OEM-LICENSE/OUS/BUILD CAPACITY/PAUSE decision.</w:t>
            </w:r>
          </w:p>
        </w:tc>
      </w:tr>
    </w:tbl>
    <w:p>
      <w:pPr>
        <w:spacing w:after="0"/>
      </w:pPr>
    </w:p>
    <w:p>
      <w:pPr>
        <w:pStyle w:val="Heading2"/>
      </w:pPr>
      <w:r>
        <w:t>5.4 Program cadence and capacity</w:t>
      </w:r>
    </w:p>
    <w:p>
      <w:pPr>
        <w:pStyle w:val="ListBullet"/>
        <w:spacing w:after="40"/>
        <w:ind w:left="317" w:hanging="202"/>
      </w:pPr>
      <w:r>
        <w:rPr>
          <w:rFonts w:ascii="Arial" w:hAnsi="Arial"/>
          <w:b w:val="0"/>
          <w:i w:val="0"/>
          <w:color w:val="1F2933"/>
          <w:sz w:val="18"/>
        </w:rPr>
        <w:t>Weekly 60-minute steering session with the EndoSpool executive sponsor and core team.</w:t>
      </w:r>
    </w:p>
    <w:p>
      <w:pPr>
        <w:pStyle w:val="ListBullet"/>
        <w:spacing w:after="40"/>
        <w:ind w:left="317" w:hanging="202"/>
      </w:pPr>
      <w:r>
        <w:rPr>
          <w:rFonts w:ascii="Arial" w:hAnsi="Arial"/>
          <w:b w:val="0"/>
          <w:i w:val="0"/>
          <w:color w:val="1F2933"/>
          <w:sz w:val="18"/>
        </w:rPr>
        <w:t>Up to 24 stakeholder interviews, including management, clinical users, OR staff, buyers/value-analysis stakeholders, distributors/representatives, manufacturing/quality partners, and strategic/OUS participants.</w:t>
      </w:r>
    </w:p>
    <w:p>
      <w:pPr>
        <w:pStyle w:val="ListBullet"/>
        <w:spacing w:after="40"/>
        <w:ind w:left="317" w:hanging="202"/>
      </w:pPr>
      <w:r>
        <w:rPr>
          <w:rFonts w:ascii="Arial" w:hAnsi="Arial"/>
          <w:b w:val="0"/>
          <w:i w:val="0"/>
          <w:color w:val="1F2933"/>
          <w:sz w:val="18"/>
        </w:rPr>
        <w:t>Up to two on-site days in the continental United States; travel and direct expenses are additional and require pre-approval.</w:t>
      </w:r>
    </w:p>
    <w:p>
      <w:pPr>
        <w:pStyle w:val="ListBullet"/>
        <w:spacing w:after="40"/>
        <w:ind w:left="317" w:hanging="202"/>
      </w:pPr>
      <w:r>
        <w:rPr>
          <w:rFonts w:ascii="Arial" w:hAnsi="Arial"/>
          <w:b w:val="0"/>
          <w:i w:val="0"/>
          <w:color w:val="1F2933"/>
          <w:sz w:val="18"/>
        </w:rPr>
        <w:t>Two executive workshops: midpoint hypothesis review and final decision workshop.</w:t>
      </w:r>
    </w:p>
    <w:p>
      <w:pPr>
        <w:pStyle w:val="ListBullet"/>
        <w:spacing w:after="40"/>
        <w:ind w:left="317" w:hanging="202"/>
      </w:pPr>
      <w:r>
        <w:rPr>
          <w:rFonts w:ascii="Arial" w:hAnsi="Arial"/>
          <w:b w:val="0"/>
          <w:i w:val="0"/>
          <w:color w:val="1F2933"/>
          <w:sz w:val="18"/>
        </w:rPr>
        <w:t>Two consolidated revision rounds for each principal deliverable.</w:t>
      </w:r>
    </w:p>
    <w:p>
      <w:pPr>
        <w:pStyle w:val="ListBullet"/>
        <w:spacing w:after="40"/>
        <w:ind w:left="317" w:hanging="202"/>
      </w:pPr>
      <w:r>
        <w:rPr>
          <w:rFonts w:ascii="Arial" w:hAnsi="Arial"/>
          <w:b w:val="0"/>
          <w:i w:val="0"/>
          <w:color w:val="1F2933"/>
          <w:sz w:val="18"/>
        </w:rPr>
        <w:t>Reasonable email and virtual working-session access during the engagement.</w:t>
      </w:r>
    </w:p>
    <w:p>
      <w:pPr>
        <w:pStyle w:val="Heading1"/>
      </w:pPr>
      <w:r>
        <w:t>6. Launch Readiness Gates</w:t>
      </w:r>
    </w:p>
    <w:p>
      <w:r>
        <w:rPr>
          <w:rFonts w:ascii="Arial" w:hAnsi="Arial"/>
          <w:b w:val="0"/>
          <w:i w:val="0"/>
          <w:color w:val="1F2933"/>
          <w:sz w:val="20"/>
        </w:rPr>
        <w:t>The sales and distribution activation phase should begin only after EndoSpool and 1099Reps.com jointly determine that the applicable gates are satisfied or expressly accepted as managed risks.</w:t>
      </w:r>
    </w:p>
    <w:tbl>
      <w:tblPr>
        <w:tblStyle w:val="TableGrid"/>
        <w:tblW w:type="auto" w:w="0"/>
        <w:jc w:val="center"/>
        <w:tblLayout w:type="fixed"/>
        <w:tblLook w:firstColumn="1" w:firstRow="1" w:lastColumn="0" w:lastRow="0" w:noHBand="0" w:noVBand="1" w:val="04A0"/>
      </w:tblPr>
      <w:tblGrid>
        <w:gridCol w:w="5083"/>
        <w:gridCol w:w="5083"/>
      </w:tblGrid>
      <w:tr>
        <w:trPr>
          <w:tblHeader w:val="true"/>
        </w:trPr>
        <w:tc>
          <w:tcPr>
            <w:tcW w:type="dxa" w:w="2592"/>
            <w:shd w:fill="17324D"/>
            <w:vAlign w:val="center"/>
            <w:tcMar>
              <w:top w:w="75" w:type="dxa"/>
              <w:start w:w="75" w:type="dxa"/>
              <w:bottom w:w="75" w:type="dxa"/>
              <w:end w:w="75" w:type="dxa"/>
            </w:tcMar>
          </w:tcPr>
          <w:p>
            <w:pPr>
              <w:jc w:val="left"/>
            </w:pPr>
            <w:r>
              <w:rPr>
                <w:rFonts w:ascii="Arial" w:hAnsi="Arial"/>
                <w:b/>
                <w:i w:val="0"/>
                <w:color w:val="FFFFFF"/>
                <w:sz w:val="17"/>
              </w:rPr>
              <w:t>Gate</w:t>
            </w:r>
          </w:p>
        </w:tc>
        <w:tc>
          <w:tcPr>
            <w:tcW w:type="dxa" w:w="7416"/>
            <w:shd w:fill="17324D"/>
            <w:vAlign w:val="center"/>
            <w:tcMar>
              <w:top w:w="75" w:type="dxa"/>
              <w:start w:w="75" w:type="dxa"/>
              <w:bottom w:w="75" w:type="dxa"/>
              <w:end w:w="75" w:type="dxa"/>
            </w:tcMar>
          </w:tcPr>
          <w:p>
            <w:pPr>
              <w:jc w:val="left"/>
            </w:pPr>
            <w:r>
              <w:rPr>
                <w:rFonts w:ascii="Arial" w:hAnsi="Arial"/>
                <w:b/>
                <w:i w:val="0"/>
                <w:color w:val="FFFFFF"/>
                <w:sz w:val="17"/>
              </w:rPr>
              <w:t>Minimum condition</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1. Regulatory and claims</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Written classification rationale; intended use; final claims boundary; registration/listing and labeling plan; no unsupported sales claims.</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2. Human-use product</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Commercially representative product available; design and loading process sufficiently frozen; required testing and release completed.</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3. Sterility, packaging, and shelf life</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Validated sterile barrier and release process; supported initial shelf-life claim; expiry, return, and replacement policy.</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4. Manufacturing and supply</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Confirmed launch capacity; known lead times; safety stock; supplier and sterilizer capacity; lot release; working capital.</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5. Quality and postmarket</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Complaint, MDR/vigilance, CAPA, traceability, recall, nonconformance, training, and escalation processes operational.</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6. Economic readiness</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Approved list/net/transfer pricing; COGS definition; distributor and representative economics; sample policy; discount authority; commercial budget.</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7. Clinical and training</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Target procedures; user profile; training and in-service content; evaluator protocol; evidence boundaries; case-support plan.</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8. Commercial systems</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CRM or launch dashboard; account registration; distributor data requirements; inventory/expiry visibility; forecasting; ownership and reporting cadence.</w:t>
            </w:r>
          </w:p>
        </w:tc>
      </w:tr>
      <w:tr>
        <w:trPr>
          <w:cantSplit/>
        </w:trPr>
        <w:tc>
          <w:tcPr>
            <w:tcW w:type="dxa" w:w="2592"/>
            <w:vAlign w:val="top"/>
            <w:tcMar>
              <w:top w:w="65" w:type="dxa"/>
              <w:start w:w="70" w:type="dxa"/>
              <w:bottom w:w="65" w:type="dxa"/>
              <w:end w:w="70" w:type="dxa"/>
            </w:tcMar>
          </w:tcPr>
          <w:p>
            <w:pPr>
              <w:spacing w:after="0"/>
            </w:pPr>
            <w:r>
              <w:rPr>
                <w:rFonts w:ascii="Arial" w:hAnsi="Arial"/>
                <w:b/>
                <w:i w:val="0"/>
                <w:color w:val="1F2933"/>
                <w:sz w:val="17"/>
              </w:rPr>
              <w:t>9. Organizational readiness</w:t>
            </w:r>
          </w:p>
        </w:tc>
        <w:tc>
          <w:tcPr>
            <w:tcW w:type="dxa" w:w="7416"/>
            <w:vAlign w:val="top"/>
            <w:tcMar>
              <w:top w:w="65" w:type="dxa"/>
              <w:start w:w="70" w:type="dxa"/>
              <w:bottom w:w="65" w:type="dxa"/>
              <w:end w:w="70" w:type="dxa"/>
            </w:tcMar>
          </w:tcPr>
          <w:p>
            <w:pPr>
              <w:spacing w:after="0"/>
            </w:pPr>
            <w:r>
              <w:rPr>
                <w:rFonts w:ascii="Arial" w:hAnsi="Arial"/>
                <w:b w:val="0"/>
                <w:i w:val="0"/>
                <w:color w:val="1F2933"/>
                <w:sz w:val="17"/>
              </w:rPr>
              <w:t>Named executive sponsor; response cadence; functional owners; launch budget; ability to support decisions, quality, supply, and customer escalation.</w:t>
            </w:r>
          </w:p>
        </w:tc>
      </w:tr>
    </w:tbl>
    <w:p>
      <w:pPr>
        <w:spacing w:after="0"/>
      </w:pPr>
    </w:p>
    <w:p>
      <w:pPr>
        <w:pStyle w:val="Heading1"/>
      </w:pPr>
      <w:r>
        <w:t>7. Optional OUS Regulatory and International Market Profile</w:t>
      </w:r>
    </w:p>
    <w:p>
      <w:r>
        <w:rPr>
          <w:rFonts w:ascii="Arial" w:hAnsi="Arial"/>
          <w:b w:val="0"/>
          <w:i w:val="0"/>
          <w:color w:val="1F2933"/>
          <w:sz w:val="20"/>
        </w:rPr>
        <w:t>This module converts high-level OUS interest into a decision-quality country sequence. EndoSpool may nominate two or three preferred markets. 1099Reps.com may recommend reordering or substituting a market where the regulatory burden, market size, distributor quality, pricing, or launch timing does not support the proposed sequence.</w:t>
      </w:r>
    </w:p>
    <w:p>
      <w:pPr>
        <w:pStyle w:val="Heading2"/>
      </w:pPr>
      <w:r>
        <w:t>7.1 Fixed-fee OUS review options</w:t>
      </w:r>
    </w:p>
    <w:tbl>
      <w:tblPr>
        <w:tblStyle w:val="TableGrid"/>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936"/>
            <w:shd w:fill="17324D"/>
            <w:vAlign w:val="center"/>
            <w:tcMar>
              <w:top w:w="75" w:type="dxa"/>
              <w:start w:w="75" w:type="dxa"/>
              <w:bottom w:w="75" w:type="dxa"/>
              <w:end w:w="75" w:type="dxa"/>
            </w:tcMar>
          </w:tcPr>
          <w:p>
            <w:pPr>
              <w:jc w:val="left"/>
            </w:pPr>
            <w:r>
              <w:rPr>
                <w:rFonts w:ascii="Arial" w:hAnsi="Arial"/>
                <w:b/>
                <w:i w:val="0"/>
                <w:color w:val="FFFFFF"/>
                <w:sz w:val="17"/>
              </w:rPr>
              <w:t>Option</w:t>
            </w:r>
          </w:p>
        </w:tc>
        <w:tc>
          <w:tcPr>
            <w:tcW w:type="dxa" w:w="1655"/>
            <w:shd w:fill="17324D"/>
            <w:vAlign w:val="center"/>
            <w:tcMar>
              <w:top w:w="75" w:type="dxa"/>
              <w:start w:w="75" w:type="dxa"/>
              <w:bottom w:w="75" w:type="dxa"/>
              <w:end w:w="75" w:type="dxa"/>
            </w:tcMar>
          </w:tcPr>
          <w:p>
            <w:pPr>
              <w:jc w:val="left"/>
            </w:pPr>
            <w:r>
              <w:rPr>
                <w:rFonts w:ascii="Arial" w:hAnsi="Arial"/>
                <w:b/>
                <w:i w:val="0"/>
                <w:color w:val="FFFFFF"/>
                <w:sz w:val="17"/>
              </w:rPr>
              <w:t>Markets</w:t>
            </w:r>
          </w:p>
        </w:tc>
        <w:tc>
          <w:tcPr>
            <w:tcW w:type="dxa" w:w="1224"/>
            <w:shd w:fill="17324D"/>
            <w:vAlign w:val="center"/>
            <w:tcMar>
              <w:top w:w="75" w:type="dxa"/>
              <w:start w:w="75" w:type="dxa"/>
              <w:bottom w:w="75" w:type="dxa"/>
              <w:end w:w="75" w:type="dxa"/>
            </w:tcMar>
          </w:tcPr>
          <w:p>
            <w:pPr>
              <w:jc w:val="left"/>
            </w:pPr>
            <w:r>
              <w:rPr>
                <w:rFonts w:ascii="Arial" w:hAnsi="Arial"/>
                <w:b/>
                <w:i w:val="0"/>
                <w:color w:val="FFFFFF"/>
                <w:sz w:val="17"/>
              </w:rPr>
              <w:t>Duration</w:t>
            </w:r>
          </w:p>
        </w:tc>
        <w:tc>
          <w:tcPr>
            <w:tcW w:type="dxa" w:w="1296"/>
            <w:shd w:fill="17324D"/>
            <w:vAlign w:val="center"/>
            <w:tcMar>
              <w:top w:w="75" w:type="dxa"/>
              <w:start w:w="75" w:type="dxa"/>
              <w:bottom w:w="75" w:type="dxa"/>
              <w:end w:w="75" w:type="dxa"/>
            </w:tcMar>
          </w:tcPr>
          <w:p>
            <w:pPr>
              <w:jc w:val="left"/>
            </w:pPr>
            <w:r>
              <w:rPr>
                <w:rFonts w:ascii="Arial" w:hAnsi="Arial"/>
                <w:b/>
                <w:i w:val="0"/>
                <w:color w:val="FFFFFF"/>
                <w:sz w:val="17"/>
              </w:rPr>
              <w:t>Fee</w:t>
            </w:r>
          </w:p>
        </w:tc>
        <w:tc>
          <w:tcPr>
            <w:tcW w:type="dxa" w:w="4968"/>
            <w:shd w:fill="17324D"/>
            <w:vAlign w:val="center"/>
            <w:tcMar>
              <w:top w:w="75" w:type="dxa"/>
              <w:start w:w="75" w:type="dxa"/>
              <w:bottom w:w="75" w:type="dxa"/>
              <w:end w:w="75" w:type="dxa"/>
            </w:tcMar>
          </w:tcPr>
          <w:p>
            <w:pPr>
              <w:jc w:val="left"/>
            </w:pPr>
            <w:r>
              <w:rPr>
                <w:rFonts w:ascii="Arial" w:hAnsi="Arial"/>
                <w:b/>
                <w:i w:val="0"/>
                <w:color w:val="FFFFFF"/>
                <w:sz w:val="17"/>
              </w:rPr>
              <w:t>Scope</w:t>
            </w:r>
          </w:p>
        </w:tc>
      </w:tr>
      <w:tr>
        <w:trPr>
          <w:cantSplit/>
        </w:trPr>
        <w:tc>
          <w:tcPr>
            <w:tcW w:type="dxa" w:w="936"/>
            <w:vAlign w:val="top"/>
            <w:tcMar>
              <w:top w:w="65" w:type="dxa"/>
              <w:start w:w="70" w:type="dxa"/>
              <w:bottom w:w="65" w:type="dxa"/>
              <w:end w:w="70" w:type="dxa"/>
            </w:tcMar>
          </w:tcPr>
          <w:p>
            <w:pPr>
              <w:spacing w:after="0"/>
            </w:pPr>
            <w:r>
              <w:rPr>
                <w:rFonts w:ascii="Arial" w:hAnsi="Arial"/>
                <w:b w:val="0"/>
                <w:i w:val="0"/>
                <w:color w:val="1F2933"/>
                <w:sz w:val="16"/>
              </w:rPr>
              <w:t>OUS-2</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Up to 2 priority markets</w:t>
            </w:r>
          </w:p>
        </w:tc>
        <w:tc>
          <w:tcPr>
            <w:tcW w:type="dxa" w:w="1224"/>
            <w:vAlign w:val="top"/>
            <w:tcMar>
              <w:top w:w="65" w:type="dxa"/>
              <w:start w:w="70" w:type="dxa"/>
              <w:bottom w:w="65" w:type="dxa"/>
              <w:end w:w="70" w:type="dxa"/>
            </w:tcMar>
          </w:tcPr>
          <w:p>
            <w:pPr>
              <w:spacing w:after="0"/>
            </w:pPr>
            <w:r>
              <w:rPr>
                <w:rFonts w:ascii="Arial" w:hAnsi="Arial"/>
                <w:b w:val="0"/>
                <w:i w:val="0"/>
                <w:color w:val="1F2933"/>
                <w:sz w:val="16"/>
              </w:rPr>
              <w:t>8 weeks</w:t>
            </w:r>
          </w:p>
        </w:tc>
        <w:tc>
          <w:tcPr>
            <w:tcW w:type="dxa" w:w="1296"/>
            <w:vAlign w:val="top"/>
            <w:tcMar>
              <w:top w:w="65" w:type="dxa"/>
              <w:start w:w="70" w:type="dxa"/>
              <w:bottom w:w="65" w:type="dxa"/>
              <w:end w:w="70" w:type="dxa"/>
            </w:tcMar>
          </w:tcPr>
          <w:p>
            <w:pPr>
              <w:spacing w:after="0"/>
            </w:pPr>
            <w:r>
              <w:rPr>
                <w:rFonts w:ascii="Arial" w:hAnsi="Arial"/>
                <w:b w:val="0"/>
                <w:i w:val="0"/>
                <w:color w:val="1F2933"/>
                <w:sz w:val="16"/>
              </w:rPr>
              <w:t>$18,500</w:t>
            </w:r>
          </w:p>
        </w:tc>
        <w:tc>
          <w:tcPr>
            <w:tcW w:type="dxa" w:w="4968"/>
            <w:vAlign w:val="top"/>
            <w:tcMar>
              <w:top w:w="65" w:type="dxa"/>
              <w:start w:w="70" w:type="dxa"/>
              <w:bottom w:w="65" w:type="dxa"/>
              <w:end w:w="70" w:type="dxa"/>
            </w:tcMar>
          </w:tcPr>
          <w:p>
            <w:pPr>
              <w:spacing w:after="0"/>
            </w:pPr>
            <w:r>
              <w:rPr>
                <w:rFonts w:ascii="Arial" w:hAnsi="Arial"/>
                <w:b w:val="0"/>
                <w:i w:val="0"/>
                <w:color w:val="1F2933"/>
                <w:sz w:val="16"/>
              </w:rPr>
              <w:t>Two full regulatory and market-entry profiles plus comparative recommendation.</w:t>
            </w:r>
          </w:p>
        </w:tc>
      </w:tr>
      <w:tr>
        <w:trPr>
          <w:cantSplit/>
        </w:trPr>
        <w:tc>
          <w:tcPr>
            <w:tcW w:type="dxa" w:w="936"/>
            <w:vAlign w:val="top"/>
            <w:tcMar>
              <w:top w:w="65" w:type="dxa"/>
              <w:start w:w="70" w:type="dxa"/>
              <w:bottom w:w="65" w:type="dxa"/>
              <w:end w:w="70" w:type="dxa"/>
            </w:tcMar>
          </w:tcPr>
          <w:p>
            <w:pPr>
              <w:spacing w:after="0"/>
            </w:pPr>
            <w:r>
              <w:rPr>
                <w:rFonts w:ascii="Arial" w:hAnsi="Arial"/>
                <w:b w:val="0"/>
                <w:i w:val="0"/>
                <w:color w:val="1F2933"/>
                <w:sz w:val="16"/>
              </w:rPr>
              <w:t>OUS-3</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Up to 3 priority markets</w:t>
            </w:r>
          </w:p>
        </w:tc>
        <w:tc>
          <w:tcPr>
            <w:tcW w:type="dxa" w:w="1224"/>
            <w:vAlign w:val="top"/>
            <w:tcMar>
              <w:top w:w="65" w:type="dxa"/>
              <w:start w:w="70" w:type="dxa"/>
              <w:bottom w:w="65" w:type="dxa"/>
              <w:end w:w="70" w:type="dxa"/>
            </w:tcMar>
          </w:tcPr>
          <w:p>
            <w:pPr>
              <w:spacing w:after="0"/>
            </w:pPr>
            <w:r>
              <w:rPr>
                <w:rFonts w:ascii="Arial" w:hAnsi="Arial"/>
                <w:b w:val="0"/>
                <w:i w:val="0"/>
                <w:color w:val="1F2933"/>
                <w:sz w:val="16"/>
              </w:rPr>
              <w:t>10 weeks</w:t>
            </w:r>
          </w:p>
        </w:tc>
        <w:tc>
          <w:tcPr>
            <w:tcW w:type="dxa" w:w="1296"/>
            <w:vAlign w:val="top"/>
            <w:tcMar>
              <w:top w:w="65" w:type="dxa"/>
              <w:start w:w="70" w:type="dxa"/>
              <w:bottom w:w="65" w:type="dxa"/>
              <w:end w:w="70" w:type="dxa"/>
            </w:tcMar>
          </w:tcPr>
          <w:p>
            <w:pPr>
              <w:spacing w:after="0"/>
            </w:pPr>
            <w:r>
              <w:rPr>
                <w:rFonts w:ascii="Arial" w:hAnsi="Arial"/>
                <w:b w:val="0"/>
                <w:i w:val="0"/>
                <w:color w:val="1F2933"/>
                <w:sz w:val="16"/>
              </w:rPr>
              <w:t>$24,500</w:t>
            </w:r>
          </w:p>
        </w:tc>
        <w:tc>
          <w:tcPr>
            <w:tcW w:type="dxa" w:w="4968"/>
            <w:vAlign w:val="top"/>
            <w:tcMar>
              <w:top w:w="65" w:type="dxa"/>
              <w:start w:w="70" w:type="dxa"/>
              <w:bottom w:w="65" w:type="dxa"/>
              <w:end w:w="70" w:type="dxa"/>
            </w:tcMar>
          </w:tcPr>
          <w:p>
            <w:pPr>
              <w:spacing w:after="0"/>
            </w:pPr>
            <w:r>
              <w:rPr>
                <w:rFonts w:ascii="Arial" w:hAnsi="Arial"/>
                <w:b w:val="0"/>
                <w:i w:val="0"/>
                <w:color w:val="1F2933"/>
                <w:sz w:val="16"/>
              </w:rPr>
              <w:t>Three full profiles, comparative prioritization, and phased market-entry roadmap.</w:t>
            </w:r>
          </w:p>
        </w:tc>
      </w:tr>
    </w:tbl>
    <w:p>
      <w:pPr>
        <w:spacing w:after="0"/>
      </w:pPr>
    </w:p>
    <w:p>
      <w:pPr>
        <w:pStyle w:val="Heading2"/>
      </w:pPr>
      <w:r>
        <w:t>7.2 OUS profile contents per market</w:t>
      </w:r>
    </w:p>
    <w:p>
      <w:pPr>
        <w:pStyle w:val="ListBullet"/>
        <w:spacing w:after="40"/>
        <w:ind w:left="317" w:hanging="202"/>
      </w:pPr>
      <w:r>
        <w:rPr>
          <w:rFonts w:ascii="Arial" w:hAnsi="Arial"/>
          <w:b w:val="0"/>
          <w:i w:val="0"/>
          <w:color w:val="1F2933"/>
          <w:sz w:val="18"/>
        </w:rPr>
        <w:t>Preliminary classification hypothesis based on final configuration, intended use, sterility, duration, invasiveness, and loaded/unloaded status.</w:t>
      </w:r>
    </w:p>
    <w:p>
      <w:pPr>
        <w:pStyle w:val="ListBullet"/>
        <w:spacing w:after="40"/>
        <w:ind w:left="317" w:hanging="202"/>
      </w:pPr>
      <w:r>
        <w:rPr>
          <w:rFonts w:ascii="Arial" w:hAnsi="Arial"/>
          <w:b w:val="0"/>
          <w:i w:val="0"/>
          <w:color w:val="1F2933"/>
          <w:sz w:val="18"/>
        </w:rPr>
        <w:t>Likely authorization route, local representative/importer/MAH/UK Responsible Person requirements, quality-system dependencies, and required technical documentation categories.</w:t>
      </w:r>
    </w:p>
    <w:p>
      <w:pPr>
        <w:pStyle w:val="ListBullet"/>
        <w:spacing w:after="40"/>
        <w:ind w:left="317" w:hanging="202"/>
      </w:pPr>
      <w:r>
        <w:rPr>
          <w:rFonts w:ascii="Arial" w:hAnsi="Arial"/>
          <w:b w:val="0"/>
          <w:i w:val="0"/>
          <w:color w:val="1F2933"/>
          <w:sz w:val="18"/>
        </w:rPr>
        <w:t>Regulatory questions requiring a formal written opinion from local counsel, authorized representative, certification body, notified/approved body, or regulatory consultant.</w:t>
      </w:r>
    </w:p>
    <w:p>
      <w:pPr>
        <w:pStyle w:val="ListBullet"/>
        <w:spacing w:after="40"/>
        <w:ind w:left="317" w:hanging="202"/>
      </w:pPr>
      <w:r>
        <w:rPr>
          <w:rFonts w:ascii="Arial" w:hAnsi="Arial"/>
          <w:b w:val="0"/>
          <w:i w:val="0"/>
          <w:color w:val="1F2933"/>
          <w:sz w:val="18"/>
        </w:rPr>
        <w:t>Indicative sequence, dependencies, and cost/timeline bands developed with third-party specialists where commissioned by EndoSpool.</w:t>
      </w:r>
    </w:p>
    <w:p>
      <w:pPr>
        <w:pStyle w:val="ListBullet"/>
        <w:spacing w:after="40"/>
        <w:ind w:left="317" w:hanging="202"/>
      </w:pPr>
      <w:r>
        <w:rPr>
          <w:rFonts w:ascii="Arial" w:hAnsi="Arial"/>
          <w:b w:val="0"/>
          <w:i w:val="0"/>
          <w:color w:val="1F2933"/>
          <w:sz w:val="18"/>
        </w:rPr>
        <w:t>Procedure volume, robotic/laparoscopic adoption, hospital/ASC structure, purchasing model, reimbursement/funding context, pricing and transfer-price hypothesis.</w:t>
      </w:r>
    </w:p>
    <w:p>
      <w:pPr>
        <w:pStyle w:val="ListBullet"/>
        <w:spacing w:after="40"/>
        <w:ind w:left="317" w:hanging="202"/>
      </w:pPr>
      <w:r>
        <w:rPr>
          <w:rFonts w:ascii="Arial" w:hAnsi="Arial"/>
          <w:b w:val="0"/>
          <w:i w:val="0"/>
          <w:color w:val="1F2933"/>
          <w:sz w:val="18"/>
        </w:rPr>
        <w:t>Competitive and substitute-process profile, distributor landscape, partner criteria, local training needs, localization requirements, and postmarket/service burden.</w:t>
      </w:r>
    </w:p>
    <w:p>
      <w:pPr>
        <w:pStyle w:val="ListBullet"/>
        <w:spacing w:after="40"/>
        <w:ind w:left="317" w:hanging="202"/>
      </w:pPr>
      <w:r>
        <w:rPr>
          <w:rFonts w:ascii="Arial" w:hAnsi="Arial"/>
          <w:b w:val="0"/>
          <w:i w:val="0"/>
          <w:color w:val="1F2933"/>
          <w:sz w:val="18"/>
        </w:rPr>
        <w:t>Country GO / HOLD / SEQUENCE LATER recommendation and 12-month market-entry plan.</w:t>
      </w:r>
    </w:p>
    <w:tbl>
      <w:tblPr>
        <w:tblW w:type="auto" w:w="0"/>
        <w:jc w:val="center"/>
        <w:tblLayout w:type="fixed"/>
        <w:tblLook w:firstColumn="1" w:firstRow="1" w:lastColumn="0" w:lastRow="0" w:noHBand="0" w:noVBand="1" w:val="04A0"/>
      </w:tblPr>
      <w:tblGrid>
        <w:gridCol w:w="10166"/>
      </w:tblGrid>
      <w:tr>
        <w:tc>
          <w:tcPr>
            <w:tcW w:type="dxa" w:w="10080"/>
            <w:shd w:fill="FBF4E4"/>
            <w:tcMar>
              <w:top w:w="120" w:type="dxa"/>
              <w:start w:w="145" w:type="dxa"/>
              <w:bottom w:w="120" w:type="dxa"/>
              <w:end w:w="145" w:type="dxa"/>
            </w:tcMar>
          </w:tcPr>
          <w:p>
            <w:pPr>
              <w:spacing w:after="60"/>
            </w:pPr>
            <w:r>
              <w:rPr>
                <w:rFonts w:ascii="Arial" w:hAnsi="Arial"/>
                <w:b/>
                <w:i w:val="0"/>
                <w:color w:val="D8A436"/>
                <w:sz w:val="20"/>
              </w:rPr>
              <w:t>Regulatory boundary</w:t>
            </w:r>
          </w:p>
          <w:p>
            <w:pPr>
              <w:spacing w:after="0"/>
            </w:pPr>
            <w:r>
              <w:rPr>
                <w:rFonts w:ascii="Arial" w:hAnsi="Arial"/>
                <w:b w:val="0"/>
                <w:i w:val="0"/>
                <w:color w:val="1F2933"/>
                <w:sz w:val="19"/>
              </w:rPr>
              <w:t>1099Reps.com provides commercialization, diligence, coordination, and market-entry architecture. It does not issue legal opinions, act as a notified/approved body, serve as an authorized representative or MAH, or guarantee classification or authorization. Formal opinions, submissions, local representation, certification, testing, translations, and government fees are separate and require qualified third parties.</w:t>
            </w:r>
          </w:p>
        </w:tc>
      </w:tr>
    </w:tbl>
    <w:p>
      <w:pPr>
        <w:spacing w:after="0"/>
      </w:pPr>
    </w:p>
    <w:p>
      <w:pPr>
        <w:pStyle w:val="Heading1"/>
      </w:pPr>
      <w:r>
        <w:t>8. Optional OUS Market Development Sidecar</w:t>
      </w:r>
    </w:p>
    <w:p>
      <w:r>
        <w:rPr>
          <w:rFonts w:ascii="Arial" w:hAnsi="Arial"/>
          <w:b w:val="0"/>
          <w:i w:val="0"/>
          <w:color w:val="1F2933"/>
          <w:sz w:val="20"/>
        </w:rPr>
        <w:t>Following completion of an OUS profile, EndoSpool may authorize active partner development in selected markets.</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1872"/>
            <w:shd w:fill="17324D"/>
            <w:vAlign w:val="center"/>
            <w:tcMar>
              <w:top w:w="75" w:type="dxa"/>
              <w:start w:w="75" w:type="dxa"/>
              <w:bottom w:w="75" w:type="dxa"/>
              <w:end w:w="75" w:type="dxa"/>
            </w:tcMar>
          </w:tcPr>
          <w:p>
            <w:pPr>
              <w:jc w:val="left"/>
            </w:pPr>
            <w:r>
              <w:rPr>
                <w:rFonts w:ascii="Arial" w:hAnsi="Arial"/>
                <w:b/>
                <w:i w:val="0"/>
                <w:color w:val="FFFFFF"/>
                <w:sz w:val="17"/>
              </w:rPr>
              <w:t>Scope</w:t>
            </w:r>
          </w:p>
        </w:tc>
        <w:tc>
          <w:tcPr>
            <w:tcW w:type="dxa" w:w="1655"/>
            <w:shd w:fill="17324D"/>
            <w:vAlign w:val="center"/>
            <w:tcMar>
              <w:top w:w="75" w:type="dxa"/>
              <w:start w:w="75" w:type="dxa"/>
              <w:bottom w:w="75" w:type="dxa"/>
              <w:end w:w="75" w:type="dxa"/>
            </w:tcMar>
          </w:tcPr>
          <w:p>
            <w:pPr>
              <w:jc w:val="left"/>
            </w:pPr>
            <w:r>
              <w:rPr>
                <w:rFonts w:ascii="Arial" w:hAnsi="Arial"/>
                <w:b/>
                <w:i w:val="0"/>
                <w:color w:val="FFFFFF"/>
                <w:sz w:val="17"/>
              </w:rPr>
              <w:t>Monthly fee</w:t>
            </w:r>
          </w:p>
        </w:tc>
        <w:tc>
          <w:tcPr>
            <w:tcW w:type="dxa" w:w="1440"/>
            <w:shd w:fill="17324D"/>
            <w:vAlign w:val="center"/>
            <w:tcMar>
              <w:top w:w="75" w:type="dxa"/>
              <w:start w:w="75" w:type="dxa"/>
              <w:bottom w:w="75" w:type="dxa"/>
              <w:end w:w="75" w:type="dxa"/>
            </w:tcMar>
          </w:tcPr>
          <w:p>
            <w:pPr>
              <w:jc w:val="left"/>
            </w:pPr>
            <w:r>
              <w:rPr>
                <w:rFonts w:ascii="Arial" w:hAnsi="Arial"/>
                <w:b/>
                <w:i w:val="0"/>
                <w:color w:val="FFFFFF"/>
                <w:sz w:val="17"/>
              </w:rPr>
              <w:t>Minimum term</w:t>
            </w:r>
          </w:p>
        </w:tc>
        <w:tc>
          <w:tcPr>
            <w:tcW w:type="dxa" w:w="5040"/>
            <w:shd w:fill="17324D"/>
            <w:vAlign w:val="center"/>
            <w:tcMar>
              <w:top w:w="75" w:type="dxa"/>
              <w:start w:w="75" w:type="dxa"/>
              <w:bottom w:w="75" w:type="dxa"/>
              <w:end w:w="75" w:type="dxa"/>
            </w:tcMar>
          </w:tcPr>
          <w:p>
            <w:pPr>
              <w:jc w:val="left"/>
            </w:pPr>
            <w:r>
              <w:rPr>
                <w:rFonts w:ascii="Arial" w:hAnsi="Arial"/>
                <w:b/>
                <w:i w:val="0"/>
                <w:color w:val="FFFFFF"/>
                <w:sz w:val="17"/>
              </w:rPr>
              <w:t>Included</w:t>
            </w:r>
          </w:p>
        </w:tc>
      </w:tr>
      <w:tr>
        <w:trPr>
          <w:cantSplit/>
        </w:trPr>
        <w:tc>
          <w:tcPr>
            <w:tcW w:type="dxa" w:w="1872"/>
            <w:vAlign w:val="top"/>
            <w:tcMar>
              <w:top w:w="65" w:type="dxa"/>
              <w:start w:w="70" w:type="dxa"/>
              <w:bottom w:w="65" w:type="dxa"/>
              <w:end w:w="70" w:type="dxa"/>
            </w:tcMar>
          </w:tcPr>
          <w:p>
            <w:pPr>
              <w:spacing w:after="0"/>
            </w:pPr>
            <w:r>
              <w:rPr>
                <w:rFonts w:ascii="Arial" w:hAnsi="Arial"/>
                <w:b w:val="0"/>
                <w:i w:val="0"/>
                <w:color w:val="1F2933"/>
                <w:sz w:val="16"/>
              </w:rPr>
              <w:t>Up to 2 active markets</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$7,500/month</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3 months</w:t>
            </w:r>
          </w:p>
        </w:tc>
        <w:tc>
          <w:tcPr>
            <w:tcW w:type="dxa" w:w="5040"/>
            <w:vAlign w:val="top"/>
            <w:tcMar>
              <w:top w:w="65" w:type="dxa"/>
              <w:start w:w="70" w:type="dxa"/>
              <w:bottom w:w="65" w:type="dxa"/>
              <w:end w:w="70" w:type="dxa"/>
            </w:tcMar>
          </w:tcPr>
          <w:p>
            <w:pPr>
              <w:spacing w:after="0"/>
            </w:pPr>
            <w:r>
              <w:rPr>
                <w:rFonts w:ascii="Arial" w:hAnsi="Arial"/>
                <w:b w:val="0"/>
                <w:i w:val="0"/>
                <w:color w:val="1F2933"/>
                <w:sz w:val="16"/>
              </w:rPr>
              <w:t>Partner target list, outreach, qualification, distributor/OEM meetings, commercial diligence, pricing and term support, launch sequence, and monthly pipeline report.</w:t>
            </w:r>
          </w:p>
        </w:tc>
      </w:tr>
      <w:tr>
        <w:trPr>
          <w:cantSplit/>
        </w:trPr>
        <w:tc>
          <w:tcPr>
            <w:tcW w:type="dxa" w:w="1872"/>
            <w:vAlign w:val="top"/>
            <w:tcMar>
              <w:top w:w="65" w:type="dxa"/>
              <w:start w:w="70" w:type="dxa"/>
              <w:bottom w:w="65" w:type="dxa"/>
              <w:end w:w="70" w:type="dxa"/>
            </w:tcMar>
          </w:tcPr>
          <w:p>
            <w:pPr>
              <w:spacing w:after="0"/>
            </w:pPr>
            <w:r>
              <w:rPr>
                <w:rFonts w:ascii="Arial" w:hAnsi="Arial"/>
                <w:b w:val="0"/>
                <w:i w:val="0"/>
                <w:color w:val="1F2933"/>
                <w:sz w:val="16"/>
              </w:rPr>
              <w:t>Up to 3 active markets</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$10,000/month</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3 months</w:t>
            </w:r>
          </w:p>
        </w:tc>
        <w:tc>
          <w:tcPr>
            <w:tcW w:type="dxa" w:w="5040"/>
            <w:vAlign w:val="top"/>
            <w:tcMar>
              <w:top w:w="65" w:type="dxa"/>
              <w:start w:w="70" w:type="dxa"/>
              <w:bottom w:w="65" w:type="dxa"/>
              <w:end w:w="70" w:type="dxa"/>
            </w:tcMar>
          </w:tcPr>
          <w:p>
            <w:pPr>
              <w:spacing w:after="0"/>
            </w:pPr>
            <w:r>
              <w:rPr>
                <w:rFonts w:ascii="Arial" w:hAnsi="Arial"/>
                <w:b w:val="0"/>
                <w:i w:val="0"/>
                <w:color w:val="1F2933"/>
                <w:sz w:val="16"/>
              </w:rPr>
              <w:t>Same scope across three active markets, subject to reasonable meeting and target-volume limits.</w:t>
            </w:r>
          </w:p>
        </w:tc>
      </w:tr>
    </w:tbl>
    <w:p>
      <w:pPr>
        <w:spacing w:after="0"/>
      </w:pPr>
    </w:p>
    <w:p>
      <w:r>
        <w:rPr>
          <w:rFonts w:ascii="Arial" w:hAnsi="Arial"/>
          <w:b w:val="0"/>
          <w:i w:val="0"/>
          <w:color w:val="1F2933"/>
          <w:sz w:val="20"/>
        </w:rPr>
        <w:t>OUS sales generated from Registered Opportunities are subject to the same 15% Net Collected Product Revenue success fee described in Section 11. Country authorization, qualified distributor, and strategic transaction fees are described in Section 12.</w:t>
      </w:r>
    </w:p>
    <w:p>
      <w:pPr>
        <w:pStyle w:val="Heading1"/>
      </w:pPr>
      <w:r>
        <w:t>9. Optional Virtual Market Entry and Clinical Enablement Tools</w:t>
      </w:r>
    </w:p>
    <w:p>
      <w:r>
        <w:rPr>
          <w:rFonts w:ascii="Arial" w:hAnsi="Arial"/>
          <w:b w:val="0"/>
          <w:i w:val="0"/>
          <w:color w:val="1F2933"/>
          <w:sz w:val="20"/>
        </w:rPr>
        <w:t>The readiness engagement includes the digital requirements blueprint. Production begins only after EndoSpool approves the applicable claims, labeling, IFU, product configuration, and source materials. All tools are companions to approved labeling and do not replace the formal IFU unless legally permitted and specifically validated.</w:t>
      </w:r>
    </w:p>
    <w:p>
      <w:pPr>
        <w:pStyle w:val="Heading2"/>
      </w:pPr>
      <w:r>
        <w:t>9.1 Digital production options</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2376"/>
            <w:shd w:fill="17324D"/>
            <w:vAlign w:val="center"/>
            <w:tcMar>
              <w:top w:w="75" w:type="dxa"/>
              <w:start w:w="75" w:type="dxa"/>
              <w:bottom w:w="75" w:type="dxa"/>
              <w:end w:w="75" w:type="dxa"/>
            </w:tcMar>
          </w:tcPr>
          <w:p>
            <w:pPr>
              <w:jc w:val="left"/>
            </w:pPr>
            <w:r>
              <w:rPr>
                <w:rFonts w:ascii="Arial" w:hAnsi="Arial"/>
                <w:b/>
                <w:i w:val="0"/>
                <w:color w:val="FFFFFF"/>
                <w:sz w:val="17"/>
              </w:rPr>
              <w:t>Package</w:t>
            </w:r>
          </w:p>
        </w:tc>
        <w:tc>
          <w:tcPr>
            <w:tcW w:type="dxa" w:w="1512"/>
            <w:shd w:fill="17324D"/>
            <w:vAlign w:val="center"/>
            <w:tcMar>
              <w:top w:w="75" w:type="dxa"/>
              <w:start w:w="75" w:type="dxa"/>
              <w:bottom w:w="75" w:type="dxa"/>
              <w:end w:w="75" w:type="dxa"/>
            </w:tcMar>
          </w:tcPr>
          <w:p>
            <w:pPr>
              <w:jc w:val="left"/>
            </w:pPr>
            <w:r>
              <w:rPr>
                <w:rFonts w:ascii="Arial" w:hAnsi="Arial"/>
                <w:b/>
                <w:i w:val="0"/>
                <w:color w:val="FFFFFF"/>
                <w:sz w:val="17"/>
              </w:rPr>
              <w:t>Fee</w:t>
            </w:r>
          </w:p>
        </w:tc>
        <w:tc>
          <w:tcPr>
            <w:tcW w:type="dxa" w:w="6120"/>
            <w:shd w:fill="17324D"/>
            <w:vAlign w:val="center"/>
            <w:tcMar>
              <w:top w:w="75" w:type="dxa"/>
              <w:start w:w="75" w:type="dxa"/>
              <w:bottom w:w="75" w:type="dxa"/>
              <w:end w:w="75" w:type="dxa"/>
            </w:tcMar>
          </w:tcPr>
          <w:p>
            <w:pPr>
              <w:jc w:val="left"/>
            </w:pPr>
            <w:r>
              <w:rPr>
                <w:rFonts w:ascii="Arial" w:hAnsi="Arial"/>
                <w:b/>
                <w:i w:val="0"/>
                <w:color w:val="FFFFFF"/>
                <w:sz w:val="17"/>
              </w:rPr>
              <w:t>Included work product</w:t>
            </w:r>
          </w:p>
        </w:tc>
      </w:tr>
      <w:tr>
        <w:trPr>
          <w:cantSplit/>
        </w:trPr>
        <w:tc>
          <w:tcPr>
            <w:tcW w:type="dxa" w:w="2376"/>
            <w:vAlign w:val="top"/>
            <w:tcMar>
              <w:top w:w="65" w:type="dxa"/>
              <w:start w:w="70" w:type="dxa"/>
              <w:bottom w:w="65" w:type="dxa"/>
              <w:end w:w="70" w:type="dxa"/>
            </w:tcMar>
          </w:tcPr>
          <w:p>
            <w:pPr>
              <w:spacing w:after="0"/>
            </w:pPr>
            <w:r>
              <w:rPr>
                <w:rFonts w:ascii="Arial" w:hAnsi="Arial"/>
                <w:b w:val="0"/>
                <w:i w:val="0"/>
                <w:color w:val="1F2933"/>
                <w:sz w:val="16"/>
              </w:rPr>
              <w:t>Essential Market Entry Suite</w:t>
            </w:r>
          </w:p>
        </w:tc>
        <w:tc>
          <w:tcPr>
            <w:tcW w:type="dxa" w:w="1512"/>
            <w:vAlign w:val="top"/>
            <w:tcMar>
              <w:top w:w="65" w:type="dxa"/>
              <w:start w:w="70" w:type="dxa"/>
              <w:bottom w:w="65" w:type="dxa"/>
              <w:end w:w="70" w:type="dxa"/>
            </w:tcMar>
          </w:tcPr>
          <w:p>
            <w:pPr>
              <w:spacing w:after="0"/>
            </w:pPr>
            <w:r>
              <w:rPr>
                <w:rFonts w:ascii="Arial" w:hAnsi="Arial"/>
                <w:b w:val="0"/>
                <w:i w:val="0"/>
                <w:color w:val="1F2933"/>
                <w:sz w:val="16"/>
              </w:rPr>
              <w:t>$18,500</w:t>
            </w:r>
          </w:p>
        </w:tc>
        <w:tc>
          <w:tcPr>
            <w:tcW w:type="dxa" w:w="6120"/>
            <w:vAlign w:val="top"/>
            <w:tcMar>
              <w:top w:w="65" w:type="dxa"/>
              <w:start w:w="70" w:type="dxa"/>
              <w:bottom w:w="65" w:type="dxa"/>
              <w:end w:w="70" w:type="dxa"/>
            </w:tcMar>
          </w:tcPr>
          <w:p>
            <w:pPr>
              <w:spacing w:after="0"/>
            </w:pPr>
            <w:r>
              <w:rPr>
                <w:rFonts w:ascii="Arial" w:hAnsi="Arial"/>
                <w:b w:val="0"/>
                <w:i w:val="0"/>
                <w:color w:val="1F2933"/>
                <w:sz w:val="16"/>
              </w:rPr>
              <w:t>One 2-3 minute market-entry explainer; one recorded virtual in-service; one IFU companion explainer; commercial launch deck; distributor onboarding deck; FAQ/objection guide; QR-linked resource page; English; two revision rounds.</w:t>
            </w:r>
          </w:p>
        </w:tc>
      </w:tr>
      <w:tr>
        <w:trPr>
          <w:cantSplit/>
        </w:trPr>
        <w:tc>
          <w:tcPr>
            <w:tcW w:type="dxa" w:w="2376"/>
            <w:vAlign w:val="top"/>
            <w:tcMar>
              <w:top w:w="65" w:type="dxa"/>
              <w:start w:w="70" w:type="dxa"/>
              <w:bottom w:w="65" w:type="dxa"/>
              <w:end w:w="70" w:type="dxa"/>
            </w:tcMar>
          </w:tcPr>
          <w:p>
            <w:pPr>
              <w:spacing w:after="0"/>
            </w:pPr>
            <w:r>
              <w:rPr>
                <w:rFonts w:ascii="Arial" w:hAnsi="Arial"/>
                <w:b w:val="0"/>
                <w:i w:val="0"/>
                <w:color w:val="1F2933"/>
                <w:sz w:val="16"/>
              </w:rPr>
              <w:t>Expanded Clinical Enablement Suite</w:t>
            </w:r>
          </w:p>
        </w:tc>
        <w:tc>
          <w:tcPr>
            <w:tcW w:type="dxa" w:w="1512"/>
            <w:vAlign w:val="top"/>
            <w:tcMar>
              <w:top w:w="65" w:type="dxa"/>
              <w:start w:w="70" w:type="dxa"/>
              <w:bottom w:w="65" w:type="dxa"/>
              <w:end w:w="70" w:type="dxa"/>
            </w:tcMar>
          </w:tcPr>
          <w:p>
            <w:pPr>
              <w:spacing w:after="0"/>
            </w:pPr>
            <w:r>
              <w:rPr>
                <w:rFonts w:ascii="Arial" w:hAnsi="Arial"/>
                <w:b w:val="0"/>
                <w:i w:val="0"/>
                <w:color w:val="1F2933"/>
                <w:sz w:val="16"/>
              </w:rPr>
              <w:t>$29,500</w:t>
            </w:r>
          </w:p>
        </w:tc>
        <w:tc>
          <w:tcPr>
            <w:tcW w:type="dxa" w:w="6120"/>
            <w:vAlign w:val="top"/>
            <w:tcMar>
              <w:top w:w="65" w:type="dxa"/>
              <w:start w:w="70" w:type="dxa"/>
              <w:bottom w:w="65" w:type="dxa"/>
              <w:end w:w="70" w:type="dxa"/>
            </w:tcMar>
          </w:tcPr>
          <w:p>
            <w:pPr>
              <w:spacing w:after="0"/>
            </w:pPr>
            <w:r>
              <w:rPr>
                <w:rFonts w:ascii="Arial" w:hAnsi="Arial"/>
                <w:b w:val="0"/>
                <w:i w:val="0"/>
                <w:color w:val="1F2933"/>
                <w:sz w:val="16"/>
              </w:rPr>
              <w:t>Essential Suite plus four microlearning modules (setup/loading, introduction/placement, intraoperative workflow, removal/needle accountability); knowledge check and certificate; evaluator-site module; trainer guide; content library; two revision rounds.</w:t>
            </w:r>
          </w:p>
        </w:tc>
      </w:tr>
      <w:tr>
        <w:trPr>
          <w:cantSplit/>
        </w:trPr>
        <w:tc>
          <w:tcPr>
            <w:tcW w:type="dxa" w:w="2376"/>
            <w:vAlign w:val="top"/>
            <w:tcMar>
              <w:top w:w="65" w:type="dxa"/>
              <w:start w:w="70" w:type="dxa"/>
              <w:bottom w:w="65" w:type="dxa"/>
              <w:end w:w="70" w:type="dxa"/>
            </w:tcMar>
          </w:tcPr>
          <w:p>
            <w:pPr>
              <w:spacing w:after="0"/>
            </w:pPr>
            <w:r>
              <w:rPr>
                <w:rFonts w:ascii="Arial" w:hAnsi="Arial"/>
                <w:b w:val="0"/>
                <w:i w:val="0"/>
                <w:color w:val="1F2933"/>
                <w:sz w:val="16"/>
              </w:rPr>
              <w:t>Multilingual localization</w:t>
            </w:r>
          </w:p>
        </w:tc>
        <w:tc>
          <w:tcPr>
            <w:tcW w:type="dxa" w:w="1512"/>
            <w:vAlign w:val="top"/>
            <w:tcMar>
              <w:top w:w="65" w:type="dxa"/>
              <w:start w:w="70" w:type="dxa"/>
              <w:bottom w:w="65" w:type="dxa"/>
              <w:end w:w="70" w:type="dxa"/>
            </w:tcMar>
          </w:tcPr>
          <w:p>
            <w:pPr>
              <w:spacing w:after="0"/>
            </w:pPr>
            <w:r>
              <w:rPr>
                <w:rFonts w:ascii="Arial" w:hAnsi="Arial"/>
                <w:b w:val="0"/>
                <w:i w:val="0"/>
                <w:color w:val="1F2933"/>
                <w:sz w:val="16"/>
              </w:rPr>
              <w:t>$4,500 per language</w:t>
            </w:r>
          </w:p>
        </w:tc>
        <w:tc>
          <w:tcPr>
            <w:tcW w:type="dxa" w:w="6120"/>
            <w:vAlign w:val="top"/>
            <w:tcMar>
              <w:top w:w="65" w:type="dxa"/>
              <w:start w:w="70" w:type="dxa"/>
              <w:bottom w:w="65" w:type="dxa"/>
              <w:end w:w="70" w:type="dxa"/>
            </w:tcMar>
          </w:tcPr>
          <w:p>
            <w:pPr>
              <w:spacing w:after="0"/>
            </w:pPr>
            <w:r>
              <w:rPr>
                <w:rFonts w:ascii="Arial" w:hAnsi="Arial"/>
                <w:b w:val="0"/>
                <w:i w:val="0"/>
                <w:color w:val="1F2933"/>
                <w:sz w:val="16"/>
              </w:rPr>
              <w:t>Subtitles, voiceover, on-screen text, and core PDF localization for one approved package. Human medical translation validation and local regulatory review are separate or passed through at cost.</w:t>
            </w:r>
          </w:p>
        </w:tc>
      </w:tr>
      <w:tr>
        <w:trPr>
          <w:cantSplit/>
        </w:trPr>
        <w:tc>
          <w:tcPr>
            <w:tcW w:type="dxa" w:w="2376"/>
            <w:vAlign w:val="top"/>
            <w:tcMar>
              <w:top w:w="65" w:type="dxa"/>
              <w:start w:w="70" w:type="dxa"/>
              <w:bottom w:w="65" w:type="dxa"/>
              <w:end w:w="70" w:type="dxa"/>
            </w:tcMar>
          </w:tcPr>
          <w:p>
            <w:pPr>
              <w:spacing w:after="0"/>
            </w:pPr>
            <w:r>
              <w:rPr>
                <w:rFonts w:ascii="Arial" w:hAnsi="Arial"/>
                <w:b w:val="0"/>
                <w:i w:val="0"/>
                <w:color w:val="1F2933"/>
                <w:sz w:val="16"/>
              </w:rPr>
              <w:t>Custom live production / 3D animation</w:t>
            </w:r>
          </w:p>
        </w:tc>
        <w:tc>
          <w:tcPr>
            <w:tcW w:type="dxa" w:w="1512"/>
            <w:vAlign w:val="top"/>
            <w:tcMar>
              <w:top w:w="65" w:type="dxa"/>
              <w:start w:w="70" w:type="dxa"/>
              <w:bottom w:w="65" w:type="dxa"/>
              <w:end w:w="70" w:type="dxa"/>
            </w:tcMar>
          </w:tcPr>
          <w:p>
            <w:pPr>
              <w:spacing w:after="0"/>
            </w:pPr>
            <w:r>
              <w:rPr>
                <w:rFonts w:ascii="Arial" w:hAnsi="Arial"/>
                <w:b w:val="0"/>
                <w:i w:val="0"/>
                <w:color w:val="1F2933"/>
                <w:sz w:val="16"/>
              </w:rPr>
              <w:t>Separate quote</w:t>
            </w:r>
          </w:p>
        </w:tc>
        <w:tc>
          <w:tcPr>
            <w:tcW w:type="dxa" w:w="6120"/>
            <w:vAlign w:val="top"/>
            <w:tcMar>
              <w:top w:w="65" w:type="dxa"/>
              <w:start w:w="70" w:type="dxa"/>
              <w:bottom w:w="65" w:type="dxa"/>
              <w:end w:w="70" w:type="dxa"/>
            </w:tcMar>
          </w:tcPr>
          <w:p>
            <w:pPr>
              <w:spacing w:after="0"/>
            </w:pPr>
            <w:r>
              <w:rPr>
                <w:rFonts w:ascii="Arial" w:hAnsi="Arial"/>
                <w:b w:val="0"/>
                <w:i w:val="0"/>
                <w:color w:val="1F2933"/>
                <w:sz w:val="16"/>
              </w:rPr>
              <w:t>On-site filming, surgeon/KOL recording, custom 3D modeling, advanced animation, studio voice talent, or substantial new footage.</w:t>
            </w:r>
          </w:p>
        </w:tc>
      </w:tr>
    </w:tbl>
    <w:p>
      <w:pPr>
        <w:spacing w:after="0"/>
      </w:pPr>
    </w:p>
    <w:p>
      <w:pPr>
        <w:pStyle w:val="Heading2"/>
      </w:pPr>
      <w:r>
        <w:t>9.2 Launch Command Center and CRM MVP</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2736"/>
            <w:shd w:fill="17324D"/>
            <w:vAlign w:val="center"/>
            <w:tcMar>
              <w:top w:w="75" w:type="dxa"/>
              <w:start w:w="75" w:type="dxa"/>
              <w:bottom w:w="75" w:type="dxa"/>
              <w:end w:w="75" w:type="dxa"/>
            </w:tcMar>
          </w:tcPr>
          <w:p>
            <w:pPr>
              <w:jc w:val="left"/>
            </w:pPr>
            <w:r>
              <w:rPr>
                <w:rFonts w:ascii="Arial" w:hAnsi="Arial"/>
                <w:b/>
                <w:i w:val="0"/>
                <w:color w:val="FFFFFF"/>
                <w:sz w:val="17"/>
              </w:rPr>
              <w:t>Module</w:t>
            </w:r>
          </w:p>
        </w:tc>
        <w:tc>
          <w:tcPr>
            <w:tcW w:type="dxa" w:w="1944"/>
            <w:shd w:fill="17324D"/>
            <w:vAlign w:val="center"/>
            <w:tcMar>
              <w:top w:w="75" w:type="dxa"/>
              <w:start w:w="75" w:type="dxa"/>
              <w:bottom w:w="75" w:type="dxa"/>
              <w:end w:w="75" w:type="dxa"/>
            </w:tcMar>
          </w:tcPr>
          <w:p>
            <w:pPr>
              <w:jc w:val="left"/>
            </w:pPr>
            <w:r>
              <w:rPr>
                <w:rFonts w:ascii="Arial" w:hAnsi="Arial"/>
                <w:b/>
                <w:i w:val="0"/>
                <w:color w:val="FFFFFF"/>
                <w:sz w:val="17"/>
              </w:rPr>
              <w:t>Fee</w:t>
            </w:r>
          </w:p>
        </w:tc>
        <w:tc>
          <w:tcPr>
            <w:tcW w:type="dxa" w:w="5328"/>
            <w:shd w:fill="17324D"/>
            <w:vAlign w:val="center"/>
            <w:tcMar>
              <w:top w:w="75" w:type="dxa"/>
              <w:start w:w="75" w:type="dxa"/>
              <w:bottom w:w="75" w:type="dxa"/>
              <w:end w:w="75" w:type="dxa"/>
            </w:tcMar>
          </w:tcPr>
          <w:p>
            <w:pPr>
              <w:jc w:val="left"/>
            </w:pPr>
            <w:r>
              <w:rPr>
                <w:rFonts w:ascii="Arial" w:hAnsi="Arial"/>
                <w:b/>
                <w:i w:val="0"/>
                <w:color w:val="FFFFFF"/>
                <w:sz w:val="17"/>
              </w:rPr>
              <w:t>Included</w:t>
            </w:r>
          </w:p>
        </w:tc>
      </w:tr>
      <w:tr>
        <w:trPr>
          <w:cantSplit/>
        </w:trPr>
        <w:tc>
          <w:tcPr>
            <w:tcW w:type="dxa" w:w="2736"/>
            <w:vAlign w:val="top"/>
            <w:tcMar>
              <w:top w:w="65" w:type="dxa"/>
              <w:start w:w="70" w:type="dxa"/>
              <w:bottom w:w="65" w:type="dxa"/>
              <w:end w:w="70" w:type="dxa"/>
            </w:tcMar>
          </w:tcPr>
          <w:p>
            <w:pPr>
              <w:spacing w:after="0"/>
            </w:pPr>
            <w:r>
              <w:rPr>
                <w:rFonts w:ascii="Arial" w:hAnsi="Arial"/>
                <w:b w:val="0"/>
                <w:i w:val="0"/>
                <w:color w:val="1F2933"/>
                <w:sz w:val="16"/>
              </w:rPr>
              <w:t>Launch Command Center / CRM MVP</w:t>
            </w:r>
          </w:p>
        </w:tc>
        <w:tc>
          <w:tcPr>
            <w:tcW w:type="dxa" w:w="1944"/>
            <w:vAlign w:val="top"/>
            <w:tcMar>
              <w:top w:w="65" w:type="dxa"/>
              <w:start w:w="70" w:type="dxa"/>
              <w:bottom w:w="65" w:type="dxa"/>
              <w:end w:w="70" w:type="dxa"/>
            </w:tcMar>
          </w:tcPr>
          <w:p>
            <w:pPr>
              <w:spacing w:after="0"/>
            </w:pPr>
            <w:r>
              <w:rPr>
                <w:rFonts w:ascii="Arial" w:hAnsi="Arial"/>
                <w:b w:val="0"/>
                <w:i w:val="0"/>
                <w:color w:val="1F2933"/>
                <w:sz w:val="16"/>
              </w:rPr>
              <w:t>$24,500 implementation</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Readiness gates; account and evaluator pipeline; distributor and strategic partner pipeline; activity, forecast, case feedback, reorder, lot/expiry, training, and issue dashboards; up to 10 users; configuration, training, and 90 days of post-launch support.</w:t>
            </w:r>
          </w:p>
        </w:tc>
      </w:tr>
      <w:tr>
        <w:trPr>
          <w:cantSplit/>
        </w:trPr>
        <w:tc>
          <w:tcPr>
            <w:tcW w:type="dxa" w:w="2736"/>
            <w:vAlign w:val="top"/>
            <w:tcMar>
              <w:top w:w="65" w:type="dxa"/>
              <w:start w:w="70" w:type="dxa"/>
              <w:bottom w:w="65" w:type="dxa"/>
              <w:end w:w="70" w:type="dxa"/>
            </w:tcMar>
          </w:tcPr>
          <w:p>
            <w:pPr>
              <w:spacing w:after="0"/>
            </w:pPr>
            <w:r>
              <w:rPr>
                <w:rFonts w:ascii="Arial" w:hAnsi="Arial"/>
                <w:b w:val="0"/>
                <w:i w:val="0"/>
                <w:color w:val="1F2933"/>
                <w:sz w:val="16"/>
              </w:rPr>
              <w:t>Ongoing administration and analytics</w:t>
            </w:r>
          </w:p>
        </w:tc>
        <w:tc>
          <w:tcPr>
            <w:tcW w:type="dxa" w:w="1944"/>
            <w:vAlign w:val="top"/>
            <w:tcMar>
              <w:top w:w="65" w:type="dxa"/>
              <w:start w:w="70" w:type="dxa"/>
              <w:bottom w:w="65" w:type="dxa"/>
              <w:end w:w="70" w:type="dxa"/>
            </w:tcMar>
          </w:tcPr>
          <w:p>
            <w:pPr>
              <w:spacing w:after="0"/>
            </w:pPr>
            <w:r>
              <w:rPr>
                <w:rFonts w:ascii="Arial" w:hAnsi="Arial"/>
                <w:b w:val="0"/>
                <w:i w:val="0"/>
                <w:color w:val="1F2933"/>
                <w:sz w:val="16"/>
              </w:rPr>
              <w:t>$1,500/month</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User administration, dashboard refinement, monthly data-quality review, light automation, and management reporting.</w:t>
            </w:r>
          </w:p>
        </w:tc>
      </w:tr>
    </w:tbl>
    <w:p>
      <w:pPr>
        <w:spacing w:after="0"/>
      </w:pPr>
    </w:p>
    <w:p>
      <w:r>
        <w:rPr>
          <w:rFonts w:ascii="Arial" w:hAnsi="Arial"/>
          <w:b w:val="0"/>
          <w:i w:val="0"/>
          <w:color w:val="1F2933"/>
          <w:sz w:val="20"/>
        </w:rPr>
        <w:t>Third-party CRM, hosting, translation, video hosting, learning-management, data integration, or software license fees are additional. The final CRM implementation scope may be adjusted after requirements discovery.</w:t>
      </w:r>
    </w:p>
    <w:p>
      <w:pPr>
        <w:pStyle w:val="Heading1"/>
      </w:pPr>
      <w:r>
        <w:t>10. U.S. Distribution and Salesforce Development</w:t>
      </w:r>
    </w:p>
    <w:p>
      <w:r>
        <w:rPr>
          <w:rFonts w:ascii="Arial" w:hAnsi="Arial"/>
          <w:b w:val="0"/>
          <w:i w:val="0"/>
          <w:color w:val="1F2933"/>
          <w:sz w:val="20"/>
        </w:rPr>
        <w:t>EndoSpool may select one of two U.S. activation models after completion of the readiness phase and satisfaction of applicable launch gates. Both models have a 12-month initial term, a $12,500 monthly retainer paid in advance, and a 15% success fee on applicable Net Collected Product Revenue.</w:t>
      </w:r>
    </w:p>
    <w:p>
      <w:pPr>
        <w:pStyle w:val="Heading2"/>
      </w:pPr>
      <w:r>
        <w:t>10.1 Option U1 - Nonexclusive Attributed Opportunity Model</w:t>
      </w:r>
    </w:p>
    <w:p>
      <w:pPr>
        <w:pStyle w:val="ListBullet"/>
        <w:spacing w:after="40"/>
        <w:ind w:left="317" w:hanging="202"/>
      </w:pPr>
      <w:r>
        <w:rPr>
          <w:rFonts w:ascii="Arial" w:hAnsi="Arial"/>
          <w:b w:val="0"/>
          <w:i w:val="0"/>
          <w:color w:val="1F2933"/>
          <w:sz w:val="18"/>
        </w:rPr>
        <w:t>1099Reps.com identifies, registers, develops, and supports specific hospitals, ASCs, representatives, stocking distributors, strategic distributors, private-label partners, OEMs, and other commercial opportunities.</w:t>
      </w:r>
    </w:p>
    <w:p>
      <w:pPr>
        <w:pStyle w:val="ListBullet"/>
        <w:spacing w:after="40"/>
        <w:ind w:left="317" w:hanging="202"/>
      </w:pPr>
      <w:r>
        <w:rPr>
          <w:rFonts w:ascii="Arial" w:hAnsi="Arial"/>
          <w:b w:val="0"/>
          <w:i w:val="0"/>
          <w:color w:val="1F2933"/>
          <w:sz w:val="18"/>
        </w:rPr>
        <w:t>The 15% success fee applies only to Registered Opportunities accepted under the opportunity-registration process and their defined affiliates or purchasing entities.</w:t>
      </w:r>
    </w:p>
    <w:p>
      <w:pPr>
        <w:pStyle w:val="ListBullet"/>
        <w:spacing w:after="40"/>
        <w:ind w:left="317" w:hanging="202"/>
      </w:pPr>
      <w:r>
        <w:rPr>
          <w:rFonts w:ascii="Arial" w:hAnsi="Arial"/>
          <w:b w:val="0"/>
          <w:i w:val="0"/>
          <w:color w:val="1F2933"/>
          <w:sz w:val="18"/>
        </w:rPr>
        <w:t>EndoSpool remains free to sell directly or through other partners outside Registered Opportunities, subject to conflict, confidentiality, and noncircumvention protections.</w:t>
      </w:r>
    </w:p>
    <w:p>
      <w:pPr>
        <w:pStyle w:val="ListBullet"/>
        <w:spacing w:after="40"/>
        <w:ind w:left="317" w:hanging="202"/>
      </w:pPr>
      <w:r>
        <w:rPr>
          <w:rFonts w:ascii="Arial" w:hAnsi="Arial"/>
          <w:b w:val="0"/>
          <w:i w:val="0"/>
          <w:color w:val="1F2933"/>
          <w:sz w:val="18"/>
        </w:rPr>
        <w:t>Best suited for a controlled launch, multiple parallel channels, or a company that wishes to retain substantial direct commercial activity.</w:t>
      </w:r>
    </w:p>
    <w:p>
      <w:pPr>
        <w:pStyle w:val="Heading2"/>
      </w:pPr>
      <w:r>
        <w:t>10.2 Option U2 - Managed Channel-of-Record Model</w:t>
      </w:r>
    </w:p>
    <w:p>
      <w:pPr>
        <w:pStyle w:val="ListBullet"/>
        <w:spacing w:after="40"/>
        <w:ind w:left="317" w:hanging="202"/>
      </w:pPr>
      <w:r>
        <w:rPr>
          <w:rFonts w:ascii="Arial" w:hAnsi="Arial"/>
          <w:b w:val="0"/>
          <w:i w:val="0"/>
          <w:color w:val="1F2933"/>
          <w:sz w:val="18"/>
        </w:rPr>
        <w:t>1099Reps.com serves as the primary commercialization and channel-management partner for specifically defined U.S. territories, specialties, account classes, or distributor channels.</w:t>
      </w:r>
    </w:p>
    <w:p>
      <w:pPr>
        <w:pStyle w:val="ListBullet"/>
        <w:spacing w:after="40"/>
        <w:ind w:left="317" w:hanging="202"/>
      </w:pPr>
      <w:r>
        <w:rPr>
          <w:rFonts w:ascii="Arial" w:hAnsi="Arial"/>
          <w:b w:val="0"/>
          <w:i w:val="0"/>
          <w:color w:val="1F2933"/>
          <w:sz w:val="18"/>
        </w:rPr>
        <w:t>The 15% success fee applies to all product revenue collected within the defined channel or territory, excluding a written schedule of pre-existing legacy accounts and approved carve-outs.</w:t>
      </w:r>
    </w:p>
    <w:p>
      <w:pPr>
        <w:pStyle w:val="ListBullet"/>
        <w:spacing w:after="40"/>
        <w:ind w:left="317" w:hanging="202"/>
      </w:pPr>
      <w:r>
        <w:rPr>
          <w:rFonts w:ascii="Arial" w:hAnsi="Arial"/>
          <w:b w:val="0"/>
          <w:i w:val="0"/>
          <w:color w:val="1F2933"/>
          <w:sz w:val="18"/>
        </w:rPr>
        <w:t>1099Reps.com manages representative/distributor recruitment, onboarding, account allocation, training coordination, pipeline governance, forecasting, data collection, and performance reviews.</w:t>
      </w:r>
    </w:p>
    <w:p>
      <w:pPr>
        <w:pStyle w:val="ListBullet"/>
        <w:spacing w:after="40"/>
        <w:ind w:left="317" w:hanging="202"/>
      </w:pPr>
      <w:r>
        <w:rPr>
          <w:rFonts w:ascii="Arial" w:hAnsi="Arial"/>
          <w:b w:val="0"/>
          <w:i w:val="0"/>
          <w:color w:val="1F2933"/>
          <w:sz w:val="18"/>
        </w:rPr>
        <w:t>EndoSpool remains free to pursue other territories, channels, OEM, licensing, or OUS opportunities unless separately assigned.</w:t>
      </w:r>
    </w:p>
    <w:p>
      <w:pPr>
        <w:pStyle w:val="Heading2"/>
      </w:pPr>
      <w:r>
        <w:t>10.3 Included activation services</w:t>
      </w:r>
    </w:p>
    <w:p>
      <w:pPr>
        <w:pStyle w:val="ListBullet"/>
        <w:spacing w:after="40"/>
        <w:ind w:left="317" w:hanging="202"/>
      </w:pPr>
      <w:r>
        <w:rPr>
          <w:rFonts w:ascii="Arial" w:hAnsi="Arial"/>
          <w:b w:val="0"/>
          <w:i w:val="0"/>
          <w:color w:val="1F2933"/>
          <w:sz w:val="18"/>
        </w:rPr>
        <w:t>Launch-plan activation and first-90-day commercial operating cadence.</w:t>
      </w:r>
    </w:p>
    <w:p>
      <w:pPr>
        <w:pStyle w:val="ListBullet"/>
        <w:spacing w:after="40"/>
        <w:ind w:left="317" w:hanging="202"/>
      </w:pPr>
      <w:r>
        <w:rPr>
          <w:rFonts w:ascii="Arial" w:hAnsi="Arial"/>
          <w:b w:val="0"/>
          <w:i w:val="0"/>
          <w:color w:val="1F2933"/>
          <w:sz w:val="18"/>
        </w:rPr>
        <w:t>Representative and stocking-distributor profile, sourcing, diligence, contracting support, onboarding, and performance management.</w:t>
      </w:r>
    </w:p>
    <w:p>
      <w:pPr>
        <w:pStyle w:val="ListBullet"/>
        <w:spacing w:after="40"/>
        <w:ind w:left="317" w:hanging="202"/>
      </w:pPr>
      <w:r>
        <w:rPr>
          <w:rFonts w:ascii="Arial" w:hAnsi="Arial"/>
          <w:b w:val="0"/>
          <w:i w:val="0"/>
          <w:color w:val="1F2933"/>
          <w:sz w:val="18"/>
        </w:rPr>
        <w:t>Target-account development; clinical champion and buyer mapping; evaluation-site coordination; in-service and training orchestration.</w:t>
      </w:r>
    </w:p>
    <w:p>
      <w:pPr>
        <w:pStyle w:val="ListBullet"/>
        <w:spacing w:after="40"/>
        <w:ind w:left="317" w:hanging="202"/>
      </w:pPr>
      <w:r>
        <w:rPr>
          <w:rFonts w:ascii="Arial" w:hAnsi="Arial"/>
          <w:b w:val="0"/>
          <w:i w:val="0"/>
          <w:color w:val="1F2933"/>
          <w:sz w:val="18"/>
        </w:rPr>
        <w:t>Pricing and discount governance; wholesale and transfer-price implementation; account registration; channel-conflict management.</w:t>
      </w:r>
    </w:p>
    <w:p>
      <w:pPr>
        <w:pStyle w:val="ListBullet"/>
        <w:spacing w:after="40"/>
        <w:ind w:left="317" w:hanging="202"/>
      </w:pPr>
      <w:r>
        <w:rPr>
          <w:rFonts w:ascii="Arial" w:hAnsi="Arial"/>
          <w:b w:val="0"/>
          <w:i w:val="0"/>
          <w:color w:val="1F2933"/>
          <w:sz w:val="18"/>
        </w:rPr>
        <w:t>CRM, forecast, activity, evaluation, case-feedback, reorder, and issue reporting.</w:t>
      </w:r>
    </w:p>
    <w:p>
      <w:pPr>
        <w:pStyle w:val="ListBullet"/>
        <w:spacing w:after="40"/>
        <w:ind w:left="317" w:hanging="202"/>
      </w:pPr>
      <w:r>
        <w:rPr>
          <w:rFonts w:ascii="Arial" w:hAnsi="Arial"/>
          <w:b w:val="0"/>
          <w:i w:val="0"/>
          <w:color w:val="1F2933"/>
          <w:sz w:val="18"/>
        </w:rPr>
        <w:t>Monthly executive review covering pipeline, sales, inventory, objections, conversions, reorders, training, and next interventions.</w:t>
      </w:r>
    </w:p>
    <w:p>
      <w:pPr>
        <w:pStyle w:val="ListBullet"/>
        <w:spacing w:after="40"/>
        <w:ind w:left="317" w:hanging="202"/>
      </w:pPr>
      <w:r>
        <w:rPr>
          <w:rFonts w:ascii="Arial" w:hAnsi="Arial"/>
          <w:b w:val="0"/>
          <w:i w:val="0"/>
          <w:color w:val="1F2933"/>
          <w:sz w:val="18"/>
        </w:rPr>
        <w:t>Strategic partner, bundle, private-label, OEM, and licensing opportunity development where approved.</w:t>
      </w:r>
    </w:p>
    <w:p>
      <w:r>
        <w:rPr>
          <w:rFonts w:ascii="Arial" w:hAnsi="Arial"/>
          <w:b w:val="0"/>
          <w:i w:val="0"/>
          <w:color w:val="1F2933"/>
          <w:sz w:val="20"/>
        </w:rPr>
        <w:t>Unless separately agreed, the monthly retainer does not include 24/7 clinical case coverage, custody of inventory, warehousing, order fulfillment, collections, formal regulatory submissions, product liability obligations, or travel-intensive field coverage. These may be quoted separately or assigned to EndoSpool, its distributor, or a qualified clinical-service partner.</w:t>
      </w:r>
    </w:p>
    <w:p>
      <w:pPr>
        <w:pStyle w:val="Heading1"/>
      </w:pPr>
      <w:r>
        <w:t>11. Product Revenue Success Fee</w:t>
      </w:r>
    </w:p>
    <w:tbl>
      <w:tblPr>
        <w:tblW w:type="auto" w:w="0"/>
        <w:jc w:val="center"/>
        <w:tblLayout w:type="fixed"/>
        <w:tblLook w:firstColumn="1" w:firstRow="1" w:lastColumn="0" w:lastRow="0" w:noHBand="0" w:noVBand="1" w:val="04A0"/>
      </w:tblPr>
      <w:tblGrid>
        <w:gridCol w:w="10166"/>
      </w:tblGrid>
      <w:tr>
        <w:tc>
          <w:tcPr>
            <w:tcW w:type="dxa" w:w="10080"/>
            <w:shd w:fill="E8F4F1"/>
            <w:tcMar>
              <w:top w:w="120" w:type="dxa"/>
              <w:start w:w="145" w:type="dxa"/>
              <w:bottom w:w="120" w:type="dxa"/>
              <w:end w:w="145" w:type="dxa"/>
            </w:tcMar>
          </w:tcPr>
          <w:p>
            <w:pPr>
              <w:spacing w:after="60"/>
            </w:pPr>
            <w:r>
              <w:rPr>
                <w:rFonts w:ascii="Arial" w:hAnsi="Arial"/>
                <w:b/>
                <w:i w:val="0"/>
                <w:color w:val="2F8F83"/>
                <w:sz w:val="20"/>
              </w:rPr>
              <w:t>Commercial term</w:t>
            </w:r>
          </w:p>
          <w:p>
            <w:pPr>
              <w:spacing w:after="0"/>
            </w:pPr>
            <w:r>
              <w:rPr>
                <w:rFonts w:ascii="Arial" w:hAnsi="Arial"/>
                <w:b w:val="0"/>
                <w:i w:val="0"/>
                <w:color w:val="1F2933"/>
                <w:sz w:val="19"/>
              </w:rPr>
              <w:t>1099Reps.com will earn 15% of Net Collected Product Revenue from applicable Registered Opportunities or managed channels. The calculation includes direct, wholesale, distributor, transfer, private-label, bundled, kit, OEM-supply, and other product sales. It is not limited to the $270 end-user price and expressly applies to a wholesale or transfer invoice such as an illustrative $148.50 distributor sale.</w:t>
            </w:r>
          </w:p>
        </w:tc>
      </w:tr>
    </w:tbl>
    <w:p>
      <w:pPr>
        <w:spacing w:after="0"/>
      </w:pPr>
    </w:p>
    <w:p>
      <w:pPr>
        <w:pStyle w:val="Heading2"/>
      </w:pPr>
      <w:r>
        <w:t>11.1 Definition of Net Collected Product Revenue</w:t>
      </w:r>
    </w:p>
    <w:p>
      <w:r>
        <w:rPr>
          <w:rFonts w:ascii="Arial" w:hAnsi="Arial"/>
          <w:b w:val="0"/>
          <w:i w:val="0"/>
          <w:color w:val="1F2933"/>
          <w:sz w:val="20"/>
        </w:rPr>
        <w:t>Net Collected Product Revenue means cash actually received by EndoSpool or an affiliate from the sale, supply, resale, transfer, private-label supply, OEM supply, bundling, or distribution of EndoSpool product to or through an applicable customer or partner, less only:</w:t>
      </w:r>
    </w:p>
    <w:p>
      <w:pPr>
        <w:pStyle w:val="ListBullet"/>
        <w:spacing w:after="40"/>
        <w:ind w:left="317" w:hanging="202"/>
      </w:pPr>
      <w:r>
        <w:rPr>
          <w:rFonts w:ascii="Arial" w:hAnsi="Arial"/>
          <w:b w:val="0"/>
          <w:i w:val="0"/>
          <w:color w:val="1F2933"/>
          <w:sz w:val="18"/>
        </w:rPr>
        <w:t>Sales, use, value-added, or similar taxes separately stated and remitted to a governmental authority.</w:t>
      </w:r>
    </w:p>
    <w:p>
      <w:pPr>
        <w:pStyle w:val="ListBullet"/>
        <w:spacing w:after="40"/>
        <w:ind w:left="317" w:hanging="202"/>
      </w:pPr>
      <w:r>
        <w:rPr>
          <w:rFonts w:ascii="Arial" w:hAnsi="Arial"/>
          <w:b w:val="0"/>
          <w:i w:val="0"/>
          <w:color w:val="1F2933"/>
          <w:sz w:val="18"/>
        </w:rPr>
        <w:t>Actual refunds, returns, credits, chargebacks, or bona fide rebates issued to the applicable customer or partner.</w:t>
      </w:r>
    </w:p>
    <w:p>
      <w:pPr>
        <w:pStyle w:val="ListBullet"/>
        <w:spacing w:after="40"/>
        <w:ind w:left="317" w:hanging="202"/>
      </w:pPr>
      <w:r>
        <w:rPr>
          <w:rFonts w:ascii="Arial" w:hAnsi="Arial"/>
          <w:b w:val="0"/>
          <w:i w:val="0"/>
          <w:color w:val="1F2933"/>
          <w:sz w:val="18"/>
        </w:rPr>
        <w:t>Outbound freight separately stated on the invoice and passed through without markup.</w:t>
      </w:r>
    </w:p>
    <w:p>
      <w:r>
        <w:rPr>
          <w:rFonts w:ascii="Arial" w:hAnsi="Arial"/>
          <w:b w:val="0"/>
          <w:i w:val="0"/>
          <w:color w:val="1F2933"/>
          <w:sz w:val="20"/>
        </w:rPr>
        <w:t>No deduction is permitted for COGS, sterilization, packaging, distributor margin, commissions, representative compensation, samples, marketing expense, travel, overhead, internal transfer allocations, working capital, bad debt unrelated to the applicable invoice, or other operating expenses. Discounts already reflected in the amount collected are inherently included in the commission base.</w:t>
      </w:r>
    </w:p>
    <w:p>
      <w:pPr>
        <w:pStyle w:val="Heading2"/>
      </w:pPr>
      <w:r>
        <w:t>11.2 Illustrative calculations</w:t>
      </w:r>
    </w:p>
    <w:tbl>
      <w:tblPr>
        <w:tblStyle w:val="TableGrid"/>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3888"/>
            <w:shd w:fill="17324D"/>
            <w:vAlign w:val="center"/>
            <w:tcMar>
              <w:top w:w="75" w:type="dxa"/>
              <w:start w:w="75" w:type="dxa"/>
              <w:bottom w:w="75" w:type="dxa"/>
              <w:end w:w="75" w:type="dxa"/>
            </w:tcMar>
          </w:tcPr>
          <w:p>
            <w:pPr>
              <w:jc w:val="left"/>
            </w:pPr>
            <w:r>
              <w:rPr>
                <w:rFonts w:ascii="Arial" w:hAnsi="Arial"/>
                <w:b/>
                <w:i w:val="0"/>
                <w:color w:val="FFFFFF"/>
                <w:sz w:val="17"/>
              </w:rPr>
              <w:t>Transaction</w:t>
            </w:r>
          </w:p>
        </w:tc>
        <w:tc>
          <w:tcPr>
            <w:tcW w:type="dxa" w:w="2160"/>
            <w:shd w:fill="17324D"/>
            <w:vAlign w:val="center"/>
            <w:tcMar>
              <w:top w:w="75" w:type="dxa"/>
              <w:start w:w="75" w:type="dxa"/>
              <w:bottom w:w="75" w:type="dxa"/>
              <w:end w:w="75" w:type="dxa"/>
            </w:tcMar>
          </w:tcPr>
          <w:p>
            <w:pPr>
              <w:jc w:val="left"/>
            </w:pPr>
            <w:r>
              <w:rPr>
                <w:rFonts w:ascii="Arial" w:hAnsi="Arial"/>
                <w:b/>
                <w:i w:val="0"/>
                <w:color w:val="FFFFFF"/>
                <w:sz w:val="17"/>
              </w:rPr>
              <w:t>Cash collected by EndoSpool</w:t>
            </w:r>
          </w:p>
        </w:tc>
        <w:tc>
          <w:tcPr>
            <w:tcW w:type="dxa" w:w="1440"/>
            <w:shd w:fill="17324D"/>
            <w:vAlign w:val="center"/>
            <w:tcMar>
              <w:top w:w="75" w:type="dxa"/>
              <w:start w:w="75" w:type="dxa"/>
              <w:bottom w:w="75" w:type="dxa"/>
              <w:end w:w="75" w:type="dxa"/>
            </w:tcMar>
          </w:tcPr>
          <w:p>
            <w:pPr>
              <w:jc w:val="left"/>
            </w:pPr>
            <w:r>
              <w:rPr>
                <w:rFonts w:ascii="Arial" w:hAnsi="Arial"/>
                <w:b/>
                <w:i w:val="0"/>
                <w:color w:val="FFFFFF"/>
                <w:sz w:val="17"/>
              </w:rPr>
              <w:t>15% fee</w:t>
            </w:r>
          </w:p>
        </w:tc>
        <w:tc>
          <w:tcPr>
            <w:tcW w:type="dxa" w:w="2520"/>
            <w:shd w:fill="17324D"/>
            <w:vAlign w:val="center"/>
            <w:tcMar>
              <w:top w:w="75" w:type="dxa"/>
              <w:start w:w="75" w:type="dxa"/>
              <w:bottom w:w="75" w:type="dxa"/>
              <w:end w:w="75" w:type="dxa"/>
            </w:tcMar>
          </w:tcPr>
          <w:p>
            <w:pPr>
              <w:jc w:val="left"/>
            </w:pPr>
            <w:r>
              <w:rPr>
                <w:rFonts w:ascii="Arial" w:hAnsi="Arial"/>
                <w:b/>
                <w:i w:val="0"/>
                <w:color w:val="FFFFFF"/>
                <w:sz w:val="17"/>
              </w:rPr>
              <w:t>EndoSpool cash after fee, before COGS</w:t>
            </w:r>
          </w:p>
        </w:tc>
      </w:tr>
      <w:tr>
        <w:trPr>
          <w:cantSplit/>
        </w:trPr>
        <w:tc>
          <w:tcPr>
            <w:tcW w:type="dxa" w:w="3888"/>
            <w:vAlign w:val="top"/>
            <w:tcMar>
              <w:top w:w="65" w:type="dxa"/>
              <w:start w:w="70" w:type="dxa"/>
              <w:bottom w:w="65" w:type="dxa"/>
              <w:end w:w="70" w:type="dxa"/>
            </w:tcMar>
          </w:tcPr>
          <w:p>
            <w:pPr>
              <w:spacing w:after="0"/>
            </w:pPr>
            <w:r>
              <w:rPr>
                <w:rFonts w:ascii="Arial" w:hAnsi="Arial"/>
                <w:b w:val="0"/>
                <w:i w:val="0"/>
                <w:color w:val="1F2933"/>
                <w:sz w:val="16"/>
              </w:rPr>
              <w:t>Direct end-user sale at illustrative list price</w:t>
            </w:r>
          </w:p>
        </w:tc>
        <w:tc>
          <w:tcPr>
            <w:tcW w:type="dxa" w:w="2160"/>
            <w:vAlign w:val="top"/>
            <w:tcMar>
              <w:top w:w="65" w:type="dxa"/>
              <w:start w:w="70" w:type="dxa"/>
              <w:bottom w:w="65" w:type="dxa"/>
              <w:end w:w="70" w:type="dxa"/>
            </w:tcMar>
          </w:tcPr>
          <w:p>
            <w:pPr>
              <w:spacing w:after="0"/>
            </w:pPr>
            <w:r>
              <w:rPr>
                <w:rFonts w:ascii="Arial" w:hAnsi="Arial"/>
                <w:b w:val="0"/>
                <w:i w:val="0"/>
                <w:color w:val="1F2933"/>
                <w:sz w:val="16"/>
              </w:rPr>
              <w:t>$270.00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$40.50</w:t>
            </w:r>
          </w:p>
        </w:tc>
        <w:tc>
          <w:tcPr>
            <w:tcW w:type="dxa" w:w="2520"/>
            <w:vAlign w:val="top"/>
            <w:tcMar>
              <w:top w:w="65" w:type="dxa"/>
              <w:start w:w="70" w:type="dxa"/>
              <w:bottom w:w="65" w:type="dxa"/>
              <w:end w:w="70" w:type="dxa"/>
            </w:tcMar>
          </w:tcPr>
          <w:p>
            <w:pPr>
              <w:spacing w:after="0"/>
            </w:pPr>
            <w:r>
              <w:rPr>
                <w:rFonts w:ascii="Arial" w:hAnsi="Arial"/>
                <w:b w:val="0"/>
                <w:i w:val="0"/>
                <w:color w:val="1F2933"/>
                <w:sz w:val="16"/>
              </w:rPr>
              <w:t>$229.50</w:t>
            </w:r>
          </w:p>
        </w:tc>
      </w:tr>
      <w:tr>
        <w:trPr>
          <w:cantSplit/>
        </w:trPr>
        <w:tc>
          <w:tcPr>
            <w:tcW w:type="dxa" w:w="3888"/>
            <w:vAlign w:val="top"/>
            <w:tcMar>
              <w:top w:w="65" w:type="dxa"/>
              <w:start w:w="70" w:type="dxa"/>
              <w:bottom w:w="65" w:type="dxa"/>
              <w:end w:w="70" w:type="dxa"/>
            </w:tcMar>
          </w:tcPr>
          <w:p>
            <w:pPr>
              <w:spacing w:after="0"/>
            </w:pPr>
            <w:r>
              <w:rPr>
                <w:rFonts w:ascii="Arial" w:hAnsi="Arial"/>
                <w:b w:val="0"/>
                <w:i w:val="0"/>
                <w:color w:val="1F2933"/>
                <w:sz w:val="16"/>
              </w:rPr>
              <w:t>Stocking-distributor wholesale transfer at 55% of $270</w:t>
            </w:r>
          </w:p>
        </w:tc>
        <w:tc>
          <w:tcPr>
            <w:tcW w:type="dxa" w:w="2160"/>
            <w:vAlign w:val="top"/>
            <w:tcMar>
              <w:top w:w="65" w:type="dxa"/>
              <w:start w:w="70" w:type="dxa"/>
              <w:bottom w:w="65" w:type="dxa"/>
              <w:end w:w="70" w:type="dxa"/>
            </w:tcMar>
          </w:tcPr>
          <w:p>
            <w:pPr>
              <w:spacing w:after="0"/>
            </w:pPr>
            <w:r>
              <w:rPr>
                <w:rFonts w:ascii="Arial" w:hAnsi="Arial"/>
                <w:b w:val="0"/>
                <w:i w:val="0"/>
                <w:color w:val="1F2933"/>
                <w:sz w:val="16"/>
              </w:rPr>
              <w:t>$148.50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$22.28</w:t>
            </w:r>
          </w:p>
        </w:tc>
        <w:tc>
          <w:tcPr>
            <w:tcW w:type="dxa" w:w="2520"/>
            <w:vAlign w:val="top"/>
            <w:tcMar>
              <w:top w:w="65" w:type="dxa"/>
              <w:start w:w="70" w:type="dxa"/>
              <w:bottom w:w="65" w:type="dxa"/>
              <w:end w:w="70" w:type="dxa"/>
            </w:tcMar>
          </w:tcPr>
          <w:p>
            <w:pPr>
              <w:spacing w:after="0"/>
            </w:pPr>
            <w:r>
              <w:rPr>
                <w:rFonts w:ascii="Arial" w:hAnsi="Arial"/>
                <w:b w:val="0"/>
                <w:i w:val="0"/>
                <w:color w:val="1F2933"/>
                <w:sz w:val="16"/>
              </w:rPr>
              <w:t>$126.23</w:t>
            </w:r>
          </w:p>
        </w:tc>
      </w:tr>
      <w:tr>
        <w:trPr>
          <w:cantSplit/>
        </w:trPr>
        <w:tc>
          <w:tcPr>
            <w:tcW w:type="dxa" w:w="3888"/>
            <w:vAlign w:val="top"/>
            <w:tcMar>
              <w:top w:w="65" w:type="dxa"/>
              <w:start w:w="70" w:type="dxa"/>
              <w:bottom w:w="65" w:type="dxa"/>
              <w:end w:w="70" w:type="dxa"/>
            </w:tcMar>
          </w:tcPr>
          <w:p>
            <w:pPr>
              <w:spacing w:after="0"/>
            </w:pPr>
            <w:r>
              <w:rPr>
                <w:rFonts w:ascii="Arial" w:hAnsi="Arial"/>
                <w:b w:val="0"/>
                <w:i w:val="0"/>
                <w:color w:val="1F2933"/>
                <w:sz w:val="16"/>
              </w:rPr>
              <w:t>Illustrative OEM/private-label supply invoice</w:t>
            </w:r>
          </w:p>
        </w:tc>
        <w:tc>
          <w:tcPr>
            <w:tcW w:type="dxa" w:w="2160"/>
            <w:vAlign w:val="top"/>
            <w:tcMar>
              <w:top w:w="65" w:type="dxa"/>
              <w:start w:w="70" w:type="dxa"/>
              <w:bottom w:w="65" w:type="dxa"/>
              <w:end w:w="70" w:type="dxa"/>
            </w:tcMar>
          </w:tcPr>
          <w:p>
            <w:pPr>
              <w:spacing w:after="0"/>
            </w:pPr>
            <w:r>
              <w:rPr>
                <w:rFonts w:ascii="Arial" w:hAnsi="Arial"/>
                <w:b w:val="0"/>
                <w:i w:val="0"/>
                <w:color w:val="1F2933"/>
                <w:sz w:val="16"/>
              </w:rPr>
              <w:t>$120.00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$18.00</w:t>
            </w:r>
          </w:p>
        </w:tc>
        <w:tc>
          <w:tcPr>
            <w:tcW w:type="dxa" w:w="2520"/>
            <w:vAlign w:val="top"/>
            <w:tcMar>
              <w:top w:w="65" w:type="dxa"/>
              <w:start w:w="70" w:type="dxa"/>
              <w:bottom w:w="65" w:type="dxa"/>
              <w:end w:w="70" w:type="dxa"/>
            </w:tcMar>
          </w:tcPr>
          <w:p>
            <w:pPr>
              <w:spacing w:after="0"/>
            </w:pPr>
            <w:r>
              <w:rPr>
                <w:rFonts w:ascii="Arial" w:hAnsi="Arial"/>
                <w:b w:val="0"/>
                <w:i w:val="0"/>
                <w:color w:val="1F2933"/>
                <w:sz w:val="16"/>
              </w:rPr>
              <w:t>$102.00</w:t>
            </w:r>
          </w:p>
        </w:tc>
      </w:tr>
    </w:tbl>
    <w:p>
      <w:pPr>
        <w:spacing w:after="0"/>
      </w:pPr>
    </w:p>
    <w:p>
      <w:r>
        <w:rPr>
          <w:rFonts w:ascii="Arial" w:hAnsi="Arial"/>
          <w:b w:val="0"/>
          <w:i w:val="0"/>
          <w:color w:val="1F2933"/>
          <w:sz w:val="20"/>
        </w:rPr>
        <w:t>If EndoSpool is sold as part of a bundle and no separate product price is stated, the parties will use the approved standalone transfer price less the bundle's proportionate discount or another written allocation agreed before the sale.</w:t>
      </w:r>
    </w:p>
    <w:p>
      <w:pPr>
        <w:pStyle w:val="Heading1"/>
      </w:pPr>
      <w:r>
        <w:t>12. U.S. and OUS Achievement Fees</w:t>
      </w:r>
    </w:p>
    <w:p>
      <w:r>
        <w:rPr>
          <w:rFonts w:ascii="Arial" w:hAnsi="Arial"/>
          <w:b w:val="0"/>
          <w:i w:val="0"/>
          <w:color w:val="1F2933"/>
          <w:sz w:val="20"/>
        </w:rPr>
        <w:t>The 15% product revenue fee compensates for revenue creation. The following achievement fees apply to non-routine milestones that create material strategic or market-entry value. They apply only when 1099Reps.com or its approved consultants materially source, lead, coordinate, or negotiate the applicable outcome.</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2880"/>
            <w:shd w:fill="17324D"/>
            <w:vAlign w:val="center"/>
            <w:tcMar>
              <w:top w:w="75" w:type="dxa"/>
              <w:start w:w="75" w:type="dxa"/>
              <w:bottom w:w="75" w:type="dxa"/>
              <w:end w:w="75" w:type="dxa"/>
            </w:tcMar>
          </w:tcPr>
          <w:p>
            <w:pPr>
              <w:jc w:val="left"/>
            </w:pPr>
            <w:r>
              <w:rPr>
                <w:rFonts w:ascii="Arial" w:hAnsi="Arial"/>
                <w:b/>
                <w:i w:val="0"/>
                <w:color w:val="FFFFFF"/>
                <w:sz w:val="17"/>
              </w:rPr>
              <w:t>Achievement</w:t>
            </w:r>
          </w:p>
        </w:tc>
        <w:tc>
          <w:tcPr>
            <w:tcW w:type="dxa" w:w="2232"/>
            <w:shd w:fill="17324D"/>
            <w:vAlign w:val="center"/>
            <w:tcMar>
              <w:top w:w="75" w:type="dxa"/>
              <w:start w:w="75" w:type="dxa"/>
              <w:bottom w:w="75" w:type="dxa"/>
              <w:end w:w="75" w:type="dxa"/>
            </w:tcMar>
          </w:tcPr>
          <w:p>
            <w:pPr>
              <w:jc w:val="left"/>
            </w:pPr>
            <w:r>
              <w:rPr>
                <w:rFonts w:ascii="Arial" w:hAnsi="Arial"/>
                <w:b/>
                <w:i w:val="0"/>
                <w:color w:val="FFFFFF"/>
                <w:sz w:val="17"/>
              </w:rPr>
              <w:t>Fee</w:t>
            </w:r>
          </w:p>
        </w:tc>
        <w:tc>
          <w:tcPr>
            <w:tcW w:type="dxa" w:w="4896"/>
            <w:shd w:fill="17324D"/>
            <w:vAlign w:val="center"/>
            <w:tcMar>
              <w:top w:w="75" w:type="dxa"/>
              <w:start w:w="75" w:type="dxa"/>
              <w:bottom w:w="75" w:type="dxa"/>
              <w:end w:w="75" w:type="dxa"/>
            </w:tcMar>
          </w:tcPr>
          <w:p>
            <w:pPr>
              <w:jc w:val="left"/>
            </w:pPr>
            <w:r>
              <w:rPr>
                <w:rFonts w:ascii="Arial" w:hAnsi="Arial"/>
                <w:b/>
                <w:i w:val="0"/>
                <w:color w:val="FFFFFF"/>
                <w:sz w:val="17"/>
              </w:rPr>
              <w:t>Qualification / credit treatment</w:t>
            </w:r>
          </w:p>
        </w:tc>
      </w:tr>
      <w:tr>
        <w:trPr>
          <w:cantSplit/>
        </w:trPr>
        <w:tc>
          <w:tcPr>
            <w:tcW w:type="dxa" w:w="2880"/>
            <w:vAlign w:val="top"/>
            <w:tcMar>
              <w:top w:w="65" w:type="dxa"/>
              <w:start w:w="70" w:type="dxa"/>
              <w:bottom w:w="65" w:type="dxa"/>
              <w:end w:w="70" w:type="dxa"/>
            </w:tcMar>
          </w:tcPr>
          <w:p>
            <w:pPr>
              <w:spacing w:after="0"/>
            </w:pPr>
            <w:r>
              <w:rPr>
                <w:rFonts w:ascii="Arial" w:hAnsi="Arial"/>
                <w:b w:val="0"/>
                <w:i w:val="0"/>
                <w:color w:val="1F2933"/>
                <w:sz w:val="16"/>
              </w:rPr>
              <w:t>Qualified U.S. stocking-distributor agreement</w:t>
            </w:r>
          </w:p>
        </w:tc>
        <w:tc>
          <w:tcPr>
            <w:tcW w:type="dxa" w:w="2232"/>
            <w:vAlign w:val="top"/>
            <w:tcMar>
              <w:top w:w="65" w:type="dxa"/>
              <w:start w:w="70" w:type="dxa"/>
              <w:bottom w:w="65" w:type="dxa"/>
              <w:end w:w="70" w:type="dxa"/>
            </w:tcMar>
          </w:tcPr>
          <w:p>
            <w:pPr>
              <w:spacing w:after="0"/>
            </w:pPr>
            <w:r>
              <w:rPr>
                <w:rFonts w:ascii="Arial" w:hAnsi="Arial"/>
                <w:b w:val="0"/>
                <w:i w:val="0"/>
                <w:color w:val="1F2933"/>
                <w:sz w:val="16"/>
              </w:rPr>
              <w:t>$10,000 per agreement</w:t>
            </w:r>
          </w:p>
        </w:tc>
        <w:tc>
          <w:tcPr>
            <w:tcW w:type="dxa" w:w="4896"/>
            <w:vAlign w:val="top"/>
            <w:tcMar>
              <w:top w:w="65" w:type="dxa"/>
              <w:start w:w="70" w:type="dxa"/>
              <w:bottom w:w="65" w:type="dxa"/>
              <w:end w:w="70" w:type="dxa"/>
            </w:tcMar>
          </w:tcPr>
          <w:p>
            <w:pPr>
              <w:spacing w:after="0"/>
            </w:pPr>
            <w:r>
              <w:rPr>
                <w:rFonts w:ascii="Arial" w:hAnsi="Arial"/>
                <w:b w:val="0"/>
                <w:i w:val="0"/>
                <w:color w:val="1F2933"/>
                <w:sz w:val="16"/>
              </w:rPr>
              <w:t>Executed agreement with defined territory/channel, training/data obligations, and minimum initial or first-year purchase commitment. Fifty percent is creditable against the first product-revenue fees earned from that distributor.</w:t>
            </w:r>
          </w:p>
        </w:tc>
      </w:tr>
      <w:tr>
        <w:trPr>
          <w:cantSplit/>
        </w:trPr>
        <w:tc>
          <w:tcPr>
            <w:tcW w:type="dxa" w:w="2880"/>
            <w:vAlign w:val="top"/>
            <w:tcMar>
              <w:top w:w="65" w:type="dxa"/>
              <w:start w:w="70" w:type="dxa"/>
              <w:bottom w:w="65" w:type="dxa"/>
              <w:end w:w="70" w:type="dxa"/>
            </w:tcMar>
          </w:tcPr>
          <w:p>
            <w:pPr>
              <w:spacing w:after="0"/>
            </w:pPr>
            <w:r>
              <w:rPr>
                <w:rFonts w:ascii="Arial" w:hAnsi="Arial"/>
                <w:b w:val="0"/>
                <w:i w:val="0"/>
                <w:color w:val="1F2933"/>
                <w:sz w:val="16"/>
              </w:rPr>
              <w:t>Qualified OUS distributor agreement</w:t>
            </w:r>
          </w:p>
        </w:tc>
        <w:tc>
          <w:tcPr>
            <w:tcW w:type="dxa" w:w="2232"/>
            <w:vAlign w:val="top"/>
            <w:tcMar>
              <w:top w:w="65" w:type="dxa"/>
              <w:start w:w="70" w:type="dxa"/>
              <w:bottom w:w="65" w:type="dxa"/>
              <w:end w:w="70" w:type="dxa"/>
            </w:tcMar>
          </w:tcPr>
          <w:p>
            <w:pPr>
              <w:spacing w:after="0"/>
            </w:pPr>
            <w:r>
              <w:rPr>
                <w:rFonts w:ascii="Arial" w:hAnsi="Arial"/>
                <w:b w:val="0"/>
                <w:i w:val="0"/>
                <w:color w:val="1F2933"/>
                <w:sz w:val="16"/>
              </w:rPr>
              <w:t>$12,500 per market</w:t>
            </w:r>
          </w:p>
        </w:tc>
        <w:tc>
          <w:tcPr>
            <w:tcW w:type="dxa" w:w="4896"/>
            <w:vAlign w:val="top"/>
            <w:tcMar>
              <w:top w:w="65" w:type="dxa"/>
              <w:start w:w="70" w:type="dxa"/>
              <w:bottom w:w="65" w:type="dxa"/>
              <w:end w:w="70" w:type="dxa"/>
            </w:tcMar>
          </w:tcPr>
          <w:p>
            <w:pPr>
              <w:spacing w:after="0"/>
            </w:pPr>
            <w:r>
              <w:rPr>
                <w:rFonts w:ascii="Arial" w:hAnsi="Arial"/>
                <w:b w:val="0"/>
                <w:i w:val="0"/>
                <w:color w:val="1F2933"/>
                <w:sz w:val="16"/>
              </w:rPr>
              <w:t>Executed country agreement with local regulatory responsibility, launch plan, data obligations, and minimum purchase commitment. Fifty percent is creditable against the first product-revenue fees earned from that distributor.</w:t>
            </w:r>
          </w:p>
        </w:tc>
      </w:tr>
      <w:tr>
        <w:trPr>
          <w:cantSplit/>
        </w:trPr>
        <w:tc>
          <w:tcPr>
            <w:tcW w:type="dxa" w:w="2880"/>
            <w:vAlign w:val="top"/>
            <w:tcMar>
              <w:top w:w="65" w:type="dxa"/>
              <w:start w:w="70" w:type="dxa"/>
              <w:bottom w:w="65" w:type="dxa"/>
              <w:end w:w="70" w:type="dxa"/>
            </w:tcMar>
          </w:tcPr>
          <w:p>
            <w:pPr>
              <w:spacing w:after="0"/>
            </w:pPr>
            <w:r>
              <w:rPr>
                <w:rFonts w:ascii="Arial" w:hAnsi="Arial"/>
                <w:b w:val="0"/>
                <w:i w:val="0"/>
                <w:color w:val="1F2933"/>
                <w:sz w:val="16"/>
              </w:rPr>
              <w:t>OUS authorization / registration milestone</w:t>
            </w:r>
          </w:p>
        </w:tc>
        <w:tc>
          <w:tcPr>
            <w:tcW w:type="dxa" w:w="2232"/>
            <w:vAlign w:val="top"/>
            <w:tcMar>
              <w:top w:w="65" w:type="dxa"/>
              <w:start w:w="70" w:type="dxa"/>
              <w:bottom w:w="65" w:type="dxa"/>
              <w:end w:w="70" w:type="dxa"/>
            </w:tcMar>
          </w:tcPr>
          <w:p>
            <w:pPr>
              <w:spacing w:after="0"/>
            </w:pPr>
            <w:r>
              <w:rPr>
                <w:rFonts w:ascii="Arial" w:hAnsi="Arial"/>
                <w:b w:val="0"/>
                <w:i w:val="0"/>
                <w:color w:val="1F2933"/>
                <w:sz w:val="16"/>
              </w:rPr>
              <w:t>$7,500 per market</w:t>
            </w:r>
          </w:p>
        </w:tc>
        <w:tc>
          <w:tcPr>
            <w:tcW w:type="dxa" w:w="4896"/>
            <w:vAlign w:val="top"/>
            <w:tcMar>
              <w:top w:w="65" w:type="dxa"/>
              <w:start w:w="70" w:type="dxa"/>
              <w:bottom w:w="65" w:type="dxa"/>
              <w:end w:w="70" w:type="dxa"/>
            </w:tcMar>
          </w:tcPr>
          <w:p>
            <w:pPr>
              <w:spacing w:after="0"/>
            </w:pPr>
            <w:r>
              <w:rPr>
                <w:rFonts w:ascii="Arial" w:hAnsi="Arial"/>
                <w:b w:val="0"/>
                <w:i w:val="0"/>
                <w:color w:val="1F2933"/>
                <w:sz w:val="16"/>
              </w:rPr>
              <w:t>Payable when the selected market authorization or registration is achieved and 1099Reps.com materially managed the workstream. Government, notified/approved body, testing, representative, and specialist fees remain separate.</w:t>
            </w:r>
          </w:p>
        </w:tc>
      </w:tr>
      <w:tr>
        <w:trPr>
          <w:cantSplit/>
        </w:trPr>
        <w:tc>
          <w:tcPr>
            <w:tcW w:type="dxa" w:w="2880"/>
            <w:vAlign w:val="top"/>
            <w:tcMar>
              <w:top w:w="65" w:type="dxa"/>
              <w:start w:w="70" w:type="dxa"/>
              <w:bottom w:w="65" w:type="dxa"/>
              <w:end w:w="70" w:type="dxa"/>
            </w:tcMar>
          </w:tcPr>
          <w:p>
            <w:pPr>
              <w:spacing w:after="0"/>
            </w:pPr>
            <w:r>
              <w:rPr>
                <w:rFonts w:ascii="Arial" w:hAnsi="Arial"/>
                <w:b w:val="0"/>
                <w:i w:val="0"/>
                <w:color w:val="1F2933"/>
                <w:sz w:val="16"/>
              </w:rPr>
              <w:t>OEM, license, or strategic private-label transaction</w:t>
            </w:r>
          </w:p>
        </w:tc>
        <w:tc>
          <w:tcPr>
            <w:tcW w:type="dxa" w:w="2232"/>
            <w:vAlign w:val="top"/>
            <w:tcMar>
              <w:top w:w="65" w:type="dxa"/>
              <w:start w:w="70" w:type="dxa"/>
              <w:bottom w:w="65" w:type="dxa"/>
              <w:end w:w="70" w:type="dxa"/>
            </w:tcMar>
          </w:tcPr>
          <w:p>
            <w:pPr>
              <w:spacing w:after="0"/>
            </w:pPr>
            <w:r>
              <w:rPr>
                <w:rFonts w:ascii="Arial" w:hAnsi="Arial"/>
                <w:b w:val="0"/>
                <w:i w:val="0"/>
                <w:color w:val="1F2933"/>
                <w:sz w:val="16"/>
              </w:rPr>
              <w:t>5% of non-product upfront and milestone cash; 3% of royalties for 36 months</w:t>
            </w:r>
          </w:p>
        </w:tc>
        <w:tc>
          <w:tcPr>
            <w:tcW w:type="dxa" w:w="4896"/>
            <w:vAlign w:val="top"/>
            <w:tcMar>
              <w:top w:w="65" w:type="dxa"/>
              <w:start w:w="70" w:type="dxa"/>
              <w:bottom w:w="65" w:type="dxa"/>
              <w:end w:w="70" w:type="dxa"/>
            </w:tcMar>
          </w:tcPr>
          <w:p>
            <w:pPr>
              <w:spacing w:after="0"/>
            </w:pPr>
            <w:r>
              <w:rPr>
                <w:rFonts w:ascii="Arial" w:hAnsi="Arial"/>
                <w:b w:val="0"/>
                <w:i w:val="0"/>
                <w:color w:val="1F2933"/>
                <w:sz w:val="16"/>
              </w:rPr>
              <w:t>Applies to cash actually received from a transaction materially sourced or led by 1099Reps.com. The 15% product-revenue fee still applies to product supply revenue. No two percentages apply to the same dollar.</w:t>
            </w:r>
          </w:p>
        </w:tc>
      </w:tr>
    </w:tbl>
    <w:p>
      <w:pPr>
        <w:spacing w:after="0"/>
      </w:pPr>
    </w:p>
    <w:p>
      <w:r>
        <w:rPr>
          <w:rFonts w:ascii="Arial" w:hAnsi="Arial"/>
          <w:b w:val="0"/>
          <w:i w:val="0"/>
          <w:color w:val="1F2933"/>
          <w:sz w:val="20"/>
        </w:rPr>
        <w:t>A Qualified Distributor Agreement must include commercially meaningful obligations and cannot consist solely of a nonbinding letter of intent, evaluation agreement, or nominal territory reservation. Minimum purchase thresholds will be approved in the final activation SOW based on then-current capacity and shelf life.</w:t>
      </w:r>
    </w:p>
    <w:p>
      <w:pPr>
        <w:pStyle w:val="Heading1"/>
      </w:pPr>
      <w:r>
        <w:t>13. Attribution, Reporting, and Tail</w:t>
      </w:r>
    </w:p>
    <w:p>
      <w:pPr>
        <w:pStyle w:val="ListBullet"/>
        <w:spacing w:after="40"/>
        <w:ind w:left="317" w:hanging="202"/>
      </w:pPr>
      <w:r>
        <w:rPr>
          <w:rFonts w:ascii="Arial" w:hAnsi="Arial"/>
          <w:b w:val="0"/>
          <w:i w:val="0"/>
          <w:color w:val="1F2933"/>
          <w:sz w:val="18"/>
        </w:rPr>
        <w:t>Registered Opportunity: an account, distributor, partner, or transaction identified in writing by 1099Reps.com before outreach or within five business days after its first substantive involvement.</w:t>
      </w:r>
    </w:p>
    <w:p>
      <w:pPr>
        <w:pStyle w:val="ListBullet"/>
        <w:spacing w:after="40"/>
        <w:ind w:left="317" w:hanging="202"/>
      </w:pPr>
      <w:r>
        <w:rPr>
          <w:rFonts w:ascii="Arial" w:hAnsi="Arial"/>
          <w:b w:val="0"/>
          <w:i w:val="0"/>
          <w:color w:val="1F2933"/>
          <w:sz w:val="18"/>
        </w:rPr>
        <w:t>EndoSpool will have five business days to identify a documented, active pre-existing opportunity. If no timely objection is made, the opportunity will be treated as registered.</w:t>
      </w:r>
    </w:p>
    <w:p>
      <w:pPr>
        <w:pStyle w:val="ListBullet"/>
        <w:spacing w:after="40"/>
        <w:ind w:left="317" w:hanging="202"/>
      </w:pPr>
      <w:r>
        <w:rPr>
          <w:rFonts w:ascii="Arial" w:hAnsi="Arial"/>
          <w:b w:val="0"/>
          <w:i w:val="0"/>
          <w:color w:val="1F2933"/>
          <w:sz w:val="18"/>
        </w:rPr>
        <w:t>Material advancement includes substantive introduction, discovery, commercial strategy, evaluation coordination, training, negotiation, channel formation, or closing support. Mere inclusion in a database does not create a fee right.</w:t>
      </w:r>
    </w:p>
    <w:p>
      <w:pPr>
        <w:pStyle w:val="ListBullet"/>
        <w:spacing w:after="40"/>
        <w:ind w:left="317" w:hanging="202"/>
      </w:pPr>
      <w:r>
        <w:rPr>
          <w:rFonts w:ascii="Arial" w:hAnsi="Arial"/>
          <w:b w:val="0"/>
          <w:i w:val="0"/>
          <w:color w:val="1F2933"/>
          <w:sz w:val="18"/>
        </w:rPr>
        <w:t>EndoSpool will provide a monthly revenue statement for applicable opportunities and pay earned fees within ten business days after month-end or within ten business days after collecting the applicable cash, whichever is later.</w:t>
      </w:r>
    </w:p>
    <w:p>
      <w:pPr>
        <w:pStyle w:val="ListBullet"/>
        <w:spacing w:after="40"/>
        <w:ind w:left="317" w:hanging="202"/>
      </w:pPr>
      <w:r>
        <w:rPr>
          <w:rFonts w:ascii="Arial" w:hAnsi="Arial"/>
          <w:b w:val="0"/>
          <w:i w:val="0"/>
          <w:color w:val="1F2933"/>
          <w:sz w:val="18"/>
        </w:rPr>
        <w:t>Revenue fees will continue during the term and for 18 months after termination for Registered Opportunities first introduced or materially advanced during the term. Strategic transaction fees will apply to a definitive agreement executed during the term or within 18 months after termination where the transaction arose from the engagement.</w:t>
      </w:r>
    </w:p>
    <w:p>
      <w:pPr>
        <w:pStyle w:val="ListBullet"/>
        <w:spacing w:after="40"/>
        <w:ind w:left="317" w:hanging="202"/>
      </w:pPr>
      <w:r>
        <w:rPr>
          <w:rFonts w:ascii="Arial" w:hAnsi="Arial"/>
          <w:b w:val="0"/>
          <w:i w:val="0"/>
          <w:color w:val="1F2933"/>
          <w:sz w:val="18"/>
        </w:rPr>
        <w:t>Returns, credits, and chargebacks may be offset against future product-revenue fees, supported by reasonable documentation.</w:t>
      </w:r>
    </w:p>
    <w:p>
      <w:pPr>
        <w:pStyle w:val="Heading1"/>
      </w:pPr>
      <w:r>
        <w:t>14. Project Governance and Client Responsibilities</w:t>
      </w:r>
    </w:p>
    <w:p>
      <w:pPr>
        <w:pStyle w:val="Heading2"/>
      </w:pPr>
      <w:r>
        <w:t>14.1 1099Reps.com responsibilities</w:t>
      </w:r>
    </w:p>
    <w:p>
      <w:pPr>
        <w:pStyle w:val="ListBullet"/>
        <w:spacing w:after="40"/>
        <w:ind w:left="317" w:hanging="202"/>
      </w:pPr>
      <w:r>
        <w:rPr>
          <w:rFonts w:ascii="Arial" w:hAnsi="Arial"/>
          <w:b w:val="0"/>
          <w:i w:val="0"/>
          <w:color w:val="1F2933"/>
          <w:sz w:val="18"/>
        </w:rPr>
        <w:t>Provide an engagement lead and approved specialists as needed.</w:t>
      </w:r>
    </w:p>
    <w:p>
      <w:pPr>
        <w:pStyle w:val="ListBullet"/>
        <w:spacing w:after="40"/>
        <w:ind w:left="317" w:hanging="202"/>
      </w:pPr>
      <w:r>
        <w:rPr>
          <w:rFonts w:ascii="Arial" w:hAnsi="Arial"/>
          <w:b w:val="0"/>
          <w:i w:val="0"/>
          <w:color w:val="1F2933"/>
          <w:sz w:val="18"/>
        </w:rPr>
        <w:t>Maintain a written work plan, assumptions log, decision register, and risk register.</w:t>
      </w:r>
    </w:p>
    <w:p>
      <w:pPr>
        <w:pStyle w:val="ListBullet"/>
        <w:spacing w:after="40"/>
        <w:ind w:left="317" w:hanging="202"/>
      </w:pPr>
      <w:r>
        <w:rPr>
          <w:rFonts w:ascii="Arial" w:hAnsi="Arial"/>
          <w:b w:val="0"/>
          <w:i w:val="0"/>
          <w:color w:val="1F2933"/>
          <w:sz w:val="18"/>
        </w:rPr>
        <w:t>Conduct analysis, interviews, workshops, and deliverable preparation within the selected scope.</w:t>
      </w:r>
    </w:p>
    <w:p>
      <w:pPr>
        <w:pStyle w:val="ListBullet"/>
        <w:spacing w:after="40"/>
        <w:ind w:left="317" w:hanging="202"/>
      </w:pPr>
      <w:r>
        <w:rPr>
          <w:rFonts w:ascii="Arial" w:hAnsi="Arial"/>
          <w:b w:val="0"/>
          <w:i w:val="0"/>
          <w:color w:val="1F2933"/>
          <w:sz w:val="18"/>
        </w:rPr>
        <w:t>Protect EndoSpool confidential information and use it only for the engagement.</w:t>
      </w:r>
    </w:p>
    <w:p>
      <w:pPr>
        <w:pStyle w:val="ListBullet"/>
        <w:spacing w:after="40"/>
        <w:ind w:left="317" w:hanging="202"/>
      </w:pPr>
      <w:r>
        <w:rPr>
          <w:rFonts w:ascii="Arial" w:hAnsi="Arial"/>
          <w:b w:val="0"/>
          <w:i w:val="0"/>
          <w:color w:val="1F2933"/>
          <w:sz w:val="18"/>
        </w:rPr>
        <w:t>Disclose material conflicts and maintain appropriate information barriers.</w:t>
      </w:r>
    </w:p>
    <w:p>
      <w:pPr>
        <w:pStyle w:val="ListBullet"/>
        <w:spacing w:after="40"/>
        <w:ind w:left="317" w:hanging="202"/>
      </w:pPr>
      <w:r>
        <w:rPr>
          <w:rFonts w:ascii="Arial" w:hAnsi="Arial"/>
          <w:b w:val="0"/>
          <w:i w:val="0"/>
          <w:color w:val="1F2933"/>
          <w:sz w:val="18"/>
        </w:rPr>
        <w:t>Escalate material regulatory, quality, clinical, manufacturing, safety, or claims concerns promptly.</w:t>
      </w:r>
    </w:p>
    <w:p>
      <w:pPr>
        <w:pStyle w:val="Heading2"/>
      </w:pPr>
      <w:r>
        <w:t>14.2 EndoSpool responsibilities</w:t>
      </w:r>
    </w:p>
    <w:p>
      <w:pPr>
        <w:pStyle w:val="ListBullet"/>
        <w:spacing w:after="40"/>
        <w:ind w:left="317" w:hanging="202"/>
      </w:pPr>
      <w:r>
        <w:rPr>
          <w:rFonts w:ascii="Arial" w:hAnsi="Arial"/>
          <w:b w:val="0"/>
          <w:i w:val="0"/>
          <w:color w:val="1F2933"/>
          <w:sz w:val="18"/>
        </w:rPr>
        <w:t>Designate one executive sponsor with authority to make or escalate decisions.</w:t>
      </w:r>
    </w:p>
    <w:p>
      <w:pPr>
        <w:pStyle w:val="ListBullet"/>
        <w:spacing w:after="40"/>
        <w:ind w:left="317" w:hanging="202"/>
      </w:pPr>
      <w:r>
        <w:rPr>
          <w:rFonts w:ascii="Arial" w:hAnsi="Arial"/>
          <w:b w:val="0"/>
          <w:i w:val="0"/>
          <w:color w:val="1F2933"/>
          <w:sz w:val="18"/>
        </w:rPr>
        <w:t>Complete the readiness questionnaire and provide the requested data room within five business days after kickoff.</w:t>
      </w:r>
    </w:p>
    <w:p>
      <w:pPr>
        <w:pStyle w:val="ListBullet"/>
        <w:spacing w:after="40"/>
        <w:ind w:left="317" w:hanging="202"/>
      </w:pPr>
      <w:r>
        <w:rPr>
          <w:rFonts w:ascii="Arial" w:hAnsi="Arial"/>
          <w:b w:val="0"/>
          <w:i w:val="0"/>
          <w:color w:val="1F2933"/>
          <w:sz w:val="18"/>
        </w:rPr>
        <w:t>Provide timely access to leadership, product, regulatory, quality, clinical, manufacturing, finance, and commercial stakeholders.</w:t>
      </w:r>
    </w:p>
    <w:p>
      <w:pPr>
        <w:pStyle w:val="ListBullet"/>
        <w:spacing w:after="40"/>
        <w:ind w:left="317" w:hanging="202"/>
      </w:pPr>
      <w:r>
        <w:rPr>
          <w:rFonts w:ascii="Arial" w:hAnsi="Arial"/>
          <w:b w:val="0"/>
          <w:i w:val="0"/>
          <w:color w:val="1F2933"/>
          <w:sz w:val="18"/>
        </w:rPr>
        <w:t>Provide current product, prototypes, IFU/labeling, testing, pig-lab materials, videos, BOM/COGS, supplier/manufacturer information, and regulatory/quality records reasonably required for the scope.</w:t>
      </w:r>
    </w:p>
    <w:p>
      <w:pPr>
        <w:pStyle w:val="ListBullet"/>
        <w:spacing w:after="40"/>
        <w:ind w:left="317" w:hanging="202"/>
      </w:pPr>
      <w:r>
        <w:rPr>
          <w:rFonts w:ascii="Arial" w:hAnsi="Arial"/>
          <w:b w:val="0"/>
          <w:i w:val="0"/>
          <w:color w:val="1F2933"/>
          <w:sz w:val="18"/>
        </w:rPr>
        <w:t>Review deliverables and provide consolidated feedback within five business days.</w:t>
      </w:r>
    </w:p>
    <w:p>
      <w:pPr>
        <w:pStyle w:val="ListBullet"/>
        <w:spacing w:after="40"/>
        <w:ind w:left="317" w:hanging="202"/>
      </w:pPr>
      <w:r>
        <w:rPr>
          <w:rFonts w:ascii="Arial" w:hAnsi="Arial"/>
          <w:b w:val="0"/>
          <w:i w:val="0"/>
          <w:color w:val="1F2933"/>
          <w:sz w:val="18"/>
        </w:rPr>
        <w:t>Retain final authority and responsibility for regulatory classification, submissions, labeling, claims, quality, manufacturing, product safety, human use, contracts, and commercial decisions.</w:t>
      </w:r>
    </w:p>
    <w:p>
      <w:pPr>
        <w:pStyle w:val="ListBullet"/>
        <w:spacing w:after="40"/>
        <w:ind w:left="317" w:hanging="202"/>
      </w:pPr>
      <w:r>
        <w:rPr>
          <w:rFonts w:ascii="Arial" w:hAnsi="Arial"/>
          <w:b w:val="0"/>
          <w:i w:val="0"/>
          <w:color w:val="1F2933"/>
          <w:sz w:val="18"/>
        </w:rPr>
        <w:t>Maintain adequate product liability and commercial insurance before field activity or human use.</w:t>
      </w:r>
    </w:p>
    <w:p>
      <w:pPr>
        <w:pStyle w:val="ListBullet"/>
        <w:spacing w:after="40"/>
        <w:ind w:left="317" w:hanging="202"/>
      </w:pPr>
      <w:r>
        <w:rPr>
          <w:rFonts w:ascii="Arial" w:hAnsi="Arial"/>
          <w:b w:val="0"/>
          <w:i w:val="0"/>
          <w:color w:val="1F2933"/>
          <w:sz w:val="18"/>
        </w:rPr>
        <w:t>Pay third-party costs and travel approved in advance.</w:t>
      </w:r>
    </w:p>
    <w:tbl>
      <w:tblPr>
        <w:tblW w:type="auto" w:w="0"/>
        <w:jc w:val="center"/>
        <w:tblLayout w:type="fixed"/>
        <w:tblLook w:firstColumn="1" w:firstRow="1" w:lastColumn="0" w:lastRow="0" w:noHBand="0" w:noVBand="1" w:val="04A0"/>
      </w:tblPr>
      <w:tblGrid>
        <w:gridCol w:w="10166"/>
      </w:tblGrid>
      <w:tr>
        <w:tc>
          <w:tcPr>
            <w:tcW w:type="dxa" w:w="10080"/>
            <w:shd w:fill="FBF4E4"/>
            <w:tcMar>
              <w:top w:w="120" w:type="dxa"/>
              <w:start w:w="145" w:type="dxa"/>
              <w:bottom w:w="120" w:type="dxa"/>
              <w:end w:w="145" w:type="dxa"/>
            </w:tcMar>
          </w:tcPr>
          <w:p>
            <w:pPr>
              <w:spacing w:after="60"/>
            </w:pPr>
            <w:r>
              <w:rPr>
                <w:rFonts w:ascii="Arial" w:hAnsi="Arial"/>
                <w:b/>
                <w:i w:val="0"/>
                <w:color w:val="D8A436"/>
                <w:sz w:val="20"/>
              </w:rPr>
              <w:t>Schedule protection</w:t>
            </w:r>
          </w:p>
          <w:p>
            <w:pPr>
              <w:spacing w:after="0"/>
            </w:pPr>
            <w:r>
              <w:rPr>
                <w:rFonts w:ascii="Arial" w:hAnsi="Arial"/>
                <w:b w:val="0"/>
                <w:i w:val="0"/>
                <w:color w:val="1F2933"/>
                <w:sz w:val="19"/>
              </w:rPr>
              <w:t>If EndoSpool delays access, data, decisions, product availability, interviews, or consolidated feedback, the timeline will extend day-for-day and may require a change order where the delay materially increases effort or reserved capacity.</w:t>
            </w:r>
          </w:p>
        </w:tc>
      </w:tr>
    </w:tbl>
    <w:p>
      <w:pPr>
        <w:spacing w:after="0"/>
      </w:pPr>
    </w:p>
    <w:p>
      <w:pPr>
        <w:pStyle w:val="Heading1"/>
      </w:pPr>
      <w:r>
        <w:t>15. Scope Boundaries and Exclusions</w:t>
      </w:r>
    </w:p>
    <w:p>
      <w:pPr>
        <w:pStyle w:val="ListBullet"/>
        <w:spacing w:after="40"/>
        <w:ind w:left="317" w:hanging="202"/>
      </w:pPr>
      <w:r>
        <w:rPr>
          <w:rFonts w:ascii="Arial" w:hAnsi="Arial"/>
          <w:b w:val="0"/>
          <w:i w:val="0"/>
          <w:color w:val="1F2933"/>
          <w:sz w:val="18"/>
        </w:rPr>
        <w:t>Legal advice, regulatory legal opinions, tax advice, reimbursement coding opinions, securities advice, or accounting opinions.</w:t>
      </w:r>
    </w:p>
    <w:p>
      <w:pPr>
        <w:pStyle w:val="ListBullet"/>
        <w:spacing w:after="40"/>
        <w:ind w:left="317" w:hanging="202"/>
      </w:pPr>
      <w:r>
        <w:rPr>
          <w:rFonts w:ascii="Arial" w:hAnsi="Arial"/>
          <w:b w:val="0"/>
          <w:i w:val="0"/>
          <w:color w:val="1F2933"/>
          <w:sz w:val="18"/>
        </w:rPr>
        <w:t>Formal FDA, notified-body, approved-body, Health Canada, PMDA, TGA, or other government submissions unless separately contracted through qualified specialists.</w:t>
      </w:r>
    </w:p>
    <w:p>
      <w:pPr>
        <w:pStyle w:val="ListBullet"/>
        <w:spacing w:after="40"/>
        <w:ind w:left="317" w:hanging="202"/>
      </w:pPr>
      <w:r>
        <w:rPr>
          <w:rFonts w:ascii="Arial" w:hAnsi="Arial"/>
          <w:b w:val="0"/>
          <w:i w:val="0"/>
          <w:color w:val="1F2933"/>
          <w:sz w:val="18"/>
        </w:rPr>
        <w:t>Clinical investigation sponsorship, IRB work, animal-lab operation, human-subject research, biostatistics, or medical writing beyond commercial summaries.</w:t>
      </w:r>
    </w:p>
    <w:p>
      <w:pPr>
        <w:pStyle w:val="ListBullet"/>
        <w:spacing w:after="40"/>
        <w:ind w:left="317" w:hanging="202"/>
      </w:pPr>
      <w:r>
        <w:rPr>
          <w:rFonts w:ascii="Arial" w:hAnsi="Arial"/>
          <w:b w:val="0"/>
          <w:i w:val="0"/>
          <w:color w:val="1F2933"/>
          <w:sz w:val="18"/>
        </w:rPr>
        <w:t>Engineering design, design verification/validation, biocompatibility, sterilization, packaging, aging, laboratory testing, or quality-system remediation execution unless separately scoped.</w:t>
      </w:r>
    </w:p>
    <w:p>
      <w:pPr>
        <w:pStyle w:val="ListBullet"/>
        <w:spacing w:after="40"/>
        <w:ind w:left="317" w:hanging="202"/>
      </w:pPr>
      <w:r>
        <w:rPr>
          <w:rFonts w:ascii="Arial" w:hAnsi="Arial"/>
          <w:b w:val="0"/>
          <w:i w:val="0"/>
          <w:color w:val="1F2933"/>
          <w:sz w:val="18"/>
        </w:rPr>
        <w:t>Warehousing, inventory ownership, order fulfillment, collections, returns processing, customer service, 24/7 case support, or equipment service.</w:t>
      </w:r>
    </w:p>
    <w:p>
      <w:pPr>
        <w:pStyle w:val="ListBullet"/>
        <w:spacing w:after="40"/>
        <w:ind w:left="317" w:hanging="202"/>
      </w:pPr>
      <w:r>
        <w:rPr>
          <w:rFonts w:ascii="Arial" w:hAnsi="Arial"/>
          <w:b w:val="0"/>
          <w:i w:val="0"/>
          <w:color w:val="1F2933"/>
          <w:sz w:val="18"/>
        </w:rPr>
        <w:t>Custom live video production, 3D animation, translation validation, local regulatory review, software licenses, data integrations, travel, conference fees, samples, and other third-party costs unless expressly included.</w:t>
      </w:r>
    </w:p>
    <w:p>
      <w:pPr>
        <w:pStyle w:val="ListBullet"/>
        <w:spacing w:after="40"/>
        <w:ind w:left="317" w:hanging="202"/>
      </w:pPr>
      <w:r>
        <w:rPr>
          <w:rFonts w:ascii="Arial" w:hAnsi="Arial"/>
          <w:b w:val="0"/>
          <w:i w:val="0"/>
          <w:color w:val="1F2933"/>
          <w:sz w:val="18"/>
        </w:rPr>
        <w:t>Guarantees of regulatory authorization, sales volume, distributor execution, reimbursement, financing, licensing, OEM interest, or market acceptance.</w:t>
      </w:r>
    </w:p>
    <w:p>
      <w:pPr>
        <w:pStyle w:val="Heading1"/>
      </w:pPr>
      <w:r>
        <w:t>16. Commercial Terms</w:t>
      </w:r>
    </w:p>
    <w:tbl>
      <w:tblPr>
        <w:tblStyle w:val="TableGrid"/>
        <w:tblW w:type="auto" w:w="0"/>
        <w:jc w:val="center"/>
        <w:tblLayout w:type="fixed"/>
        <w:tblLook w:firstColumn="1" w:firstRow="1" w:lastColumn="0" w:lastRow="0" w:noHBand="0" w:noVBand="1" w:val="04A0"/>
      </w:tblPr>
      <w:tblGrid>
        <w:gridCol w:w="5083"/>
        <w:gridCol w:w="5083"/>
      </w:tblGrid>
      <w:tr>
        <w:trPr>
          <w:tblHeader w:val="true"/>
        </w:trPr>
        <w:tc>
          <w:tcPr>
            <w:tcW w:type="dxa" w:w="2160"/>
            <w:shd w:fill="17324D"/>
            <w:vAlign w:val="center"/>
            <w:tcMar>
              <w:top w:w="75" w:type="dxa"/>
              <w:start w:w="75" w:type="dxa"/>
              <w:bottom w:w="75" w:type="dxa"/>
              <w:end w:w="75" w:type="dxa"/>
            </w:tcMar>
          </w:tcPr>
          <w:p>
            <w:pPr>
              <w:jc w:val="left"/>
            </w:pPr>
            <w:r>
              <w:rPr>
                <w:rFonts w:ascii="Arial" w:hAnsi="Arial"/>
                <w:b/>
                <w:i w:val="0"/>
                <w:color w:val="FFFFFF"/>
                <w:sz w:val="17"/>
              </w:rPr>
              <w:t>Term</w:t>
            </w:r>
          </w:p>
        </w:tc>
        <w:tc>
          <w:tcPr>
            <w:tcW w:type="dxa" w:w="7848"/>
            <w:shd w:fill="17324D"/>
            <w:vAlign w:val="center"/>
            <w:tcMar>
              <w:top w:w="75" w:type="dxa"/>
              <w:start w:w="75" w:type="dxa"/>
              <w:bottom w:w="75" w:type="dxa"/>
              <w:end w:w="75" w:type="dxa"/>
            </w:tcMar>
          </w:tcPr>
          <w:p>
            <w:pPr>
              <w:jc w:val="left"/>
            </w:pPr>
            <w:r>
              <w:rPr>
                <w:rFonts w:ascii="Arial" w:hAnsi="Arial"/>
                <w:b/>
                <w:i w:val="0"/>
                <w:color w:val="FFFFFF"/>
                <w:sz w:val="17"/>
              </w:rPr>
              <w:t>Proposed treatment</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Governing agreement</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This SOW is intended to be incorporated into a mutually executed 1099Reps.com client consulting agreement or Master Services Agreement. If a conflict exists, the signed agreement controls unless this SOW expressly states otherwise.</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Fixed-fee payment</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Sprint: 50% at execution and 50% on day 21. Standard Program: 50% at execution, 25% on day 30, and 25% on day 60. OUS fixed fee: 50% at execution, 25% at midpoint, and 25% before final delivery.</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Activation retainer</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$12,500 per month, invoiced and paid monthly in advance for a 12-month initial term beginning on the agreed Activation Date. OUS sidecar retainers are also paid monthly in advance.</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Revenue and achievement fees</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Reported monthly and paid within the period specified in Section 13. Fees are calculated on actual collected cash.</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Expenses</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Pre-approved travel and third-party direct costs billed at cost. Airfare is coach unless otherwise approved; lodging and local travel will be reasonable and documented.</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Additional services</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Out-of-scope services require a written change order. Advisory work may be quoted as a fixed fee or at $425 per hour / $3,500 per day for senior commercialization services, plus expenses.</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Taxes</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Applicable sales, use, VAT, or similar taxes are additional, excluding taxes on 1099Reps.com income.</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Validity</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Commercial terms are valid for 45 days from delivery of this draft, subject to final agreement, capacity, and any material change in scope or facts.</w:t>
            </w:r>
          </w:p>
        </w:tc>
      </w:tr>
      <w:tr>
        <w:trPr>
          <w:cantSplit/>
        </w:trPr>
        <w:tc>
          <w:tcPr>
            <w:tcW w:type="dxa" w:w="2160"/>
            <w:vAlign w:val="top"/>
            <w:tcMar>
              <w:top w:w="65" w:type="dxa"/>
              <w:start w:w="70" w:type="dxa"/>
              <w:bottom w:w="65" w:type="dxa"/>
              <w:end w:w="70" w:type="dxa"/>
            </w:tcMar>
          </w:tcPr>
          <w:p>
            <w:pPr>
              <w:spacing w:after="0"/>
            </w:pPr>
            <w:r>
              <w:rPr>
                <w:rFonts w:ascii="Arial" w:hAnsi="Arial"/>
                <w:b/>
                <w:i w:val="0"/>
                <w:color w:val="1F2933"/>
                <w:sz w:val="16"/>
              </w:rPr>
              <w:t>Confidentiality</w:t>
            </w:r>
          </w:p>
        </w:tc>
        <w:tc>
          <w:tcPr>
            <w:tcW w:type="dxa" w:w="7848"/>
            <w:vAlign w:val="top"/>
            <w:tcMar>
              <w:top w:w="65" w:type="dxa"/>
              <w:start w:w="70" w:type="dxa"/>
              <w:bottom w:w="65" w:type="dxa"/>
              <w:end w:w="70" w:type="dxa"/>
            </w:tcMar>
          </w:tcPr>
          <w:p>
            <w:pPr>
              <w:spacing w:after="0"/>
            </w:pPr>
            <w:r>
              <w:rPr>
                <w:rFonts w:ascii="Arial" w:hAnsi="Arial"/>
                <w:b w:val="0"/>
                <w:i w:val="0"/>
                <w:color w:val="1F2933"/>
                <w:sz w:val="16"/>
              </w:rPr>
              <w:t>The proposal, pricing, work product, and EndoSpool information are confidential and subject to the parties' agreement.</w:t>
            </w:r>
          </w:p>
        </w:tc>
      </w:tr>
    </w:tbl>
    <w:p>
      <w:pPr>
        <w:spacing w:after="0"/>
      </w:pPr>
    </w:p>
    <w:p>
      <w:pPr>
        <w:pStyle w:val="Heading1"/>
      </w:pPr>
      <w:r>
        <w:t>17. Selection and Authorization</w:t>
      </w:r>
    </w:p>
    <w:p>
      <w:r>
        <w:rPr>
          <w:rFonts w:ascii="Arial" w:hAnsi="Arial"/>
          <w:b w:val="0"/>
          <w:i w:val="0"/>
          <w:color w:val="1F2933"/>
          <w:sz w:val="20"/>
        </w:rPr>
        <w:t>EndoSpool may select one or more modules below. Final dates, legal entities, account carve-outs, market selections, and launch thresholds will be completed before signature.</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792"/>
            <w:shd w:fill="17324D"/>
            <w:vAlign w:val="center"/>
            <w:tcMar>
              <w:top w:w="75" w:type="dxa"/>
              <w:start w:w="75" w:type="dxa"/>
              <w:bottom w:w="75" w:type="dxa"/>
              <w:end w:w="75" w:type="dxa"/>
            </w:tcMar>
          </w:tcPr>
          <w:p>
            <w:pPr>
              <w:jc w:val="left"/>
            </w:pPr>
            <w:r>
              <w:rPr>
                <w:rFonts w:ascii="Arial" w:hAnsi="Arial"/>
                <w:b/>
                <w:i w:val="0"/>
                <w:color w:val="FFFFFF"/>
                <w:sz w:val="17"/>
              </w:rPr>
              <w:t>Select</w:t>
            </w:r>
          </w:p>
        </w:tc>
        <w:tc>
          <w:tcPr>
            <w:tcW w:type="dxa" w:w="6768"/>
            <w:shd w:fill="17324D"/>
            <w:vAlign w:val="center"/>
            <w:tcMar>
              <w:top w:w="75" w:type="dxa"/>
              <w:start w:w="75" w:type="dxa"/>
              <w:bottom w:w="75" w:type="dxa"/>
              <w:end w:w="75" w:type="dxa"/>
            </w:tcMar>
          </w:tcPr>
          <w:p>
            <w:pPr>
              <w:jc w:val="left"/>
            </w:pPr>
            <w:r>
              <w:rPr>
                <w:rFonts w:ascii="Arial" w:hAnsi="Arial"/>
                <w:b/>
                <w:i w:val="0"/>
                <w:color w:val="FFFFFF"/>
                <w:sz w:val="17"/>
              </w:rPr>
              <w:t>Module</w:t>
            </w:r>
          </w:p>
        </w:tc>
        <w:tc>
          <w:tcPr>
            <w:tcW w:type="dxa" w:w="2448"/>
            <w:shd w:fill="17324D"/>
            <w:vAlign w:val="center"/>
            <w:tcMar>
              <w:top w:w="75" w:type="dxa"/>
              <w:start w:w="75" w:type="dxa"/>
              <w:bottom w:w="75" w:type="dxa"/>
              <w:end w:w="75" w:type="dxa"/>
            </w:tcMar>
          </w:tcPr>
          <w:p>
            <w:pPr>
              <w:jc w:val="left"/>
            </w:pPr>
            <w:r>
              <w:rPr>
                <w:rFonts w:ascii="Arial" w:hAnsi="Arial"/>
                <w:b/>
                <w:i w:val="0"/>
                <w:color w:val="FFFFFF"/>
                <w:sz w:val="17"/>
              </w:rPr>
              <w:t>Fee / term</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Option A - 6-Week Commercialization Preparedness Sprint</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$27,500</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Option B - 3-Month Integrated Commercialization Preparedness Program - Recommended</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$43,500</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OUS-2 - Regulatory and International Market Profile for 2 markets</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$18,500</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OUS-3 - Regulatory and International Market Profile for 3 markets</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$24,500</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Essential Market Entry Suite</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$18,500</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Expanded Clinical Enablement Suite</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$29,500</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Launch Command Center / CRM MVP</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$24,500 plus third-party licenses</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U1 - Nonexclusive Attributed U.S. Opportunity Model</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$12,500/month + 15% revenue fee; 12 months</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U2 - Managed U.S. Channel-of-Record Model</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$12,500/month + 15% revenue fee; 12 months</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OUS Market Development - up to 2 markets</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$7,500/month; 3-month minimum + success fees</w:t>
            </w:r>
          </w:p>
        </w:tc>
      </w:tr>
      <w:tr>
        <w:trPr>
          <w:cantSplit/>
        </w:trPr>
        <w:tc>
          <w:tcPr>
            <w:tcW w:type="dxa" w:w="792"/>
            <w:vAlign w:val="top"/>
            <w:tcMar>
              <w:top w:w="65" w:type="dxa"/>
              <w:start w:w="70" w:type="dxa"/>
              <w:bottom w:w="65" w:type="dxa"/>
              <w:end w:w="70" w:type="dxa"/>
            </w:tcMar>
          </w:tcPr>
          <w:p>
            <w:pPr>
              <w:spacing w:after="0"/>
            </w:pPr>
            <w:r>
              <w:rPr>
                <w:rFonts w:ascii="Arial" w:hAnsi="Arial"/>
                <w:b w:val="0"/>
                <w:i w:val="0"/>
                <w:color w:val="1F2933"/>
                <w:sz w:val="16"/>
              </w:rPr>
              <w:t>[ ]</w:t>
            </w:r>
          </w:p>
        </w:tc>
        <w:tc>
          <w:tcPr>
            <w:tcW w:type="dxa" w:w="6768"/>
            <w:vAlign w:val="top"/>
            <w:tcMar>
              <w:top w:w="65" w:type="dxa"/>
              <w:start w:w="70" w:type="dxa"/>
              <w:bottom w:w="65" w:type="dxa"/>
              <w:end w:w="70" w:type="dxa"/>
            </w:tcMar>
          </w:tcPr>
          <w:p>
            <w:pPr>
              <w:spacing w:after="0"/>
            </w:pPr>
            <w:r>
              <w:rPr>
                <w:rFonts w:ascii="Arial" w:hAnsi="Arial"/>
                <w:b w:val="0"/>
                <w:i w:val="0"/>
                <w:color w:val="1F2933"/>
                <w:sz w:val="16"/>
              </w:rPr>
              <w:t>OUS Market Development - 3 markets</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$10,000/month; 3-month minimum + success fees</w:t>
            </w:r>
          </w:p>
        </w:tc>
      </w:tr>
    </w:tbl>
    <w:p>
      <w:pPr>
        <w:spacing w:after="0"/>
      </w:pPr>
    </w:p>
    <w:p>
      <w:r>
        <w:rPr>
          <w:rFonts w:ascii="Arial" w:hAnsi="Arial"/>
          <w:b w:val="0"/>
          <w:i w:val="0"/>
          <w:color w:val="1F2933"/>
          <w:sz w:val="20"/>
        </w:rPr>
        <w:t>Selected OUS markets: __________________________________________________________________________</w:t>
      </w:r>
    </w:p>
    <w:p>
      <w:r>
        <w:rPr>
          <w:rFonts w:ascii="Arial" w:hAnsi="Arial"/>
          <w:b w:val="0"/>
          <w:i w:val="0"/>
          <w:color w:val="1F2933"/>
          <w:sz w:val="20"/>
        </w:rPr>
        <w:t>Defined U.S. territories/channels and legacy-account carve-outs: __________________________________________</w:t>
      </w:r>
    </w:p>
    <w:p>
      <w:r>
        <w:rPr>
          <w:rFonts w:ascii="Arial" w:hAnsi="Arial"/>
          <w:b w:val="0"/>
          <w:i w:val="0"/>
          <w:color w:val="1F2933"/>
          <w:sz w:val="20"/>
        </w:rPr>
        <w:t>Target kickoff date: __________________________   Target activation date: __________________________</w:t>
      </w:r>
    </w:p>
    <w:p/>
    <w:tbl>
      <w:tblPr>
        <w:tblW w:type="auto" w:w="0"/>
        <w:jc w:val="center"/>
        <w:tblLayout w:type="fixed"/>
        <w:tblLook w:firstColumn="1" w:firstRow="1" w:lastColumn="0" w:lastRow="0" w:noHBand="0" w:noVBand="1" w:val="04A0"/>
      </w:tblPr>
      <w:tblGrid>
        <w:gridCol w:w="5083"/>
        <w:gridCol w:w="5083"/>
      </w:tblGrid>
      <w:tr>
        <w:tc>
          <w:tcPr>
            <w:tcW w:type="dxa" w:w="4968"/>
            <w:tcMar>
              <w:top w:w="100" w:type="dxa"/>
              <w:start w:w="100" w:type="dxa"/>
              <w:bottom w:w="100" w:type="dxa"/>
              <w:end w:w="100" w:type="dxa"/>
            </w:tcMar>
            <w:shd w:fill="17324D"/>
          </w:tcPr>
          <w:p>
            <w:r>
              <w:rPr>
                <w:rFonts w:ascii="Arial" w:hAnsi="Arial"/>
                <w:b/>
                <w:i w:val="0"/>
                <w:color w:val="FFFFFF"/>
                <w:sz w:val="18"/>
              </w:rPr>
              <w:t>For EndoSpool</w:t>
            </w:r>
          </w:p>
        </w:tc>
        <w:tc>
          <w:tcPr>
            <w:tcW w:type="dxa" w:w="4968"/>
            <w:tcMar>
              <w:top w:w="100" w:type="dxa"/>
              <w:start w:w="100" w:type="dxa"/>
              <w:bottom w:w="100" w:type="dxa"/>
              <w:end w:w="100" w:type="dxa"/>
            </w:tcMar>
            <w:shd w:fill="17324D"/>
          </w:tcPr>
          <w:p>
            <w:r>
              <w:rPr>
                <w:rFonts w:ascii="Arial" w:hAnsi="Arial"/>
                <w:b/>
                <w:i w:val="0"/>
                <w:color w:val="FFFFFF"/>
                <w:sz w:val="18"/>
              </w:rPr>
              <w:t>For 1099Reps.com</w:t>
            </w:r>
          </w:p>
        </w:tc>
      </w:tr>
      <w:tr>
        <w:tc>
          <w:tcPr>
            <w:tcW w:type="dxa" w:w="4968"/>
            <w:tcMar>
              <w:top w:w="100" w:type="dxa"/>
              <w:start w:w="100" w:type="dxa"/>
              <w:bottom w:w="100" w:type="dxa"/>
              <w:end w:w="100" w:type="dxa"/>
            </w:tcMar>
          </w:tcPr>
          <w:p>
            <w:r>
              <w:rPr>
                <w:rFonts w:ascii="Arial" w:hAnsi="Arial"/>
                <w:b w:val="0"/>
                <w:i w:val="0"/>
                <w:color w:val="1F2933"/>
                <w:sz w:val="18"/>
              </w:rPr>
              <w:t>Legal entity: ______________________________</w:t>
            </w:r>
          </w:p>
        </w:tc>
        <w:tc>
          <w:tcPr>
            <w:tcW w:type="dxa" w:w="4968"/>
            <w:tcMar>
              <w:top w:w="100" w:type="dxa"/>
              <w:start w:w="100" w:type="dxa"/>
              <w:bottom w:w="100" w:type="dxa"/>
              <w:end w:w="100" w:type="dxa"/>
            </w:tcMar>
          </w:tcPr>
          <w:p>
            <w:r>
              <w:rPr>
                <w:rFonts w:ascii="Arial" w:hAnsi="Arial"/>
                <w:b w:val="0"/>
                <w:i w:val="0"/>
                <w:color w:val="1F2933"/>
                <w:sz w:val="18"/>
              </w:rPr>
              <w:t>Legal entity: ______________________________</w:t>
            </w:r>
          </w:p>
        </w:tc>
      </w:tr>
      <w:tr>
        <w:tc>
          <w:tcPr>
            <w:tcW w:type="dxa" w:w="4968"/>
            <w:tcMar>
              <w:top w:w="100" w:type="dxa"/>
              <w:start w:w="100" w:type="dxa"/>
              <w:bottom w:w="100" w:type="dxa"/>
              <w:end w:w="100" w:type="dxa"/>
            </w:tcMar>
          </w:tcPr>
          <w:p>
            <w:r>
              <w:rPr>
                <w:rFonts w:ascii="Arial" w:hAnsi="Arial"/>
                <w:b w:val="0"/>
                <w:i w:val="0"/>
                <w:color w:val="1F2933"/>
                <w:sz w:val="18"/>
              </w:rPr>
              <w:t>Name / title: ______________________________</w:t>
            </w:r>
          </w:p>
        </w:tc>
        <w:tc>
          <w:tcPr>
            <w:tcW w:type="dxa" w:w="4968"/>
            <w:tcMar>
              <w:top w:w="100" w:type="dxa"/>
              <w:start w:w="100" w:type="dxa"/>
              <w:bottom w:w="100" w:type="dxa"/>
              <w:end w:w="100" w:type="dxa"/>
            </w:tcMar>
          </w:tcPr>
          <w:p>
            <w:r>
              <w:rPr>
                <w:rFonts w:ascii="Arial" w:hAnsi="Arial"/>
                <w:b w:val="0"/>
                <w:i w:val="0"/>
                <w:color w:val="1F2933"/>
                <w:sz w:val="18"/>
              </w:rPr>
              <w:t>Name / title: ______________________________</w:t>
            </w:r>
          </w:p>
        </w:tc>
      </w:tr>
      <w:tr>
        <w:tc>
          <w:tcPr>
            <w:tcW w:type="dxa" w:w="4968"/>
            <w:tcMar>
              <w:top w:w="100" w:type="dxa"/>
              <w:start w:w="100" w:type="dxa"/>
              <w:bottom w:w="100" w:type="dxa"/>
              <w:end w:w="100" w:type="dxa"/>
            </w:tcMar>
          </w:tcPr>
          <w:p>
            <w:r>
              <w:rPr>
                <w:rFonts w:ascii="Arial" w:hAnsi="Arial"/>
                <w:b w:val="0"/>
                <w:i w:val="0"/>
                <w:color w:val="1F2933"/>
                <w:sz w:val="18"/>
              </w:rPr>
              <w:t>Signature: __________________________________</w:t>
            </w:r>
          </w:p>
        </w:tc>
        <w:tc>
          <w:tcPr>
            <w:tcW w:type="dxa" w:w="4968"/>
            <w:tcMar>
              <w:top w:w="100" w:type="dxa"/>
              <w:start w:w="100" w:type="dxa"/>
              <w:bottom w:w="100" w:type="dxa"/>
              <w:end w:w="100" w:type="dxa"/>
            </w:tcMar>
          </w:tcPr>
          <w:p>
            <w:r>
              <w:rPr>
                <w:rFonts w:ascii="Arial" w:hAnsi="Arial"/>
                <w:b w:val="0"/>
                <w:i w:val="0"/>
                <w:color w:val="1F2933"/>
                <w:sz w:val="18"/>
              </w:rPr>
              <w:t>Signature: __________________________________</w:t>
            </w:r>
          </w:p>
        </w:tc>
      </w:tr>
      <w:tr>
        <w:tc>
          <w:tcPr>
            <w:tcW w:type="dxa" w:w="4968"/>
            <w:tcMar>
              <w:top w:w="100" w:type="dxa"/>
              <w:start w:w="100" w:type="dxa"/>
              <w:bottom w:w="100" w:type="dxa"/>
              <w:end w:w="100" w:type="dxa"/>
            </w:tcMar>
          </w:tcPr>
          <w:p>
            <w:r>
              <w:rPr>
                <w:rFonts w:ascii="Arial" w:hAnsi="Arial"/>
                <w:b w:val="0"/>
                <w:i w:val="0"/>
                <w:color w:val="1F2933"/>
                <w:sz w:val="18"/>
              </w:rPr>
              <w:t>Date: ______________________________________</w:t>
            </w:r>
          </w:p>
        </w:tc>
        <w:tc>
          <w:tcPr>
            <w:tcW w:type="dxa" w:w="4968"/>
            <w:tcMar>
              <w:top w:w="100" w:type="dxa"/>
              <w:start w:w="100" w:type="dxa"/>
              <w:bottom w:w="100" w:type="dxa"/>
              <w:end w:w="100" w:type="dxa"/>
            </w:tcMar>
          </w:tcPr>
          <w:p>
            <w:r>
              <w:rPr>
                <w:rFonts w:ascii="Arial" w:hAnsi="Arial"/>
                <w:b w:val="0"/>
                <w:i w:val="0"/>
                <w:color w:val="1F2933"/>
                <w:sz w:val="18"/>
              </w:rPr>
              <w:t>Date: ______________________________________</w:t>
            </w:r>
          </w:p>
        </w:tc>
      </w:tr>
    </w:tbl>
    <w:p>
      <w:pPr>
        <w:pStyle w:val="Heading1"/>
        <w:pageBreakBefore/>
      </w:pPr>
      <w:r>
        <w:t>Appendix A - Standard Program Timeline</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1296"/>
            <w:shd w:fill="17324D"/>
            <w:vAlign w:val="center"/>
            <w:tcMar>
              <w:top w:w="75" w:type="dxa"/>
              <w:start w:w="75" w:type="dxa"/>
              <w:bottom w:w="75" w:type="dxa"/>
              <w:end w:w="75" w:type="dxa"/>
            </w:tcMar>
          </w:tcPr>
          <w:p>
            <w:pPr>
              <w:jc w:val="left"/>
            </w:pPr>
            <w:r>
              <w:rPr>
                <w:rFonts w:ascii="Arial" w:hAnsi="Arial"/>
                <w:b/>
                <w:i w:val="0"/>
                <w:color w:val="FFFFFF"/>
                <w:sz w:val="17"/>
              </w:rPr>
              <w:t>Timing</w:t>
            </w:r>
          </w:p>
        </w:tc>
        <w:tc>
          <w:tcPr>
            <w:tcW w:type="dxa" w:w="5328"/>
            <w:shd w:fill="17324D"/>
            <w:vAlign w:val="center"/>
            <w:tcMar>
              <w:top w:w="75" w:type="dxa"/>
              <w:start w:w="75" w:type="dxa"/>
              <w:bottom w:w="75" w:type="dxa"/>
              <w:end w:w="75" w:type="dxa"/>
            </w:tcMar>
          </w:tcPr>
          <w:p>
            <w:pPr>
              <w:jc w:val="left"/>
            </w:pPr>
            <w:r>
              <w:rPr>
                <w:rFonts w:ascii="Arial" w:hAnsi="Arial"/>
                <w:b/>
                <w:i w:val="0"/>
                <w:color w:val="FFFFFF"/>
                <w:sz w:val="17"/>
              </w:rPr>
              <w:t>Primary activity</w:t>
            </w:r>
          </w:p>
        </w:tc>
        <w:tc>
          <w:tcPr>
            <w:tcW w:type="dxa" w:w="3384"/>
            <w:shd w:fill="17324D"/>
            <w:vAlign w:val="center"/>
            <w:tcMar>
              <w:top w:w="75" w:type="dxa"/>
              <w:start w:w="75" w:type="dxa"/>
              <w:bottom w:w="75" w:type="dxa"/>
              <w:end w:w="75" w:type="dxa"/>
            </w:tcMar>
          </w:tcPr>
          <w:p>
            <w:pPr>
              <w:jc w:val="left"/>
            </w:pPr>
            <w:r>
              <w:rPr>
                <w:rFonts w:ascii="Arial" w:hAnsi="Arial"/>
                <w:b/>
                <w:i w:val="0"/>
                <w:color w:val="FFFFFF"/>
                <w:sz w:val="17"/>
              </w:rPr>
              <w:t>Decision output</w:t>
            </w:r>
          </w:p>
        </w:tc>
      </w:tr>
      <w:tr>
        <w:trPr>
          <w:cantSplit/>
        </w:trPr>
        <w:tc>
          <w:tcPr>
            <w:tcW w:type="dxa" w:w="1296"/>
            <w:vAlign w:val="top"/>
            <w:tcMar>
              <w:top w:w="65" w:type="dxa"/>
              <w:start w:w="70" w:type="dxa"/>
              <w:bottom w:w="65" w:type="dxa"/>
              <w:end w:w="70" w:type="dxa"/>
            </w:tcMar>
          </w:tcPr>
          <w:p>
            <w:pPr>
              <w:spacing w:after="0"/>
            </w:pPr>
            <w:r>
              <w:rPr>
                <w:rFonts w:ascii="Arial" w:hAnsi="Arial"/>
                <w:b w:val="0"/>
                <w:i w:val="0"/>
                <w:color w:val="1F2933"/>
                <w:sz w:val="16"/>
              </w:rPr>
              <w:t>Weeks 1-2</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Kickoff, questionnaire, data room, executive discovery, product/configuration map, claims and regulatory inventory, baseline readiness score.</w:t>
            </w:r>
          </w:p>
        </w:tc>
        <w:tc>
          <w:tcPr>
            <w:tcW w:type="dxa" w:w="3384"/>
            <w:vAlign w:val="top"/>
            <w:tcMar>
              <w:top w:w="65" w:type="dxa"/>
              <w:start w:w="70" w:type="dxa"/>
              <w:bottom w:w="65" w:type="dxa"/>
              <w:end w:w="70" w:type="dxa"/>
            </w:tcMar>
          </w:tcPr>
          <w:p>
            <w:pPr>
              <w:spacing w:after="0"/>
            </w:pPr>
            <w:r>
              <w:rPr>
                <w:rFonts w:ascii="Arial" w:hAnsi="Arial"/>
                <w:b w:val="0"/>
                <w:i w:val="0"/>
                <w:color w:val="1F2933"/>
                <w:sz w:val="16"/>
              </w:rPr>
              <w:t>Are access, data, product configuration, and leadership readiness sufficient to proceed?</w:t>
            </w:r>
          </w:p>
        </w:tc>
      </w:tr>
      <w:tr>
        <w:trPr>
          <w:cantSplit/>
        </w:trPr>
        <w:tc>
          <w:tcPr>
            <w:tcW w:type="dxa" w:w="1296"/>
            <w:vAlign w:val="top"/>
            <w:tcMar>
              <w:top w:w="65" w:type="dxa"/>
              <w:start w:w="70" w:type="dxa"/>
              <w:bottom w:w="65" w:type="dxa"/>
              <w:end w:w="70" w:type="dxa"/>
            </w:tcMar>
          </w:tcPr>
          <w:p>
            <w:pPr>
              <w:spacing w:after="0"/>
            </w:pPr>
            <w:r>
              <w:rPr>
                <w:rFonts w:ascii="Arial" w:hAnsi="Arial"/>
                <w:b w:val="0"/>
                <w:i w:val="0"/>
                <w:color w:val="1F2933"/>
                <w:sz w:val="16"/>
              </w:rPr>
              <w:t>Weeks 3-4</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Clinical workflow, procedure/user/buyer segmentation, StitchKit/substitute assessment, pig-lab and training review.</w:t>
            </w:r>
          </w:p>
        </w:tc>
        <w:tc>
          <w:tcPr>
            <w:tcW w:type="dxa" w:w="3384"/>
            <w:vAlign w:val="top"/>
            <w:tcMar>
              <w:top w:w="65" w:type="dxa"/>
              <w:start w:w="70" w:type="dxa"/>
              <w:bottom w:w="65" w:type="dxa"/>
              <w:end w:w="70" w:type="dxa"/>
            </w:tcMar>
          </w:tcPr>
          <w:p>
            <w:pPr>
              <w:spacing w:after="0"/>
            </w:pPr>
            <w:r>
              <w:rPr>
                <w:rFonts w:ascii="Arial" w:hAnsi="Arial"/>
                <w:b w:val="0"/>
                <w:i w:val="0"/>
                <w:color w:val="1F2933"/>
                <w:sz w:val="16"/>
              </w:rPr>
              <w:t>Which use cases and claims require evidence or narrower positioning?</w:t>
            </w:r>
          </w:p>
        </w:tc>
      </w:tr>
      <w:tr>
        <w:trPr>
          <w:cantSplit/>
        </w:trPr>
        <w:tc>
          <w:tcPr>
            <w:tcW w:type="dxa" w:w="1296"/>
            <w:vAlign w:val="top"/>
            <w:tcMar>
              <w:top w:w="65" w:type="dxa"/>
              <w:start w:w="70" w:type="dxa"/>
              <w:bottom w:w="65" w:type="dxa"/>
              <w:end w:w="70" w:type="dxa"/>
            </w:tcMar>
          </w:tcPr>
          <w:p>
            <w:pPr>
              <w:spacing w:after="0"/>
            </w:pPr>
            <w:r>
              <w:rPr>
                <w:rFonts w:ascii="Arial" w:hAnsi="Arial"/>
                <w:b w:val="0"/>
                <w:i w:val="0"/>
                <w:color w:val="1F2933"/>
                <w:sz w:val="16"/>
              </w:rPr>
              <w:t>Weeks 5-6</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Pricing, direct/wholesale/distributor economics, COGS validation, manufacturing and shelf-life review.</w:t>
            </w:r>
          </w:p>
        </w:tc>
        <w:tc>
          <w:tcPr>
            <w:tcW w:type="dxa" w:w="3384"/>
            <w:vAlign w:val="top"/>
            <w:tcMar>
              <w:top w:w="65" w:type="dxa"/>
              <w:start w:w="70" w:type="dxa"/>
              <w:bottom w:w="65" w:type="dxa"/>
              <w:end w:w="70" w:type="dxa"/>
            </w:tcMar>
          </w:tcPr>
          <w:p>
            <w:pPr>
              <w:spacing w:after="0"/>
            </w:pPr>
            <w:r>
              <w:rPr>
                <w:rFonts w:ascii="Arial" w:hAnsi="Arial"/>
                <w:b w:val="0"/>
                <w:i w:val="0"/>
                <w:color w:val="1F2933"/>
                <w:sz w:val="16"/>
              </w:rPr>
              <w:t>Do price, margins, supply, and distributor economics support the intended launch?</w:t>
            </w:r>
          </w:p>
        </w:tc>
      </w:tr>
      <w:tr>
        <w:trPr>
          <w:cantSplit/>
        </w:trPr>
        <w:tc>
          <w:tcPr>
            <w:tcW w:type="dxa" w:w="1296"/>
            <w:vAlign w:val="top"/>
            <w:tcMar>
              <w:top w:w="65" w:type="dxa"/>
              <w:start w:w="70" w:type="dxa"/>
              <w:bottom w:w="65" w:type="dxa"/>
              <w:end w:w="70" w:type="dxa"/>
            </w:tcMar>
          </w:tcPr>
          <w:p>
            <w:pPr>
              <w:spacing w:after="0"/>
            </w:pPr>
            <w:r>
              <w:rPr>
                <w:rFonts w:ascii="Arial" w:hAnsi="Arial"/>
                <w:b w:val="0"/>
                <w:i w:val="0"/>
                <w:color w:val="1F2933"/>
                <w:sz w:val="16"/>
              </w:rPr>
              <w:t>Weeks 7-8</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U.S. channel architecture, rep/distributor input, OUS screen, organizational and systems readiness.</w:t>
            </w:r>
          </w:p>
        </w:tc>
        <w:tc>
          <w:tcPr>
            <w:tcW w:type="dxa" w:w="3384"/>
            <w:vAlign w:val="top"/>
            <w:tcMar>
              <w:top w:w="65" w:type="dxa"/>
              <w:start w:w="70" w:type="dxa"/>
              <w:bottom w:w="65" w:type="dxa"/>
              <w:end w:w="70" w:type="dxa"/>
            </w:tcMar>
          </w:tcPr>
          <w:p>
            <w:pPr>
              <w:spacing w:after="0"/>
            </w:pPr>
            <w:r>
              <w:rPr>
                <w:rFonts w:ascii="Arial" w:hAnsi="Arial"/>
                <w:b w:val="0"/>
                <w:i w:val="0"/>
                <w:color w:val="1F2933"/>
                <w:sz w:val="16"/>
              </w:rPr>
              <w:t>Which channels and markets merit deeper activation?</w:t>
            </w:r>
          </w:p>
        </w:tc>
      </w:tr>
      <w:tr>
        <w:trPr>
          <w:cantSplit/>
        </w:trPr>
        <w:tc>
          <w:tcPr>
            <w:tcW w:type="dxa" w:w="1296"/>
            <w:vAlign w:val="top"/>
            <w:tcMar>
              <w:top w:w="65" w:type="dxa"/>
              <w:start w:w="70" w:type="dxa"/>
              <w:bottom w:w="65" w:type="dxa"/>
              <w:end w:w="70" w:type="dxa"/>
            </w:tcMar>
          </w:tcPr>
          <w:p>
            <w:pPr>
              <w:spacing w:after="0"/>
            </w:pPr>
            <w:r>
              <w:rPr>
                <w:rFonts w:ascii="Arial" w:hAnsi="Arial"/>
                <w:b w:val="0"/>
                <w:i w:val="0"/>
                <w:color w:val="1F2933"/>
                <w:sz w:val="16"/>
              </w:rPr>
              <w:t>Weeks 9-10</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Controlled launch design, digital asset requirements, CRM/dashboard blueprint, partner target architecture.</w:t>
            </w:r>
          </w:p>
        </w:tc>
        <w:tc>
          <w:tcPr>
            <w:tcW w:type="dxa" w:w="3384"/>
            <w:vAlign w:val="top"/>
            <w:tcMar>
              <w:top w:w="65" w:type="dxa"/>
              <w:start w:w="70" w:type="dxa"/>
              <w:bottom w:w="65" w:type="dxa"/>
              <w:end w:w="70" w:type="dxa"/>
            </w:tcMar>
          </w:tcPr>
          <w:p>
            <w:pPr>
              <w:spacing w:after="0"/>
            </w:pPr>
            <w:r>
              <w:rPr>
                <w:rFonts w:ascii="Arial" w:hAnsi="Arial"/>
                <w:b w:val="0"/>
                <w:i w:val="0"/>
                <w:color w:val="1F2933"/>
                <w:sz w:val="16"/>
              </w:rPr>
              <w:t>Are product, training, systems, inventory, and support ready for a controlled launch?</w:t>
            </w:r>
          </w:p>
        </w:tc>
      </w:tr>
      <w:tr>
        <w:trPr>
          <w:cantSplit/>
        </w:trPr>
        <w:tc>
          <w:tcPr>
            <w:tcW w:type="dxa" w:w="1296"/>
            <w:vAlign w:val="top"/>
            <w:tcMar>
              <w:top w:w="65" w:type="dxa"/>
              <w:start w:w="70" w:type="dxa"/>
              <w:bottom w:w="65" w:type="dxa"/>
              <w:end w:w="70" w:type="dxa"/>
            </w:tcMar>
          </w:tcPr>
          <w:p>
            <w:pPr>
              <w:spacing w:after="0"/>
            </w:pPr>
            <w:r>
              <w:rPr>
                <w:rFonts w:ascii="Arial" w:hAnsi="Arial"/>
                <w:b w:val="0"/>
                <w:i w:val="0"/>
                <w:color w:val="1F2933"/>
                <w:sz w:val="16"/>
              </w:rPr>
              <w:t>Weeks 11-12</w:t>
            </w:r>
          </w:p>
        </w:tc>
        <w:tc>
          <w:tcPr>
            <w:tcW w:type="dxa" w:w="5328"/>
            <w:vAlign w:val="top"/>
            <w:tcMar>
              <w:top w:w="65" w:type="dxa"/>
              <w:start w:w="70" w:type="dxa"/>
              <w:bottom w:w="65" w:type="dxa"/>
              <w:end w:w="70" w:type="dxa"/>
            </w:tcMar>
          </w:tcPr>
          <w:p>
            <w:pPr>
              <w:spacing w:after="0"/>
            </w:pPr>
            <w:r>
              <w:rPr>
                <w:rFonts w:ascii="Arial" w:hAnsi="Arial"/>
                <w:b w:val="0"/>
                <w:i w:val="0"/>
                <w:color w:val="1F2933"/>
                <w:sz w:val="16"/>
              </w:rPr>
              <w:t>Final synthesis, scenario comparison, roadmap, executive workshop, Phase II SOW.</w:t>
            </w:r>
          </w:p>
        </w:tc>
        <w:tc>
          <w:tcPr>
            <w:tcW w:type="dxa" w:w="3384"/>
            <w:vAlign w:val="top"/>
            <w:tcMar>
              <w:top w:w="65" w:type="dxa"/>
              <w:start w:w="70" w:type="dxa"/>
              <w:bottom w:w="65" w:type="dxa"/>
              <w:end w:w="70" w:type="dxa"/>
            </w:tcMar>
          </w:tcPr>
          <w:p>
            <w:pPr>
              <w:spacing w:after="0"/>
            </w:pPr>
            <w:r>
              <w:rPr>
                <w:rFonts w:ascii="Arial" w:hAnsi="Arial"/>
                <w:b w:val="0"/>
                <w:i w:val="0"/>
                <w:color w:val="1F2933"/>
                <w:sz w:val="16"/>
              </w:rPr>
              <w:t>GO, GATED GO, NARROW, DISTRIBUTE, BUNDLE, OEM-LICENSE, OUS, BUILD CAPACITY, or PAUSE.</w:t>
            </w:r>
          </w:p>
        </w:tc>
      </w:tr>
    </w:tbl>
    <w:p>
      <w:pPr>
        <w:spacing w:after="0"/>
      </w:pPr>
    </w:p>
    <w:p>
      <w:pPr>
        <w:pStyle w:val="Heading1"/>
      </w:pPr>
      <w:r>
        <w:t>Appendix B - Preliminary Economics Illustration</w:t>
      </w:r>
    </w:p>
    <w:p>
      <w:r>
        <w:rPr>
          <w:rFonts w:ascii="Arial" w:hAnsi="Arial"/>
          <w:b w:val="0"/>
          <w:i w:val="0"/>
          <w:color w:val="1F2933"/>
          <w:sz w:val="20"/>
        </w:rPr>
        <w:t>The following illustration is based solely on currently discussed figures and must be replaced with verified, fully burdened economics. It is provided to show why wholesale sales remain commercially attractive even when the 15% fee is applied to the actual transfer invoice.</w:t>
      </w:r>
    </w:p>
    <w:tbl>
      <w:tblPr>
        <w:tblStyle w:val="TableGrid"/>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3024"/>
            <w:shd w:fill="17324D"/>
            <w:vAlign w:val="center"/>
            <w:tcMar>
              <w:top w:w="75" w:type="dxa"/>
              <w:start w:w="75" w:type="dxa"/>
              <w:bottom w:w="75" w:type="dxa"/>
              <w:end w:w="75" w:type="dxa"/>
            </w:tcMar>
          </w:tcPr>
          <w:p>
            <w:pPr>
              <w:jc w:val="left"/>
            </w:pPr>
            <w:r>
              <w:rPr>
                <w:rFonts w:ascii="Arial" w:hAnsi="Arial"/>
                <w:b/>
                <w:i w:val="0"/>
                <w:color w:val="FFFFFF"/>
                <w:sz w:val="17"/>
              </w:rPr>
              <w:t>Volume / price basis</w:t>
            </w:r>
          </w:p>
        </w:tc>
        <w:tc>
          <w:tcPr>
            <w:tcW w:type="dxa" w:w="1655"/>
            <w:shd w:fill="17324D"/>
            <w:vAlign w:val="center"/>
            <w:tcMar>
              <w:top w:w="75" w:type="dxa"/>
              <w:start w:w="75" w:type="dxa"/>
              <w:bottom w:w="75" w:type="dxa"/>
              <w:end w:w="75" w:type="dxa"/>
            </w:tcMar>
          </w:tcPr>
          <w:p>
            <w:pPr>
              <w:jc w:val="left"/>
            </w:pPr>
            <w:r>
              <w:rPr>
                <w:rFonts w:ascii="Arial" w:hAnsi="Arial"/>
                <w:b/>
                <w:i w:val="0"/>
                <w:color w:val="FFFFFF"/>
                <w:sz w:val="17"/>
              </w:rPr>
              <w:t>Collected revenue per unit</w:t>
            </w:r>
          </w:p>
        </w:tc>
        <w:tc>
          <w:tcPr>
            <w:tcW w:type="dxa" w:w="1440"/>
            <w:shd w:fill="17324D"/>
            <w:vAlign w:val="center"/>
            <w:tcMar>
              <w:top w:w="75" w:type="dxa"/>
              <w:start w:w="75" w:type="dxa"/>
              <w:bottom w:w="75" w:type="dxa"/>
              <w:end w:w="75" w:type="dxa"/>
            </w:tcMar>
          </w:tcPr>
          <w:p>
            <w:pPr>
              <w:jc w:val="left"/>
            </w:pPr>
            <w:r>
              <w:rPr>
                <w:rFonts w:ascii="Arial" w:hAnsi="Arial"/>
                <w:b/>
                <w:i w:val="0"/>
                <w:color w:val="FFFFFF"/>
                <w:sz w:val="17"/>
              </w:rPr>
              <w:t>COGS assumption</w:t>
            </w:r>
          </w:p>
        </w:tc>
        <w:tc>
          <w:tcPr>
            <w:tcW w:type="dxa" w:w="1440"/>
            <w:shd w:fill="17324D"/>
            <w:vAlign w:val="center"/>
            <w:tcMar>
              <w:top w:w="75" w:type="dxa"/>
              <w:start w:w="75" w:type="dxa"/>
              <w:bottom w:w="75" w:type="dxa"/>
              <w:end w:w="75" w:type="dxa"/>
            </w:tcMar>
          </w:tcPr>
          <w:p>
            <w:pPr>
              <w:jc w:val="left"/>
            </w:pPr>
            <w:r>
              <w:rPr>
                <w:rFonts w:ascii="Arial" w:hAnsi="Arial"/>
                <w:b/>
                <w:i w:val="0"/>
                <w:color w:val="FFFFFF"/>
                <w:sz w:val="17"/>
              </w:rPr>
              <w:t>15% revenue fee</w:t>
            </w:r>
          </w:p>
        </w:tc>
        <w:tc>
          <w:tcPr>
            <w:tcW w:type="dxa" w:w="2448"/>
            <w:shd w:fill="17324D"/>
            <w:vAlign w:val="center"/>
            <w:tcMar>
              <w:top w:w="75" w:type="dxa"/>
              <w:start w:w="75" w:type="dxa"/>
              <w:bottom w:w="75" w:type="dxa"/>
              <w:end w:w="75" w:type="dxa"/>
            </w:tcMar>
          </w:tcPr>
          <w:p>
            <w:pPr>
              <w:jc w:val="left"/>
            </w:pPr>
            <w:r>
              <w:rPr>
                <w:rFonts w:ascii="Arial" w:hAnsi="Arial"/>
                <w:b/>
                <w:i w:val="0"/>
                <w:color w:val="FFFFFF"/>
                <w:sz w:val="17"/>
              </w:rPr>
              <w:t>Contribution after fee and COGS</w:t>
            </w:r>
          </w:p>
        </w:tc>
      </w:tr>
      <w:tr>
        <w:trPr>
          <w:cantSplit/>
        </w:trPr>
        <w:tc>
          <w:tcPr>
            <w:tcW w:type="dxa" w:w="3024"/>
            <w:vAlign w:val="top"/>
            <w:tcMar>
              <w:top w:w="65" w:type="dxa"/>
              <w:start w:w="70" w:type="dxa"/>
              <w:bottom w:w="65" w:type="dxa"/>
              <w:end w:w="70" w:type="dxa"/>
            </w:tcMar>
          </w:tcPr>
          <w:p>
            <w:pPr>
              <w:spacing w:after="0"/>
            </w:pPr>
            <w:r>
              <w:rPr>
                <w:rFonts w:ascii="Arial" w:hAnsi="Arial"/>
                <w:b w:val="0"/>
                <w:i w:val="0"/>
                <w:color w:val="1F2933"/>
                <w:sz w:val="16"/>
              </w:rPr>
              <w:t>Direct sale at $270; 1,000-unit COGS</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$270.00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$32.00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$40.50</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$197.50</w:t>
            </w:r>
          </w:p>
        </w:tc>
      </w:tr>
      <w:tr>
        <w:trPr>
          <w:cantSplit/>
        </w:trPr>
        <w:tc>
          <w:tcPr>
            <w:tcW w:type="dxa" w:w="3024"/>
            <w:vAlign w:val="top"/>
            <w:tcMar>
              <w:top w:w="65" w:type="dxa"/>
              <w:start w:w="70" w:type="dxa"/>
              <w:bottom w:w="65" w:type="dxa"/>
              <w:end w:w="70" w:type="dxa"/>
            </w:tcMar>
          </w:tcPr>
          <w:p>
            <w:pPr>
              <w:spacing w:after="0"/>
            </w:pPr>
            <w:r>
              <w:rPr>
                <w:rFonts w:ascii="Arial" w:hAnsi="Arial"/>
                <w:b w:val="0"/>
                <w:i w:val="0"/>
                <w:color w:val="1F2933"/>
                <w:sz w:val="16"/>
              </w:rPr>
              <w:t>Wholesale at $148.50; 1,000-unit COGS</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$148.50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$32.00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$22.28</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$94.23</w:t>
            </w:r>
          </w:p>
        </w:tc>
      </w:tr>
      <w:tr>
        <w:trPr>
          <w:cantSplit/>
        </w:trPr>
        <w:tc>
          <w:tcPr>
            <w:tcW w:type="dxa" w:w="3024"/>
            <w:vAlign w:val="top"/>
            <w:tcMar>
              <w:top w:w="65" w:type="dxa"/>
              <w:start w:w="70" w:type="dxa"/>
              <w:bottom w:w="65" w:type="dxa"/>
              <w:end w:w="70" w:type="dxa"/>
            </w:tcMar>
          </w:tcPr>
          <w:p>
            <w:pPr>
              <w:spacing w:after="0"/>
            </w:pPr>
            <w:r>
              <w:rPr>
                <w:rFonts w:ascii="Arial" w:hAnsi="Arial"/>
                <w:b w:val="0"/>
                <w:i w:val="0"/>
                <w:color w:val="1F2933"/>
                <w:sz w:val="16"/>
              </w:rPr>
              <w:t>Wholesale at $148.50; 5,000-unit COGS</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$148.50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$26.00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$22.28</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$100.23</w:t>
            </w:r>
          </w:p>
        </w:tc>
      </w:tr>
      <w:tr>
        <w:trPr>
          <w:cantSplit/>
        </w:trPr>
        <w:tc>
          <w:tcPr>
            <w:tcW w:type="dxa" w:w="3024"/>
            <w:vAlign w:val="top"/>
            <w:tcMar>
              <w:top w:w="65" w:type="dxa"/>
              <w:start w:w="70" w:type="dxa"/>
              <w:bottom w:w="65" w:type="dxa"/>
              <w:end w:w="70" w:type="dxa"/>
            </w:tcMar>
          </w:tcPr>
          <w:p>
            <w:pPr>
              <w:spacing w:after="0"/>
            </w:pPr>
            <w:r>
              <w:rPr>
                <w:rFonts w:ascii="Arial" w:hAnsi="Arial"/>
                <w:b w:val="0"/>
                <w:i w:val="0"/>
                <w:color w:val="1F2933"/>
                <w:sz w:val="16"/>
              </w:rPr>
              <w:t>Wholesale at $148.50; 10,000-unit COGS</w:t>
            </w:r>
          </w:p>
        </w:tc>
        <w:tc>
          <w:tcPr>
            <w:tcW w:type="dxa" w:w="1655"/>
            <w:vAlign w:val="top"/>
            <w:tcMar>
              <w:top w:w="65" w:type="dxa"/>
              <w:start w:w="70" w:type="dxa"/>
              <w:bottom w:w="65" w:type="dxa"/>
              <w:end w:w="70" w:type="dxa"/>
            </w:tcMar>
          </w:tcPr>
          <w:p>
            <w:pPr>
              <w:spacing w:after="0"/>
            </w:pPr>
            <w:r>
              <w:rPr>
                <w:rFonts w:ascii="Arial" w:hAnsi="Arial"/>
                <w:b w:val="0"/>
                <w:i w:val="0"/>
                <w:color w:val="1F2933"/>
                <w:sz w:val="16"/>
              </w:rPr>
              <w:t>$148.50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$21.00</w:t>
            </w:r>
          </w:p>
        </w:tc>
        <w:tc>
          <w:tcPr>
            <w:tcW w:type="dxa" w:w="1440"/>
            <w:vAlign w:val="top"/>
            <w:tcMar>
              <w:top w:w="65" w:type="dxa"/>
              <w:start w:w="70" w:type="dxa"/>
              <w:bottom w:w="65" w:type="dxa"/>
              <w:end w:w="70" w:type="dxa"/>
            </w:tcMar>
          </w:tcPr>
          <w:p>
            <w:pPr>
              <w:spacing w:after="0"/>
            </w:pPr>
            <w:r>
              <w:rPr>
                <w:rFonts w:ascii="Arial" w:hAnsi="Arial"/>
                <w:b w:val="0"/>
                <w:i w:val="0"/>
                <w:color w:val="1F2933"/>
                <w:sz w:val="16"/>
              </w:rPr>
              <w:t>$22.28</w:t>
            </w:r>
          </w:p>
        </w:tc>
        <w:tc>
          <w:tcPr>
            <w:tcW w:type="dxa" w:w="2448"/>
            <w:vAlign w:val="top"/>
            <w:tcMar>
              <w:top w:w="65" w:type="dxa"/>
              <w:start w:w="70" w:type="dxa"/>
              <w:bottom w:w="65" w:type="dxa"/>
              <w:end w:w="70" w:type="dxa"/>
            </w:tcMar>
          </w:tcPr>
          <w:p>
            <w:pPr>
              <w:spacing w:after="0"/>
            </w:pPr>
            <w:r>
              <w:rPr>
                <w:rFonts w:ascii="Arial" w:hAnsi="Arial"/>
                <w:b w:val="0"/>
                <w:i w:val="0"/>
                <w:color w:val="1F2933"/>
                <w:sz w:val="16"/>
              </w:rPr>
              <w:t>$105.23</w:t>
            </w:r>
          </w:p>
        </w:tc>
      </w:tr>
    </w:tbl>
    <w:p>
      <w:pPr>
        <w:spacing w:after="0"/>
      </w:pPr>
    </w:p>
    <w:p>
      <w:r>
        <w:rPr>
          <w:rFonts w:ascii="Arial" w:hAnsi="Arial"/>
          <w:b w:val="0"/>
          <w:i w:val="0"/>
          <w:color w:val="1F2933"/>
          <w:sz w:val="20"/>
        </w:rPr>
        <w:t>The monthly $12,500 activation retainer is separate from the per-unit illustration. Its effective per-unit burden declines as volume increases and compensates for the standing commercial infrastructure, channel management, training coordination, forecasting, account development, and executive oversight required to create the revenue.</w:t>
      </w:r>
    </w:p>
    <w:p>
      <w:pPr>
        <w:pStyle w:val="Heading1"/>
      </w:pPr>
      <w:r>
        <w:t>Appendix C - Regulatory Context and Scope Notes</w:t>
      </w:r>
    </w:p>
    <w:p>
      <w:r>
        <w:rPr>
          <w:rFonts w:ascii="Arial" w:hAnsi="Arial"/>
          <w:b w:val="0"/>
          <w:i w:val="0"/>
          <w:color w:val="1F2933"/>
          <w:sz w:val="20"/>
        </w:rPr>
        <w:t>The following official sources frame the OUS and U.S. regulatory questions that will be reviewed. They are cited for scoping only and do not constitute a final classification conclusion for EndoSpool.</w:t>
      </w:r>
    </w:p>
    <w:tbl>
      <w:tblPr>
        <w:tblW w:type="auto" w:w="0"/>
        <w:jc w:val="center"/>
        <w:tblLayout w:type="fixed"/>
        <w:tblLook w:firstColumn="1" w:firstRow="1" w:lastColumn="0" w:lastRow="0" w:noHBand="0" w:noVBand="1" w:val="04A0"/>
      </w:tblPr>
      <w:tblGrid>
        <w:gridCol w:w="5083"/>
        <w:gridCol w:w="5083"/>
      </w:tblGrid>
      <w:tr>
        <w:trPr>
          <w:cantSplit/>
        </w:trPr>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1">
              <w:r>
                <w:rPr>
                  <w:color w:val="2E75B6"/>
                  <w:u w:val="single"/>
                  <w:rFonts w:ascii="Arial" w:hAnsi="Arial"/>
                  <w:sz w:val="15"/>
                </w:rPr>
                <w:t>FDA: Class I and Class II device exemptions</w:t>
              </w:r>
            </w:hyperlink>
          </w:p>
        </w:tc>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2">
              <w:r>
                <w:rPr>
                  <w:color w:val="2E75B6"/>
                  <w:u w:val="single"/>
                  <w:rFonts w:ascii="Arial" w:hAnsi="Arial"/>
                  <w:sz w:val="15"/>
                </w:rPr>
                <w:t>FDA: Quality Management System Regulation (QMSR)</w:t>
              </w:r>
            </w:hyperlink>
          </w:p>
        </w:tc>
      </w:tr>
      <w:tr>
        <w:trPr>
          <w:cantSplit/>
        </w:trPr>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3">
              <w:r>
                <w:rPr>
                  <w:color w:val="2E75B6"/>
                  <w:u w:val="single"/>
                  <w:rFonts w:ascii="Arial" w:hAnsi="Arial"/>
                  <w:sz w:val="15"/>
                </w:rPr>
                <w:t>EU MDR: Annex VIII classification rules, including Rule 6</w:t>
              </w:r>
            </w:hyperlink>
          </w:p>
        </w:tc>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4">
              <w:r>
                <w:rPr>
                  <w:color w:val="2E75B6"/>
                  <w:u w:val="single"/>
                  <w:rFonts w:ascii="Arial" w:hAnsi="Arial"/>
                  <w:sz w:val="15"/>
                </w:rPr>
                <w:t>MHRA: Regulating medical devices in Great Britain</w:t>
              </w:r>
            </w:hyperlink>
          </w:p>
        </w:tc>
      </w:tr>
      <w:tr>
        <w:trPr>
          <w:cantSplit/>
        </w:trPr>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5">
              <w:r>
                <w:rPr>
                  <w:color w:val="2E75B6"/>
                  <w:u w:val="single"/>
                  <w:rFonts w:ascii="Arial" w:hAnsi="Arial"/>
                  <w:sz w:val="15"/>
                </w:rPr>
                <w:t>Health Canada: Non-IVD device classification</w:t>
              </w:r>
            </w:hyperlink>
          </w:p>
        </w:tc>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6">
              <w:r>
                <w:rPr>
                  <w:color w:val="2E75B6"/>
                  <w:u w:val="single"/>
                  <w:rFonts w:ascii="Arial" w:hAnsi="Arial"/>
                  <w:sz w:val="15"/>
                </w:rPr>
                <w:t>Health Canada: Medical-device establishment licensing</w:t>
              </w:r>
            </w:hyperlink>
          </w:p>
        </w:tc>
      </w:tr>
      <w:tr>
        <w:trPr>
          <w:cantSplit/>
        </w:trPr>
        <w:tc>
          <w:tcPr>
            <w:tcW w:type="dxa" w:w="4968"/>
            <w:tcMar>
              <w:top w:w="15" w:type="dxa"/>
              <w:start w:w="20" w:type="dxa"/>
              <w:bottom w:w="15" w:type="dxa"/>
              <w:end w:w="20" w:type="dxa"/>
            </w:tcMar>
          </w:tcPr>
          <w:p>
            <w:pPr>
              <w:spacing w:after="0" w:line="240" w:lineRule="auto"/>
            </w:pPr>
            <w:r>
              <w:rPr>
                <w:rFonts w:ascii="Arial" w:hAnsi="Arial"/>
                <w:b w:val="0"/>
                <w:i w:val="0"/>
                <w:color w:val="1F2933"/>
                <w:sz w:val="15"/>
              </w:rPr>
              <w:t xml:space="preserve">• </w:t>
            </w:r>
            <w:hyperlink r:id="rId17">
              <w:r>
                <w:rPr>
                  <w:color w:val="2E75B6"/>
                  <w:u w:val="single"/>
                  <w:rFonts w:ascii="Arial" w:hAnsi="Arial"/>
                  <w:sz w:val="15"/>
                </w:rPr>
                <w:t>PMDA: Medical-device approval and certification</w:t>
              </w:r>
            </w:hyperlink>
          </w:p>
        </w:tc>
        <w:tc>
          <w:tcPr>
            <w:tcW w:type="dxa" w:w="4968"/>
            <w:tcMar>
              <w:top w:w="15" w:type="dxa"/>
              <w:start w:w="20" w:type="dxa"/>
              <w:bottom w:w="15" w:type="dxa"/>
              <w:end w:w="20" w:type="dxa"/>
            </w:tcMar>
          </w:tcPr>
          <w:p>
            <w:pPr>
              <w:spacing w:after="0" w:line="240" w:lineRule="auto"/>
            </w:pPr>
          </w:p>
        </w:tc>
      </w:tr>
    </w:tbl>
    <w:sectPr w:rsidR="00FC693F" w:rsidRPr="0006063C" w:rsidSect="00034616">
      <w:headerReference w:type="default" r:id="rId9"/>
      <w:footerReference w:type="default" r:id="rId10"/>
      <w:pgSz w:w="12240" w:h="15840"/>
      <w:pgMar w:top="936" w:right="1037" w:bottom="936"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5040"/>
      <w:gridCol w:w="5040"/>
    </w:tblGrid>
    <w:tr>
      <w:tc>
        <w:tcPr>
          <w:tcW w:type="dxa" w:w="8208"/>
          <w:tcMar>
            <w:top w:w="0" w:type="dxa"/>
            <w:start w:w="0" w:type="dxa"/>
            <w:bottom w:w="0" w:type="dxa"/>
            <w:end w:w="0" w:type="dxa"/>
          </w:tcMar>
        </w:tcPr>
        <w:p>
          <w:pPr>
            <w:jc w:val="left"/>
          </w:pPr>
          <w:r>
            <w:rPr>
              <w:rFonts w:ascii="Arial" w:hAnsi="Arial"/>
              <w:b w:val="0"/>
              <w:i w:val="0"/>
              <w:color w:val="667085"/>
              <w:sz w:val="15"/>
            </w:rPr>
            <w:t>Confidential Draft for Discussion - EndoSpool Statement of Work</w:t>
          </w:r>
        </w:p>
      </w:tc>
      <w:tc>
        <w:tcPr>
          <w:tcW w:type="dxa" w:w="1872"/>
          <w:tcMar>
            <w:top w:w="0" w:type="dxa"/>
            <w:start w:w="0" w:type="dxa"/>
            <w:bottom w:w="0" w:type="dxa"/>
            <w:end w:w="0" w:type="dxa"/>
          </w:tcMar>
        </w:tcPr>
        <w:p>
          <w:pPr>
            <w:jc w:val="right"/>
          </w:pPr>
          <w:r>
            <w:rPr>
              <w:rFonts w:ascii="Arial" w:hAnsi="Arial"/>
              <w:b w:val="0"/>
              <w:i w:val="0"/>
              <w:color w:val="667085"/>
              <w:sz w:val="16"/>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2F8F83"/>
      </w:pBdr>
    </w:pPr>
    <w:r>
      <w:rPr>
        <w:rFonts w:ascii="Arial" w:hAnsi="Arial"/>
        <w:b/>
        <w:i w:val="0"/>
        <w:color w:val="17324D"/>
        <w:sz w:val="16"/>
      </w:rPr>
      <w:t>1099Reps.com  |  Commercialization Architecture Practice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rial" w:hAnsi="Arial"/>
      <w:color w:val="1F29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20"/>
      <w:outlineLvl w:val="0"/>
    </w:pPr>
    <w:rPr>
      <w:rFonts w:asciiTheme="majorHAnsi" w:eastAsiaTheme="majorEastAsia" w:hAnsiTheme="majorHAnsi" w:cstheme="majorBidi" w:ascii="Arial" w:hAnsi="Arial"/>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2E75B6"/>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b/>
      <w:bCs/>
      <w:color w:val="2F8F8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7324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20"/>
    </w:pPr>
    <w:rPr>
      <w:rFonts w:asciiTheme="majorHAnsi" w:eastAsiaTheme="majorEastAsia" w:hAnsiTheme="majorHAnsi" w:cstheme="majorBidi" w:ascii="Arial" w:hAnsi="Arial"/>
      <w:b/>
      <w:i/>
      <w:iCs/>
      <w:color w:val="2F8F83"/>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rial" w:hAnsi="Arial"/>
      <w:color w:val="667085"/>
      <w:sz w:val="16"/>
    </w:rPr>
  </w:style>
  <w:style w:type="paragraph" w:customStyle="1" w:styleId="Callout">
    <w:name w:val="Callout"/>
    <w:pPr>
      <w:spacing w:after="0"/>
    </w:pPr>
    <w:rPr>
      <w:rFonts w:ascii="Arial" w:hAnsi="Arial"/>
      <w:b/>
      <w:color w:val="17324D"/>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fda.gov/medical-devices/classify-your-medical-device/class-i-and-class-ii-device-exemptions" TargetMode="External"/><Relationship Id="rId12" Type="http://schemas.openxmlformats.org/officeDocument/2006/relationships/hyperlink" Target="https://www.fda.gov/medical-devices/postmarket-requirements-devices/quality-management-system-regulation-qmsr" TargetMode="External"/><Relationship Id="rId13" Type="http://schemas.openxmlformats.org/officeDocument/2006/relationships/hyperlink" Target="https://eur-lex.europa.eu/legal-content/EN/TXT/PDF/?uri=CELEX:32017R0745" TargetMode="External"/><Relationship Id="rId14" Type="http://schemas.openxmlformats.org/officeDocument/2006/relationships/hyperlink" Target="https://www.gov.uk/guidance/regulating-medical-devices-in-the-uk" TargetMode="External"/><Relationship Id="rId15" Type="http://schemas.openxmlformats.org/officeDocument/2006/relationships/hyperlink" Target="https://www.canada.ca/en/health-canada/services/drugs-health-products/medical-devices/application-information/guidance-documents/guidance-document-guidance-risk-based-classification-system-non-vitro-diagnostic.html" TargetMode="External"/><Relationship Id="rId16" Type="http://schemas.openxmlformats.org/officeDocument/2006/relationships/hyperlink" Target="https://www.canada.ca/en/health-canada/services/drugs-health-products/compliance-enforcement/establishment-licences/directives-guidance-documents-policies/dec-guidance-medical-device-establishment-licensing-0016.html" TargetMode="External"/><Relationship Id="rId17" Type="http://schemas.openxmlformats.org/officeDocument/2006/relationships/hyperlink" Target="https://www.pmda.go.jp/english/review-services/reviews/00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EndoSpool Commercialization Preparedness, Market Entry &amp; Channel Development SOW</dc:title>
  <dc:subject>Client-facing statement of work from 1099Reps.com to EndoSpool</dc:subject>
  <dc:creator>1099Reps.com Commercialization Architecture Practice</dc:creator>
  <cp:keywords>EndoSpool, commercialization, SOW, distribution, OUS, salesforce, market entry</cp:keywords>
  <dc:description>generated by python-docx</dc:description>
  <cp:lastModifiedBy/>
  <cp:revision>1</cp:revision>
  <dcterms:created xsi:type="dcterms:W3CDTF">2013-12-23T23:15:00Z</dcterms:created>
  <dcterms:modified xsi:type="dcterms:W3CDTF">2013-12-23T23:15:00Z</dcterms:modified>
  <cp:category/>
</cp:coreProperties>
</file>