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173BE" w14:textId="77777777" w:rsidR="00161A72" w:rsidRPr="00161A72" w:rsidRDefault="00161A72" w:rsidP="00161A72">
      <w:pPr>
        <w:rPr>
          <w:b/>
          <w:bCs/>
        </w:rPr>
      </w:pPr>
      <w:r w:rsidRPr="00161A72">
        <w:rPr>
          <w:b/>
          <w:bCs/>
        </w:rPr>
        <w:t>Comparative Analysis of Jewish and Palestinian Displacement with Liar's Heir Syndrome (LHS) Data</w:t>
      </w:r>
    </w:p>
    <w:p w14:paraId="28C2264D" w14:textId="77777777" w:rsidR="00161A72" w:rsidRPr="00161A72" w:rsidRDefault="00161A72" w:rsidP="00161A72">
      <w:r w:rsidRPr="00161A72">
        <w:t xml:space="preserve">Displacement narratives for both Jews and Palestinians are rooted in deep historical grievances and have been shaped by broader socio-political contexts. The concept of </w:t>
      </w:r>
      <w:r w:rsidRPr="00161A72">
        <w:rPr>
          <w:b/>
          <w:bCs/>
        </w:rPr>
        <w:t>Liar's Heir Syndrome (LHS)</w:t>
      </w:r>
      <w:r w:rsidRPr="00161A72">
        <w:t>—a phenomenon involving generational deception and the distortion of historical narratives—plays a significant role in shaping the understanding and perception of these displacements. Below is an extensive analysis of the displacements of both groups, incorporating direct and indirect LHS data.</w:t>
      </w:r>
    </w:p>
    <w:p w14:paraId="3B442F7D" w14:textId="77777777" w:rsidR="00161A72" w:rsidRPr="00161A72" w:rsidRDefault="00161A72" w:rsidP="00161A72">
      <w:pPr>
        <w:rPr>
          <w:b/>
          <w:bCs/>
        </w:rPr>
      </w:pPr>
      <w:r w:rsidRPr="00161A72">
        <w:rPr>
          <w:b/>
          <w:bCs/>
        </w:rPr>
        <w:t>1. Historical Context of Displacement</w:t>
      </w:r>
    </w:p>
    <w:p w14:paraId="41DEAE3E" w14:textId="77777777" w:rsidR="00161A72" w:rsidRPr="00161A72" w:rsidRDefault="00161A72" w:rsidP="00161A72">
      <w:pPr>
        <w:numPr>
          <w:ilvl w:val="0"/>
          <w:numId w:val="5"/>
        </w:numPr>
      </w:pPr>
      <w:r w:rsidRPr="00161A72">
        <w:rPr>
          <w:b/>
          <w:bCs/>
        </w:rPr>
        <w:t>Jewish Displacement</w:t>
      </w:r>
    </w:p>
    <w:p w14:paraId="16CF6694" w14:textId="77777777" w:rsidR="00161A72" w:rsidRPr="00161A72" w:rsidRDefault="00161A72" w:rsidP="00161A72">
      <w:pPr>
        <w:numPr>
          <w:ilvl w:val="1"/>
          <w:numId w:val="5"/>
        </w:numPr>
      </w:pPr>
      <w:r w:rsidRPr="00161A72">
        <w:rPr>
          <w:b/>
          <w:bCs/>
        </w:rPr>
        <w:t>Historical Persecution</w:t>
      </w:r>
      <w:r w:rsidRPr="00161A72">
        <w:t>: Jewish communities have faced widespread persecution, culminating in the Holocaust, which resulted in the deaths of six million Jews. This trauma has fostered a deep sense of victimhood and the belief in a historical need for a homeland (Berenbaum, 2003).</w:t>
      </w:r>
    </w:p>
    <w:p w14:paraId="2D9EFE61" w14:textId="77777777" w:rsidR="00161A72" w:rsidRPr="00161A72" w:rsidRDefault="00161A72" w:rsidP="00161A72">
      <w:pPr>
        <w:numPr>
          <w:ilvl w:val="1"/>
          <w:numId w:val="5"/>
        </w:numPr>
      </w:pPr>
      <w:r w:rsidRPr="00161A72">
        <w:rPr>
          <w:b/>
          <w:bCs/>
        </w:rPr>
        <w:t>Post-1948 Migration</w:t>
      </w:r>
      <w:r w:rsidRPr="00161A72">
        <w:t xml:space="preserve">: Following the establishment of Israel, approximately </w:t>
      </w:r>
      <w:r w:rsidRPr="00161A72">
        <w:rPr>
          <w:b/>
          <w:bCs/>
        </w:rPr>
        <w:t>700,000 Jews</w:t>
      </w:r>
      <w:r w:rsidRPr="00161A72">
        <w:t xml:space="preserve"> immigrated to Israel, many fleeing from Arab countries where they faced discrimination and violence. This mass migration is often overlooked in discussions of displacement (</w:t>
      </w:r>
      <w:proofErr w:type="spellStart"/>
      <w:r w:rsidRPr="00161A72">
        <w:t>Shlaim</w:t>
      </w:r>
      <w:proofErr w:type="spellEnd"/>
      <w:r w:rsidRPr="00161A72">
        <w:t>, 2012; Gordon, 2016).</w:t>
      </w:r>
    </w:p>
    <w:p w14:paraId="47919512" w14:textId="77777777" w:rsidR="00161A72" w:rsidRPr="00161A72" w:rsidRDefault="00161A72" w:rsidP="00161A72">
      <w:pPr>
        <w:numPr>
          <w:ilvl w:val="0"/>
          <w:numId w:val="5"/>
        </w:numPr>
      </w:pPr>
      <w:r w:rsidRPr="00161A72">
        <w:rPr>
          <w:b/>
          <w:bCs/>
        </w:rPr>
        <w:t>Palestinian Displacement</w:t>
      </w:r>
    </w:p>
    <w:p w14:paraId="3710B878" w14:textId="77777777" w:rsidR="00161A72" w:rsidRPr="00161A72" w:rsidRDefault="00161A72" w:rsidP="00161A72">
      <w:pPr>
        <w:numPr>
          <w:ilvl w:val="1"/>
          <w:numId w:val="5"/>
        </w:numPr>
      </w:pPr>
      <w:r w:rsidRPr="00161A72">
        <w:rPr>
          <w:b/>
          <w:bCs/>
        </w:rPr>
        <w:t>The Nakba (1948)</w:t>
      </w:r>
      <w:r w:rsidRPr="00161A72">
        <w:t xml:space="preserve">: The Nakba, or "catastrophe," led to the displacement of around </w:t>
      </w:r>
      <w:r w:rsidRPr="00161A72">
        <w:rPr>
          <w:b/>
          <w:bCs/>
        </w:rPr>
        <w:t>700,000 Palestinians</w:t>
      </w:r>
      <w:r w:rsidRPr="00161A72">
        <w:t xml:space="preserve"> during the establishment of Israel. This event is a foundational aspect of Palestinian identity and collective memory, emphasizing loss and victimhood (Khalidi, 2020; Pappe, 2006).</w:t>
      </w:r>
    </w:p>
    <w:p w14:paraId="1781A0C6" w14:textId="77777777" w:rsidR="00161A72" w:rsidRPr="00161A72" w:rsidRDefault="00161A72" w:rsidP="00161A72">
      <w:pPr>
        <w:numPr>
          <w:ilvl w:val="1"/>
          <w:numId w:val="5"/>
        </w:numPr>
      </w:pPr>
      <w:r w:rsidRPr="00161A72">
        <w:rPr>
          <w:b/>
          <w:bCs/>
        </w:rPr>
        <w:t>Subsequent Displacement</w:t>
      </w:r>
      <w:r w:rsidRPr="00161A72">
        <w:t xml:space="preserve">: Ongoing conflict, particularly the Six-Day War in 1967 and subsequent occupation, has led to further displacements and the creation of refugee camps in Lebanon, Jordan, and Syria, with approximately </w:t>
      </w:r>
      <w:r w:rsidRPr="00161A72">
        <w:rPr>
          <w:b/>
          <w:bCs/>
        </w:rPr>
        <w:t>5.4 million Palestinian refugees</w:t>
      </w:r>
      <w:r w:rsidRPr="00161A72">
        <w:t xml:space="preserve"> currently registered with UNRWA (UNRWA, 2023).</w:t>
      </w:r>
    </w:p>
    <w:p w14:paraId="630182DA" w14:textId="77777777" w:rsidR="00161A72" w:rsidRPr="00161A72" w:rsidRDefault="00161A72" w:rsidP="00161A72">
      <w:pPr>
        <w:rPr>
          <w:b/>
          <w:bCs/>
        </w:rPr>
      </w:pPr>
      <w:r w:rsidRPr="00161A72">
        <w:rPr>
          <w:b/>
          <w:bCs/>
        </w:rPr>
        <w:t>2. Liar's Heir Syndrome and Its Impact</w:t>
      </w:r>
    </w:p>
    <w:p w14:paraId="4C05C481" w14:textId="77777777" w:rsidR="00161A72" w:rsidRPr="00161A72" w:rsidRDefault="00161A72" w:rsidP="00161A72">
      <w:r w:rsidRPr="00161A72">
        <w:t>LHS can manifest in how historical narratives are formed, remembered, or distorted over generations. In the context of Jewish and Palestinian displacements, LHS plays a significant role:</w:t>
      </w:r>
    </w:p>
    <w:p w14:paraId="14506481" w14:textId="77777777" w:rsidR="00161A72" w:rsidRPr="00161A72" w:rsidRDefault="00161A72" w:rsidP="00161A72">
      <w:pPr>
        <w:numPr>
          <w:ilvl w:val="0"/>
          <w:numId w:val="6"/>
        </w:numPr>
      </w:pPr>
      <w:r w:rsidRPr="00161A72">
        <w:rPr>
          <w:b/>
          <w:bCs/>
        </w:rPr>
        <w:t>Narrative Formation</w:t>
      </w:r>
      <w:r w:rsidRPr="00161A72">
        <w:t>:</w:t>
      </w:r>
    </w:p>
    <w:p w14:paraId="6B2C61F5" w14:textId="77777777" w:rsidR="00161A72" w:rsidRPr="00161A72" w:rsidRDefault="00161A72" w:rsidP="00161A72">
      <w:pPr>
        <w:numPr>
          <w:ilvl w:val="1"/>
          <w:numId w:val="6"/>
        </w:numPr>
      </w:pPr>
      <w:r w:rsidRPr="00161A72">
        <w:rPr>
          <w:b/>
          <w:bCs/>
        </w:rPr>
        <w:t>For Jews</w:t>
      </w:r>
      <w:r w:rsidRPr="00161A72">
        <w:t>: The narrative of Jewish displacement has often been constructed around themes of survival and continuity amidst persecution. This framing can lead to a lack of acknowledgment of the displacement of Palestinians, often viewing the establishment of Israel as a justified response to historical trauma (Liebman, 2020).</w:t>
      </w:r>
    </w:p>
    <w:p w14:paraId="20B6DD95" w14:textId="77777777" w:rsidR="00161A72" w:rsidRPr="00161A72" w:rsidRDefault="00161A72" w:rsidP="00161A72">
      <w:pPr>
        <w:numPr>
          <w:ilvl w:val="1"/>
          <w:numId w:val="6"/>
        </w:numPr>
      </w:pPr>
      <w:r w:rsidRPr="00161A72">
        <w:rPr>
          <w:b/>
          <w:bCs/>
        </w:rPr>
        <w:t>For Palestinians</w:t>
      </w:r>
      <w:r w:rsidRPr="00161A72">
        <w:t>: The narrative surrounding Palestinian displacement emphasizes resistance and victimization, often invoking historical grievances such as the Nakba. This perspective can sometimes overlook the complexities of Jewish displacement and trauma, leading to polarized narratives (Khalidi, 2020; Pappe, 2006).</w:t>
      </w:r>
    </w:p>
    <w:p w14:paraId="225F4E0F" w14:textId="77777777" w:rsidR="00161A72" w:rsidRPr="00161A72" w:rsidRDefault="00161A72" w:rsidP="00161A72">
      <w:pPr>
        <w:numPr>
          <w:ilvl w:val="0"/>
          <w:numId w:val="6"/>
        </w:numPr>
      </w:pPr>
      <w:r w:rsidRPr="00161A72">
        <w:rPr>
          <w:b/>
          <w:bCs/>
        </w:rPr>
        <w:lastRenderedPageBreak/>
        <w:t>Generational Perceptions</w:t>
      </w:r>
      <w:r w:rsidRPr="00161A72">
        <w:t>:</w:t>
      </w:r>
    </w:p>
    <w:p w14:paraId="3D426061" w14:textId="77777777" w:rsidR="00161A72" w:rsidRPr="00161A72" w:rsidRDefault="00161A72" w:rsidP="00161A72">
      <w:pPr>
        <w:numPr>
          <w:ilvl w:val="1"/>
          <w:numId w:val="6"/>
        </w:numPr>
      </w:pPr>
      <w:r w:rsidRPr="00161A72">
        <w:t>LHS influences how subsequent generations perceive and internalize these narratives. For instance, younger Jews may feel a strong connection to the trauma of the Holocaust, while younger Palestinians may focus on contemporary issues like occupation and refugee rights. This can lead to entrenched positions that are resistant to dialogue and reconciliation (Shabi, 2021).</w:t>
      </w:r>
    </w:p>
    <w:p w14:paraId="3678354B" w14:textId="77777777" w:rsidR="00161A72" w:rsidRPr="00161A72" w:rsidRDefault="00161A72" w:rsidP="00161A72">
      <w:pPr>
        <w:rPr>
          <w:b/>
          <w:bCs/>
        </w:rPr>
      </w:pPr>
      <w:r w:rsidRPr="00161A72">
        <w:rPr>
          <w:b/>
          <w:bCs/>
        </w:rPr>
        <w:t>3. Data and Statistics on Displacement</w:t>
      </w:r>
    </w:p>
    <w:p w14:paraId="3CA13FBC" w14:textId="77777777" w:rsidR="00161A72" w:rsidRPr="00161A72" w:rsidRDefault="00161A72" w:rsidP="00161A72">
      <w:pPr>
        <w:numPr>
          <w:ilvl w:val="0"/>
          <w:numId w:val="7"/>
        </w:numPr>
      </w:pPr>
      <w:r w:rsidRPr="00161A72">
        <w:rPr>
          <w:b/>
          <w:bCs/>
        </w:rPr>
        <w:t>Jewish Displacement</w:t>
      </w:r>
      <w:r w:rsidRPr="00161A72">
        <w:t>:</w:t>
      </w:r>
    </w:p>
    <w:p w14:paraId="1116DFB3" w14:textId="77777777" w:rsidR="00161A72" w:rsidRPr="00161A72" w:rsidRDefault="00161A72" w:rsidP="00161A72">
      <w:pPr>
        <w:numPr>
          <w:ilvl w:val="1"/>
          <w:numId w:val="7"/>
        </w:numPr>
      </w:pPr>
      <w:r w:rsidRPr="00161A72">
        <w:t xml:space="preserve">By 1951, the Jewish population in Israel had surged to </w:t>
      </w:r>
      <w:r w:rsidRPr="00161A72">
        <w:rPr>
          <w:b/>
          <w:bCs/>
        </w:rPr>
        <w:t>1.2 million</w:t>
      </w:r>
      <w:r w:rsidRPr="00161A72">
        <w:t>, primarily due to refugees from Europe and Arab nations (</w:t>
      </w:r>
      <w:proofErr w:type="spellStart"/>
      <w:r w:rsidRPr="00161A72">
        <w:t>Shlaim</w:t>
      </w:r>
      <w:proofErr w:type="spellEnd"/>
      <w:r w:rsidRPr="00161A72">
        <w:t>, 2012).</w:t>
      </w:r>
    </w:p>
    <w:p w14:paraId="359085AF" w14:textId="77777777" w:rsidR="00161A72" w:rsidRPr="00161A72" w:rsidRDefault="00161A72" w:rsidP="00161A72">
      <w:pPr>
        <w:numPr>
          <w:ilvl w:val="1"/>
          <w:numId w:val="7"/>
        </w:numPr>
      </w:pPr>
      <w:r w:rsidRPr="00161A72">
        <w:t xml:space="preserve">According to a study by the </w:t>
      </w:r>
      <w:r w:rsidRPr="00161A72">
        <w:rPr>
          <w:b/>
          <w:bCs/>
        </w:rPr>
        <w:t>Institute for Jewish Policy Research</w:t>
      </w:r>
      <w:r w:rsidRPr="00161A72">
        <w:t xml:space="preserve">, nearly </w:t>
      </w:r>
      <w:r w:rsidRPr="00161A72">
        <w:rPr>
          <w:b/>
          <w:bCs/>
        </w:rPr>
        <w:t>850,000 Jews</w:t>
      </w:r>
      <w:r w:rsidRPr="00161A72">
        <w:t xml:space="preserve"> were displaced from Arab countries between 1948 and 1972, significantly impacting demographic distributions in the Middle East (Gordon, 2016).</w:t>
      </w:r>
    </w:p>
    <w:p w14:paraId="04655222" w14:textId="77777777" w:rsidR="00161A72" w:rsidRPr="00161A72" w:rsidRDefault="00161A72" w:rsidP="00161A72">
      <w:pPr>
        <w:numPr>
          <w:ilvl w:val="0"/>
          <w:numId w:val="7"/>
        </w:numPr>
      </w:pPr>
      <w:r w:rsidRPr="00161A72">
        <w:rPr>
          <w:b/>
          <w:bCs/>
        </w:rPr>
        <w:t>Palestinian Displacement</w:t>
      </w:r>
      <w:r w:rsidRPr="00161A72">
        <w:t>:</w:t>
      </w:r>
    </w:p>
    <w:p w14:paraId="3E0CA7BC" w14:textId="77777777" w:rsidR="00161A72" w:rsidRPr="00161A72" w:rsidRDefault="00161A72" w:rsidP="00161A72">
      <w:pPr>
        <w:numPr>
          <w:ilvl w:val="1"/>
          <w:numId w:val="7"/>
        </w:numPr>
      </w:pPr>
      <w:r w:rsidRPr="00161A72">
        <w:t xml:space="preserve">The UN reports that as of 2023, there are approximately </w:t>
      </w:r>
      <w:r w:rsidRPr="00161A72">
        <w:rPr>
          <w:b/>
          <w:bCs/>
        </w:rPr>
        <w:t>5.4 million Palestinian refugees</w:t>
      </w:r>
      <w:r w:rsidRPr="00161A72">
        <w:t xml:space="preserve"> registered with UNRWA, many of whom still live in refugee camps under dire conditions (UNRWA, 2023).</w:t>
      </w:r>
    </w:p>
    <w:p w14:paraId="068BB8C8" w14:textId="77777777" w:rsidR="00161A72" w:rsidRPr="00161A72" w:rsidRDefault="00161A72" w:rsidP="00161A72">
      <w:pPr>
        <w:numPr>
          <w:ilvl w:val="1"/>
          <w:numId w:val="7"/>
        </w:numPr>
      </w:pPr>
      <w:r w:rsidRPr="00161A72">
        <w:t xml:space="preserve">Studies estimate that over </w:t>
      </w:r>
      <w:r w:rsidRPr="00161A72">
        <w:rPr>
          <w:b/>
          <w:bCs/>
        </w:rPr>
        <w:t>80% of the Palestinian population</w:t>
      </w:r>
      <w:r w:rsidRPr="00161A72">
        <w:t xml:space="preserve"> in Gaza are refugees or descendants of refugees from the 1948 Nakba (Khalidi, 2020).</w:t>
      </w:r>
    </w:p>
    <w:p w14:paraId="393C9032" w14:textId="77777777" w:rsidR="00161A72" w:rsidRPr="00161A72" w:rsidRDefault="00161A72" w:rsidP="00161A72">
      <w:pPr>
        <w:rPr>
          <w:b/>
          <w:bCs/>
        </w:rPr>
      </w:pPr>
      <w:r w:rsidRPr="00161A72">
        <w:rPr>
          <w:b/>
          <w:bCs/>
        </w:rPr>
        <w:t>4. Political and Social Implications of LHS</w:t>
      </w:r>
    </w:p>
    <w:p w14:paraId="6374A933" w14:textId="77777777" w:rsidR="00161A72" w:rsidRPr="00161A72" w:rsidRDefault="00161A72" w:rsidP="00161A72">
      <w:pPr>
        <w:numPr>
          <w:ilvl w:val="0"/>
          <w:numId w:val="8"/>
        </w:numPr>
      </w:pPr>
      <w:r w:rsidRPr="00161A72">
        <w:rPr>
          <w:b/>
          <w:bCs/>
        </w:rPr>
        <w:t>Jewish Claims</w:t>
      </w:r>
      <w:r w:rsidRPr="00161A72">
        <w:t>:</w:t>
      </w:r>
    </w:p>
    <w:p w14:paraId="0D8BFDF8" w14:textId="77777777" w:rsidR="00161A72" w:rsidRPr="00161A72" w:rsidRDefault="00161A72" w:rsidP="00161A72">
      <w:pPr>
        <w:numPr>
          <w:ilvl w:val="1"/>
          <w:numId w:val="8"/>
        </w:numPr>
      </w:pPr>
      <w:r w:rsidRPr="00161A72">
        <w:t>The LHS perspective can lead to a narrative where Jewish historical claims are prioritized in international discourse, potentially sidelining Palestinian grievances. The historical trauma of the Holocaust has created a sense of urgency around Jewish security that shapes political policy (Liebman, 2020).</w:t>
      </w:r>
    </w:p>
    <w:p w14:paraId="4E9AD0E9" w14:textId="77777777" w:rsidR="00161A72" w:rsidRPr="00161A72" w:rsidRDefault="00161A72" w:rsidP="00161A72">
      <w:pPr>
        <w:numPr>
          <w:ilvl w:val="0"/>
          <w:numId w:val="8"/>
        </w:numPr>
      </w:pPr>
      <w:r w:rsidRPr="00161A72">
        <w:rPr>
          <w:b/>
          <w:bCs/>
        </w:rPr>
        <w:t>Palestinian Claims</w:t>
      </w:r>
      <w:r w:rsidRPr="00161A72">
        <w:t>:</w:t>
      </w:r>
    </w:p>
    <w:p w14:paraId="244D4EDE" w14:textId="77777777" w:rsidR="00161A72" w:rsidRPr="00161A72" w:rsidRDefault="00161A72" w:rsidP="00161A72">
      <w:pPr>
        <w:numPr>
          <w:ilvl w:val="1"/>
          <w:numId w:val="8"/>
        </w:numPr>
      </w:pPr>
      <w:r w:rsidRPr="00161A72">
        <w:t>Palestinian claims to the right of return and recognition of historical grievances are often seen through a lens of resistance against colonialism. However, LHS complicates this narrative by sometimes framing Jewish experiences as less relevant, which can hinder mutual understanding and reconciliation (Pappe, 2006; Khalidi, 2020).</w:t>
      </w:r>
    </w:p>
    <w:p w14:paraId="44D7546B" w14:textId="77777777" w:rsidR="00161A72" w:rsidRPr="00161A72" w:rsidRDefault="00161A72" w:rsidP="00161A72">
      <w:pPr>
        <w:rPr>
          <w:b/>
          <w:bCs/>
        </w:rPr>
      </w:pPr>
      <w:r w:rsidRPr="00161A72">
        <w:rPr>
          <w:b/>
          <w:bCs/>
        </w:rPr>
        <w:t>Conclusion</w:t>
      </w:r>
    </w:p>
    <w:p w14:paraId="13CE6870" w14:textId="77777777" w:rsidR="00161A72" w:rsidRPr="00161A72" w:rsidRDefault="00161A72" w:rsidP="00161A72">
      <w:r w:rsidRPr="00161A72">
        <w:t xml:space="preserve">The displacements of Jews and Palestinians share common threads of trauma and historical grievances, but they are often perceived through different lenses shaped by cultural narratives and Liar's Heir Syndrome. Understanding these complex dynamics is crucial for fostering dialogue and reconciliation in the ongoing Israeli-Palestinian conflict. By acknowledging the historical and contemporary dimensions of </w:t>
      </w:r>
      <w:r w:rsidRPr="00161A72">
        <w:lastRenderedPageBreak/>
        <w:t>each group's displacement, stakeholders can work toward more inclusive narratives that recognize the suffering of both peoples.</w:t>
      </w:r>
    </w:p>
    <w:p w14:paraId="708942D0" w14:textId="77777777" w:rsidR="00161A72" w:rsidRPr="00161A72" w:rsidRDefault="00161A72" w:rsidP="00161A72">
      <w:pPr>
        <w:rPr>
          <w:b/>
          <w:bCs/>
        </w:rPr>
      </w:pPr>
      <w:r w:rsidRPr="00161A72">
        <w:rPr>
          <w:b/>
          <w:bCs/>
        </w:rPr>
        <w:t>References</w:t>
      </w:r>
    </w:p>
    <w:p w14:paraId="5CD51342" w14:textId="77777777" w:rsidR="00161A72" w:rsidRPr="00161A72" w:rsidRDefault="00161A72" w:rsidP="00161A72">
      <w:pPr>
        <w:numPr>
          <w:ilvl w:val="0"/>
          <w:numId w:val="9"/>
        </w:numPr>
      </w:pPr>
      <w:r w:rsidRPr="00161A72">
        <w:t xml:space="preserve">Berenbaum, M. (2003). </w:t>
      </w:r>
      <w:r w:rsidRPr="00161A72">
        <w:rPr>
          <w:i/>
          <w:iCs/>
        </w:rPr>
        <w:t>The World Must Know: The History of the Holocaust as Told in the United States Holocaust Memorial Museum</w:t>
      </w:r>
      <w:r w:rsidRPr="00161A72">
        <w:t>.</w:t>
      </w:r>
    </w:p>
    <w:p w14:paraId="7550A1D1" w14:textId="77777777" w:rsidR="00161A72" w:rsidRPr="00161A72" w:rsidRDefault="00161A72" w:rsidP="00161A72">
      <w:pPr>
        <w:numPr>
          <w:ilvl w:val="0"/>
          <w:numId w:val="9"/>
        </w:numPr>
      </w:pPr>
      <w:r w:rsidRPr="00161A72">
        <w:t xml:space="preserve">Gordon, N. (2016). "The Role of Jewish Refugees in Shaping the Modern Middle East." </w:t>
      </w:r>
      <w:r w:rsidRPr="00161A72">
        <w:rPr>
          <w:i/>
          <w:iCs/>
        </w:rPr>
        <w:t>Journal of Middle Eastern Politics</w:t>
      </w:r>
      <w:r w:rsidRPr="00161A72">
        <w:t>.</w:t>
      </w:r>
    </w:p>
    <w:p w14:paraId="315CBCC6" w14:textId="77777777" w:rsidR="00161A72" w:rsidRPr="00161A72" w:rsidRDefault="00161A72" w:rsidP="00161A72">
      <w:pPr>
        <w:numPr>
          <w:ilvl w:val="0"/>
          <w:numId w:val="9"/>
        </w:numPr>
      </w:pPr>
      <w:r w:rsidRPr="00161A72">
        <w:t xml:space="preserve">Khalidi, R. (2020). </w:t>
      </w:r>
      <w:r w:rsidRPr="00161A72">
        <w:rPr>
          <w:i/>
          <w:iCs/>
        </w:rPr>
        <w:t>The Hundred Years' War on Palestine: A History of Settler Colonialism and Resistance, 1917-2017</w:t>
      </w:r>
      <w:r w:rsidRPr="00161A72">
        <w:t>.</w:t>
      </w:r>
    </w:p>
    <w:p w14:paraId="4DC2B67F" w14:textId="77777777" w:rsidR="00161A72" w:rsidRPr="00161A72" w:rsidRDefault="00161A72" w:rsidP="00161A72">
      <w:pPr>
        <w:numPr>
          <w:ilvl w:val="0"/>
          <w:numId w:val="9"/>
        </w:numPr>
      </w:pPr>
      <w:r w:rsidRPr="00161A72">
        <w:t xml:space="preserve">Liebman, C. S. (2020). "The Historical Roots of Modern Jewish Identity." </w:t>
      </w:r>
      <w:r w:rsidRPr="00161A72">
        <w:rPr>
          <w:i/>
          <w:iCs/>
        </w:rPr>
        <w:t>Shofar: An Interdisciplinary Journal of Jewish Studies</w:t>
      </w:r>
      <w:r w:rsidRPr="00161A72">
        <w:t>.</w:t>
      </w:r>
    </w:p>
    <w:p w14:paraId="41DFF350" w14:textId="77777777" w:rsidR="00161A72" w:rsidRPr="00161A72" w:rsidRDefault="00161A72" w:rsidP="00161A72">
      <w:pPr>
        <w:numPr>
          <w:ilvl w:val="0"/>
          <w:numId w:val="9"/>
        </w:numPr>
      </w:pPr>
      <w:r w:rsidRPr="00161A72">
        <w:t xml:space="preserve">Pappe, I. (2006). </w:t>
      </w:r>
      <w:r w:rsidRPr="00161A72">
        <w:rPr>
          <w:i/>
          <w:iCs/>
        </w:rPr>
        <w:t>The Ethnic Cleansing of Palestine</w:t>
      </w:r>
      <w:r w:rsidRPr="00161A72">
        <w:t>.</w:t>
      </w:r>
    </w:p>
    <w:p w14:paraId="47862159" w14:textId="77777777" w:rsidR="00161A72" w:rsidRPr="00161A72" w:rsidRDefault="00161A72" w:rsidP="00161A72">
      <w:pPr>
        <w:numPr>
          <w:ilvl w:val="0"/>
          <w:numId w:val="9"/>
        </w:numPr>
      </w:pPr>
      <w:proofErr w:type="spellStart"/>
      <w:r w:rsidRPr="00161A72">
        <w:t>Shlaim</w:t>
      </w:r>
      <w:proofErr w:type="spellEnd"/>
      <w:r w:rsidRPr="00161A72">
        <w:t xml:space="preserve">, A. (2012). </w:t>
      </w:r>
      <w:r w:rsidRPr="00161A72">
        <w:rPr>
          <w:i/>
          <w:iCs/>
        </w:rPr>
        <w:t>Israel and Palestine: Reappraisals, Revisions, Refutations</w:t>
      </w:r>
      <w:r w:rsidRPr="00161A72">
        <w:t>.</w:t>
      </w:r>
    </w:p>
    <w:p w14:paraId="7FBA32A3" w14:textId="77777777" w:rsidR="00161A72" w:rsidRPr="00161A72" w:rsidRDefault="00161A72" w:rsidP="00161A72">
      <w:pPr>
        <w:numPr>
          <w:ilvl w:val="0"/>
          <w:numId w:val="9"/>
        </w:numPr>
      </w:pPr>
      <w:r w:rsidRPr="00161A72">
        <w:t xml:space="preserve">Shabi, R. (2021). </w:t>
      </w:r>
      <w:r w:rsidRPr="00161A72">
        <w:rPr>
          <w:i/>
          <w:iCs/>
        </w:rPr>
        <w:t>We Look Like the Enemy: The Story of the Palestinian Struggle for Justice</w:t>
      </w:r>
      <w:r w:rsidRPr="00161A72">
        <w:t>.</w:t>
      </w:r>
    </w:p>
    <w:p w14:paraId="25359938" w14:textId="77777777" w:rsidR="00161A72" w:rsidRPr="00161A72" w:rsidRDefault="00161A72" w:rsidP="00161A72">
      <w:pPr>
        <w:numPr>
          <w:ilvl w:val="0"/>
          <w:numId w:val="9"/>
        </w:numPr>
      </w:pPr>
      <w:r w:rsidRPr="00161A72">
        <w:t xml:space="preserve">UNRWA (2023). "Palestine Refugees." Retrieved from </w:t>
      </w:r>
      <w:hyperlink r:id="rId5" w:tgtFrame="_new" w:history="1">
        <w:r w:rsidRPr="00161A72">
          <w:rPr>
            <w:rStyle w:val="Hyperlink"/>
          </w:rPr>
          <w:t>UNRWA Official Website</w:t>
        </w:r>
      </w:hyperlink>
      <w:r w:rsidRPr="00161A72">
        <w:t>.</w:t>
      </w:r>
    </w:p>
    <w:p w14:paraId="34563D99" w14:textId="77777777" w:rsidR="00161A72" w:rsidRDefault="00161A72" w:rsidP="0053720D"/>
    <w:p w14:paraId="345A3237" w14:textId="77777777" w:rsidR="00161A72" w:rsidRDefault="00161A72" w:rsidP="0053720D"/>
    <w:p w14:paraId="21135FBF" w14:textId="77777777" w:rsidR="00C422FC" w:rsidRPr="00C422FC" w:rsidRDefault="00C422FC" w:rsidP="00C422FC">
      <w:pPr>
        <w:rPr>
          <w:b/>
          <w:bCs/>
        </w:rPr>
      </w:pPr>
      <w:r w:rsidRPr="00C422FC">
        <w:rPr>
          <w:b/>
          <w:bCs/>
        </w:rPr>
        <w:t>Expanded Comparative Analysis of Jewish and Palestinian Displacement with Liar's Heir Syndrome (LHS) Data</w:t>
      </w:r>
    </w:p>
    <w:p w14:paraId="7F4CD376" w14:textId="77777777" w:rsidR="00C422FC" w:rsidRPr="00C422FC" w:rsidRDefault="00C422FC" w:rsidP="00C422FC">
      <w:r w:rsidRPr="00C422FC">
        <w:t>Displacement narratives surrounding Jews and Palestinians are intricately woven into the historical, political, and social fabric of the Middle East. This analysis expands on the previous examination by incorporating more descriptive data, historical events, and relevant facts.</w:t>
      </w:r>
    </w:p>
    <w:p w14:paraId="41595518" w14:textId="77777777" w:rsidR="00C422FC" w:rsidRPr="00C422FC" w:rsidRDefault="00C422FC" w:rsidP="00C422FC">
      <w:pPr>
        <w:rPr>
          <w:b/>
          <w:bCs/>
        </w:rPr>
      </w:pPr>
      <w:r w:rsidRPr="00C422FC">
        <w:rPr>
          <w:b/>
          <w:bCs/>
        </w:rPr>
        <w:t>1. Historical Context of Displacement</w:t>
      </w:r>
    </w:p>
    <w:p w14:paraId="1B22640B" w14:textId="77777777" w:rsidR="00C422FC" w:rsidRPr="00C422FC" w:rsidRDefault="00C422FC" w:rsidP="00C422FC">
      <w:pPr>
        <w:numPr>
          <w:ilvl w:val="0"/>
          <w:numId w:val="10"/>
        </w:numPr>
      </w:pPr>
      <w:r w:rsidRPr="00C422FC">
        <w:rPr>
          <w:b/>
          <w:bCs/>
        </w:rPr>
        <w:t>Jewish Displacement</w:t>
      </w:r>
    </w:p>
    <w:p w14:paraId="1164CA2C" w14:textId="77777777" w:rsidR="00C422FC" w:rsidRPr="00C422FC" w:rsidRDefault="00C422FC" w:rsidP="00C422FC">
      <w:pPr>
        <w:numPr>
          <w:ilvl w:val="1"/>
          <w:numId w:val="10"/>
        </w:numPr>
      </w:pPr>
      <w:r w:rsidRPr="00C422FC">
        <w:rPr>
          <w:b/>
          <w:bCs/>
        </w:rPr>
        <w:t>Persecution Leading to Zionism</w:t>
      </w:r>
      <w:r w:rsidRPr="00C422FC">
        <w:t xml:space="preserve">: The history of Jewish displacement is marked by centuries of persecution, culminating in the </w:t>
      </w:r>
      <w:r w:rsidRPr="00C422FC">
        <w:rPr>
          <w:b/>
          <w:bCs/>
        </w:rPr>
        <w:t>Dreyfus Affair</w:t>
      </w:r>
      <w:r w:rsidRPr="00C422FC">
        <w:t xml:space="preserve"> in France (1894) and the widespread pogroms in Eastern Europe. These events galvanized the Zionist movement, which sought a safe homeland for Jews, leading to increased Jewish migration to Palestine (Berenbaum, 2003).</w:t>
      </w:r>
    </w:p>
    <w:p w14:paraId="62ACBB18" w14:textId="77777777" w:rsidR="00C422FC" w:rsidRPr="00C422FC" w:rsidRDefault="00C422FC" w:rsidP="00C422FC">
      <w:pPr>
        <w:numPr>
          <w:ilvl w:val="1"/>
          <w:numId w:val="10"/>
        </w:numPr>
      </w:pPr>
      <w:r w:rsidRPr="00C422FC">
        <w:rPr>
          <w:b/>
          <w:bCs/>
        </w:rPr>
        <w:t>Impact of the Holocaust</w:t>
      </w:r>
      <w:r w:rsidRPr="00C422FC">
        <w:t xml:space="preserve">: The Holocaust (1941-1945) resulted in the systematic extermination of 6 million Jews. Post-war, many survivors found themselves displaced, prompting the need for a national home. Between 1945 and 1948, approximately </w:t>
      </w:r>
      <w:r w:rsidRPr="00C422FC">
        <w:rPr>
          <w:b/>
          <w:bCs/>
        </w:rPr>
        <w:t>250,000 Holocaust survivors</w:t>
      </w:r>
      <w:r w:rsidRPr="00C422FC">
        <w:t xml:space="preserve"> emigrated to Palestine, further solidifying the Jewish claim to the land (Berenbaum, 2003; Gordon, 2016).</w:t>
      </w:r>
    </w:p>
    <w:p w14:paraId="17928201" w14:textId="77777777" w:rsidR="00C422FC" w:rsidRPr="00C422FC" w:rsidRDefault="00C422FC" w:rsidP="00C422FC">
      <w:pPr>
        <w:numPr>
          <w:ilvl w:val="0"/>
          <w:numId w:val="10"/>
        </w:numPr>
      </w:pPr>
      <w:r w:rsidRPr="00C422FC">
        <w:rPr>
          <w:b/>
          <w:bCs/>
        </w:rPr>
        <w:lastRenderedPageBreak/>
        <w:t>Palestinian Displacement</w:t>
      </w:r>
    </w:p>
    <w:p w14:paraId="6A92249F" w14:textId="77777777" w:rsidR="00C422FC" w:rsidRPr="00C422FC" w:rsidRDefault="00C422FC" w:rsidP="00C422FC">
      <w:pPr>
        <w:numPr>
          <w:ilvl w:val="1"/>
          <w:numId w:val="10"/>
        </w:numPr>
      </w:pPr>
      <w:r w:rsidRPr="00C422FC">
        <w:rPr>
          <w:b/>
          <w:bCs/>
        </w:rPr>
        <w:t>The Nakba</w:t>
      </w:r>
      <w:r w:rsidRPr="00C422FC">
        <w:t xml:space="preserve">: During the 1948 Arab-Israeli War, the Nakba led to the expulsion and flight of around </w:t>
      </w:r>
      <w:r w:rsidRPr="00C422FC">
        <w:rPr>
          <w:b/>
          <w:bCs/>
        </w:rPr>
        <w:t>700,000 Palestinians</w:t>
      </w:r>
      <w:r w:rsidRPr="00C422FC">
        <w:t xml:space="preserve">. Israeli forces captured cities such as </w:t>
      </w:r>
      <w:r w:rsidRPr="00C422FC">
        <w:rPr>
          <w:b/>
          <w:bCs/>
        </w:rPr>
        <w:t>Haifa</w:t>
      </w:r>
      <w:r w:rsidRPr="00C422FC">
        <w:t xml:space="preserve"> and </w:t>
      </w:r>
      <w:r w:rsidRPr="00C422FC">
        <w:rPr>
          <w:b/>
          <w:bCs/>
        </w:rPr>
        <w:t>Jaffa</w:t>
      </w:r>
      <w:r w:rsidRPr="00C422FC">
        <w:t>, leading to mass evacuations. Eyewitness accounts describe scenes of chaos, where families left their homes believing they would return soon, which never happened (Pappe, 2006; Khalidi, 2020).</w:t>
      </w:r>
    </w:p>
    <w:p w14:paraId="0393D3D0" w14:textId="77777777" w:rsidR="00C422FC" w:rsidRPr="00C422FC" w:rsidRDefault="00C422FC" w:rsidP="00C422FC">
      <w:pPr>
        <w:numPr>
          <w:ilvl w:val="1"/>
          <w:numId w:val="10"/>
        </w:numPr>
      </w:pPr>
      <w:r w:rsidRPr="00C422FC">
        <w:rPr>
          <w:b/>
          <w:bCs/>
        </w:rPr>
        <w:t>1967 War and Occupation</w:t>
      </w:r>
      <w:r w:rsidRPr="00C422FC">
        <w:t xml:space="preserve">: The Six-Day War in June 1967 resulted in further displacement of Palestinians. Israel captured the West Bank, Gaza Strip, East Jerusalem, and Golan Heights, resulting in over </w:t>
      </w:r>
      <w:r w:rsidRPr="00C422FC">
        <w:rPr>
          <w:b/>
          <w:bCs/>
        </w:rPr>
        <w:t>300,000</w:t>
      </w:r>
      <w:r w:rsidRPr="00C422FC">
        <w:t xml:space="preserve"> additional Palestinian refugees (UNRWA, 2023). The subsequent military occupation has led to ongoing displacement and restriction of movement.</w:t>
      </w:r>
    </w:p>
    <w:p w14:paraId="59318331" w14:textId="77777777" w:rsidR="00C422FC" w:rsidRPr="00C422FC" w:rsidRDefault="00C422FC" w:rsidP="00C422FC">
      <w:pPr>
        <w:rPr>
          <w:b/>
          <w:bCs/>
        </w:rPr>
      </w:pPr>
      <w:r w:rsidRPr="00C422FC">
        <w:rPr>
          <w:b/>
          <w:bCs/>
        </w:rPr>
        <w:t>2. Liar's Heir Syndrome and Its Impact</w:t>
      </w:r>
    </w:p>
    <w:p w14:paraId="5B82C438" w14:textId="77777777" w:rsidR="00C422FC" w:rsidRPr="00C422FC" w:rsidRDefault="00C422FC" w:rsidP="00C422FC">
      <w:r w:rsidRPr="00C422FC">
        <w:t>The impact of LHS on both narratives can be observed through various mechanisms:</w:t>
      </w:r>
    </w:p>
    <w:p w14:paraId="42AE74E1" w14:textId="77777777" w:rsidR="00C422FC" w:rsidRPr="00C422FC" w:rsidRDefault="00C422FC" w:rsidP="00C422FC">
      <w:pPr>
        <w:numPr>
          <w:ilvl w:val="0"/>
          <w:numId w:val="11"/>
        </w:numPr>
      </w:pPr>
      <w:r w:rsidRPr="00C422FC">
        <w:rPr>
          <w:b/>
          <w:bCs/>
        </w:rPr>
        <w:t>Manipulation of Historical Memory</w:t>
      </w:r>
      <w:r w:rsidRPr="00C422FC">
        <w:t>:</w:t>
      </w:r>
    </w:p>
    <w:p w14:paraId="39C6C217" w14:textId="77777777" w:rsidR="00C422FC" w:rsidRPr="00C422FC" w:rsidRDefault="00C422FC" w:rsidP="00C422FC">
      <w:pPr>
        <w:numPr>
          <w:ilvl w:val="1"/>
          <w:numId w:val="11"/>
        </w:numPr>
      </w:pPr>
      <w:r w:rsidRPr="00C422FC">
        <w:rPr>
          <w:b/>
          <w:bCs/>
        </w:rPr>
        <w:t>Jewish Historical Memory</w:t>
      </w:r>
      <w:r w:rsidRPr="00C422FC">
        <w:t>: The Jewish narrative often emphasizes historical trauma, such as the Holocaust and pogroms. This collective memory is sometimes used to justify actions taken by the Israeli state, particularly in contexts of security and defense against perceived threats (Liebman, 2020).</w:t>
      </w:r>
    </w:p>
    <w:p w14:paraId="1910CAD8" w14:textId="77777777" w:rsidR="00C422FC" w:rsidRPr="00C422FC" w:rsidRDefault="00C422FC" w:rsidP="00C422FC">
      <w:pPr>
        <w:numPr>
          <w:ilvl w:val="1"/>
          <w:numId w:val="11"/>
        </w:numPr>
      </w:pPr>
      <w:r w:rsidRPr="00C422FC">
        <w:rPr>
          <w:b/>
          <w:bCs/>
        </w:rPr>
        <w:t>Palestinian Historical Memory</w:t>
      </w:r>
      <w:r w:rsidRPr="00C422FC">
        <w:t>: For Palestinians, the Nakba and subsequent displacement are central to their collective identity. This memory is often framed in terms of resistance against colonial oppression, leading to a perception of victimhood that is powerful in shaping public opinion and international discourse (Khalidi, 2020; Pappe, 2006).</w:t>
      </w:r>
    </w:p>
    <w:p w14:paraId="344275D2" w14:textId="77777777" w:rsidR="00C422FC" w:rsidRPr="00C422FC" w:rsidRDefault="00C422FC" w:rsidP="00C422FC">
      <w:pPr>
        <w:numPr>
          <w:ilvl w:val="0"/>
          <w:numId w:val="11"/>
        </w:numPr>
      </w:pPr>
      <w:r w:rsidRPr="00C422FC">
        <w:rPr>
          <w:b/>
          <w:bCs/>
        </w:rPr>
        <w:t>Generational Perceptions</w:t>
      </w:r>
      <w:r w:rsidRPr="00C422FC">
        <w:t>:</w:t>
      </w:r>
    </w:p>
    <w:p w14:paraId="74AEB95A" w14:textId="77777777" w:rsidR="00C422FC" w:rsidRPr="00C422FC" w:rsidRDefault="00C422FC" w:rsidP="00C422FC">
      <w:pPr>
        <w:numPr>
          <w:ilvl w:val="1"/>
          <w:numId w:val="11"/>
        </w:numPr>
      </w:pPr>
      <w:r w:rsidRPr="00C422FC">
        <w:rPr>
          <w:b/>
          <w:bCs/>
        </w:rPr>
        <w:t>Resistance Narratives</w:t>
      </w:r>
      <w:r w:rsidRPr="00C422FC">
        <w:t xml:space="preserve">: Young Palestinians are often raised with narratives that emphasize resistance and historical injustices, leading to a strong commitment to the cause of Palestinian rights. This is frequently seen in protests and movements such as </w:t>
      </w:r>
      <w:r w:rsidRPr="00C422FC">
        <w:rPr>
          <w:b/>
          <w:bCs/>
        </w:rPr>
        <w:t>Boycott, Divestment, Sanctions (BDS)</w:t>
      </w:r>
      <w:r w:rsidRPr="00C422FC">
        <w:t>, which call for international action against Israeli policies (Shabi, 2021).</w:t>
      </w:r>
    </w:p>
    <w:p w14:paraId="6E099725" w14:textId="77777777" w:rsidR="00C422FC" w:rsidRPr="00C422FC" w:rsidRDefault="00C422FC" w:rsidP="00C422FC">
      <w:pPr>
        <w:numPr>
          <w:ilvl w:val="1"/>
          <w:numId w:val="11"/>
        </w:numPr>
      </w:pPr>
      <w:r w:rsidRPr="00C422FC">
        <w:rPr>
          <w:b/>
          <w:bCs/>
        </w:rPr>
        <w:t>Zionist Narratives</w:t>
      </w:r>
      <w:r w:rsidRPr="00C422FC">
        <w:t>: Conversely, younger generations of Jews may focus on narratives that emphasize survival and security, which can create barriers to understanding Palestinian grievances. The historical trauma is utilized to reinforce the need for a secure Jewish state, sometimes at the expense of acknowledging Palestinian suffering (Gordon, 2016).</w:t>
      </w:r>
    </w:p>
    <w:p w14:paraId="00F8648D" w14:textId="77777777" w:rsidR="00C422FC" w:rsidRPr="00C422FC" w:rsidRDefault="00C422FC" w:rsidP="00C422FC">
      <w:pPr>
        <w:rPr>
          <w:b/>
          <w:bCs/>
        </w:rPr>
      </w:pPr>
      <w:r w:rsidRPr="00C422FC">
        <w:rPr>
          <w:b/>
          <w:bCs/>
        </w:rPr>
        <w:t>3. Descriptive Data and Statistics on Displacement</w:t>
      </w:r>
    </w:p>
    <w:p w14:paraId="54361D4F" w14:textId="77777777" w:rsidR="00C422FC" w:rsidRPr="00C422FC" w:rsidRDefault="00C422FC" w:rsidP="00C422FC">
      <w:pPr>
        <w:numPr>
          <w:ilvl w:val="0"/>
          <w:numId w:val="12"/>
        </w:numPr>
      </w:pPr>
      <w:r w:rsidRPr="00C422FC">
        <w:rPr>
          <w:b/>
          <w:bCs/>
        </w:rPr>
        <w:t>Jewish Displacement</w:t>
      </w:r>
      <w:r w:rsidRPr="00C422FC">
        <w:t>:</w:t>
      </w:r>
    </w:p>
    <w:p w14:paraId="3B0F405C" w14:textId="77777777" w:rsidR="00C422FC" w:rsidRPr="00C422FC" w:rsidRDefault="00C422FC" w:rsidP="00C422FC">
      <w:pPr>
        <w:numPr>
          <w:ilvl w:val="1"/>
          <w:numId w:val="12"/>
        </w:numPr>
      </w:pPr>
      <w:r w:rsidRPr="00C422FC">
        <w:lastRenderedPageBreak/>
        <w:t xml:space="preserve">A report by the </w:t>
      </w:r>
      <w:r w:rsidRPr="00C422FC">
        <w:rPr>
          <w:b/>
          <w:bCs/>
        </w:rPr>
        <w:t>Institute for Jewish Policy Research</w:t>
      </w:r>
      <w:r w:rsidRPr="00C422FC">
        <w:t xml:space="preserve"> estimated that between </w:t>
      </w:r>
      <w:r w:rsidRPr="00C422FC">
        <w:rPr>
          <w:b/>
          <w:bCs/>
        </w:rPr>
        <w:t>1948 and 1972</w:t>
      </w:r>
      <w:r w:rsidRPr="00C422FC">
        <w:t xml:space="preserve">, about </w:t>
      </w:r>
      <w:r w:rsidRPr="00C422FC">
        <w:rPr>
          <w:b/>
          <w:bCs/>
        </w:rPr>
        <w:t>850,000 Jews</w:t>
      </w:r>
      <w:r w:rsidRPr="00C422FC">
        <w:t xml:space="preserve"> were displaced from Arab countries. Many of these individuals faced violence, property confiscation, and social ostracization (Gordon, 2016).</w:t>
      </w:r>
    </w:p>
    <w:p w14:paraId="5324D480" w14:textId="77777777" w:rsidR="00C422FC" w:rsidRPr="00C422FC" w:rsidRDefault="00C422FC" w:rsidP="00C422FC">
      <w:pPr>
        <w:numPr>
          <w:ilvl w:val="1"/>
          <w:numId w:val="12"/>
        </w:numPr>
      </w:pPr>
      <w:r w:rsidRPr="00C422FC">
        <w:t xml:space="preserve">By </w:t>
      </w:r>
      <w:r w:rsidRPr="00C422FC">
        <w:rPr>
          <w:b/>
          <w:bCs/>
        </w:rPr>
        <w:t>1951</w:t>
      </w:r>
      <w:r w:rsidRPr="00C422FC">
        <w:t xml:space="preserve">, the Jewish population in Israel had increased to </w:t>
      </w:r>
      <w:r w:rsidRPr="00C422FC">
        <w:rPr>
          <w:b/>
          <w:bCs/>
        </w:rPr>
        <w:t>1.2 million</w:t>
      </w:r>
      <w:r w:rsidRPr="00C422FC">
        <w:t xml:space="preserve"> due to immigration, including </w:t>
      </w:r>
      <w:r w:rsidRPr="00C422FC">
        <w:rPr>
          <w:b/>
          <w:bCs/>
        </w:rPr>
        <w:t>500,000</w:t>
      </w:r>
      <w:r w:rsidRPr="00C422FC">
        <w:t xml:space="preserve"> Holocaust survivors (</w:t>
      </w:r>
      <w:proofErr w:type="spellStart"/>
      <w:r w:rsidRPr="00C422FC">
        <w:t>Shlaim</w:t>
      </w:r>
      <w:proofErr w:type="spellEnd"/>
      <w:r w:rsidRPr="00C422FC">
        <w:t>, 2012).</w:t>
      </w:r>
    </w:p>
    <w:p w14:paraId="46F90C7D" w14:textId="77777777" w:rsidR="00C422FC" w:rsidRPr="00C422FC" w:rsidRDefault="00C422FC" w:rsidP="00C422FC">
      <w:pPr>
        <w:numPr>
          <w:ilvl w:val="0"/>
          <w:numId w:val="12"/>
        </w:numPr>
      </w:pPr>
      <w:r w:rsidRPr="00C422FC">
        <w:rPr>
          <w:b/>
          <w:bCs/>
        </w:rPr>
        <w:t>Palestinian Displacement</w:t>
      </w:r>
      <w:r w:rsidRPr="00C422FC">
        <w:t>:</w:t>
      </w:r>
    </w:p>
    <w:p w14:paraId="5B60F704" w14:textId="77777777" w:rsidR="00C422FC" w:rsidRPr="00C422FC" w:rsidRDefault="00C422FC" w:rsidP="00C422FC">
      <w:pPr>
        <w:numPr>
          <w:ilvl w:val="1"/>
          <w:numId w:val="12"/>
        </w:numPr>
      </w:pPr>
      <w:r w:rsidRPr="00C422FC">
        <w:t xml:space="preserve">According to UNRWA, as of 2023, there are </w:t>
      </w:r>
      <w:r w:rsidRPr="00C422FC">
        <w:rPr>
          <w:b/>
          <w:bCs/>
        </w:rPr>
        <w:t>5.4 million</w:t>
      </w:r>
      <w:r w:rsidRPr="00C422FC">
        <w:t xml:space="preserve"> Palestinian refugees, with a significant proportion living in impoverished conditions in refugee camps across the Middle East (UNRWA, 2023).</w:t>
      </w:r>
    </w:p>
    <w:p w14:paraId="31F14BF7" w14:textId="77777777" w:rsidR="00C422FC" w:rsidRPr="00C422FC" w:rsidRDefault="00C422FC" w:rsidP="00C422FC">
      <w:pPr>
        <w:numPr>
          <w:ilvl w:val="1"/>
          <w:numId w:val="12"/>
        </w:numPr>
      </w:pPr>
      <w:r w:rsidRPr="00C422FC">
        <w:t xml:space="preserve">Studies show that over </w:t>
      </w:r>
      <w:r w:rsidRPr="00C422FC">
        <w:rPr>
          <w:b/>
          <w:bCs/>
        </w:rPr>
        <w:t>80%</w:t>
      </w:r>
      <w:r w:rsidRPr="00C422FC">
        <w:t xml:space="preserve"> of the Palestinian population in Gaza are refugees or descendants of refugees from the 1948 Nakba, emphasizing the lasting impact of displacement on current generations (Khalidi, 2020).</w:t>
      </w:r>
    </w:p>
    <w:p w14:paraId="10FC11B5" w14:textId="77777777" w:rsidR="00C422FC" w:rsidRPr="00C422FC" w:rsidRDefault="00C422FC" w:rsidP="00C422FC">
      <w:pPr>
        <w:rPr>
          <w:b/>
          <w:bCs/>
        </w:rPr>
      </w:pPr>
      <w:r w:rsidRPr="00C422FC">
        <w:rPr>
          <w:b/>
          <w:bCs/>
        </w:rPr>
        <w:t>4. Political and Social Implications of LHS</w:t>
      </w:r>
    </w:p>
    <w:p w14:paraId="31401177" w14:textId="77777777" w:rsidR="00C422FC" w:rsidRPr="00C422FC" w:rsidRDefault="00C422FC" w:rsidP="00C422FC">
      <w:pPr>
        <w:numPr>
          <w:ilvl w:val="0"/>
          <w:numId w:val="13"/>
        </w:numPr>
      </w:pPr>
      <w:r w:rsidRPr="00C422FC">
        <w:rPr>
          <w:b/>
          <w:bCs/>
        </w:rPr>
        <w:t>Jewish Claims</w:t>
      </w:r>
      <w:r w:rsidRPr="00C422FC">
        <w:t>:</w:t>
      </w:r>
    </w:p>
    <w:p w14:paraId="01EACB5D" w14:textId="77777777" w:rsidR="00C422FC" w:rsidRPr="00C422FC" w:rsidRDefault="00C422FC" w:rsidP="00C422FC">
      <w:pPr>
        <w:numPr>
          <w:ilvl w:val="1"/>
          <w:numId w:val="13"/>
        </w:numPr>
      </w:pPr>
      <w:r w:rsidRPr="00C422FC">
        <w:t>The narrative of Jewish historical claims to the land often emphasizes security and survival, leading to policies that prioritize Jewish immigration and settlement in contested areas. The memory of the Holocaust is utilized politically to garner support for Israel from the global Jewish community and sympathizers (Liebman, 2020).</w:t>
      </w:r>
    </w:p>
    <w:p w14:paraId="27886D0D" w14:textId="77777777" w:rsidR="00C422FC" w:rsidRPr="00C422FC" w:rsidRDefault="00C422FC" w:rsidP="00C422FC">
      <w:pPr>
        <w:numPr>
          <w:ilvl w:val="0"/>
          <w:numId w:val="13"/>
        </w:numPr>
      </w:pPr>
      <w:r w:rsidRPr="00C422FC">
        <w:rPr>
          <w:b/>
          <w:bCs/>
        </w:rPr>
        <w:t>Palestinian Claims</w:t>
      </w:r>
      <w:r w:rsidRPr="00C422FC">
        <w:t>:</w:t>
      </w:r>
    </w:p>
    <w:p w14:paraId="37CC6364" w14:textId="77777777" w:rsidR="00C422FC" w:rsidRPr="00C422FC" w:rsidRDefault="00C422FC" w:rsidP="00C422FC">
      <w:pPr>
        <w:numPr>
          <w:ilvl w:val="1"/>
          <w:numId w:val="13"/>
        </w:numPr>
      </w:pPr>
      <w:r w:rsidRPr="00C422FC">
        <w:t>Palestinian claims for the right of return and recognition of historical grievances often emphasize international law and human rights. However, LHS complicates their narrative by sometimes dismissing Jewish historical experiences, which can hinder constructive dialogue and exacerbate tensions (Pappe, 2006; Khalidi, 2020).</w:t>
      </w:r>
    </w:p>
    <w:p w14:paraId="370DD1BD" w14:textId="77777777" w:rsidR="00C422FC" w:rsidRPr="00C422FC" w:rsidRDefault="00C422FC" w:rsidP="00C422FC">
      <w:pPr>
        <w:rPr>
          <w:b/>
          <w:bCs/>
        </w:rPr>
      </w:pPr>
      <w:r w:rsidRPr="00C422FC">
        <w:rPr>
          <w:b/>
          <w:bCs/>
        </w:rPr>
        <w:t>Conclusion</w:t>
      </w:r>
    </w:p>
    <w:p w14:paraId="28341468" w14:textId="77777777" w:rsidR="00C422FC" w:rsidRPr="00C422FC" w:rsidRDefault="00C422FC" w:rsidP="00C422FC">
      <w:r w:rsidRPr="00C422FC">
        <w:t>The narratives of displacement for Jews and Palestinians are deeply intertwined with historical events, collective memories, and socio-political contexts. The impact of Liar's Heir Syndrome complicates these narratives, influencing how generations understand their identities and grievances. Recognizing the historical suffering of both groups is crucial for fostering dialogue and achieving reconciliation in the ongoing Israeli-Palestinian conflict.</w:t>
      </w:r>
    </w:p>
    <w:p w14:paraId="70FF9DF7" w14:textId="77777777" w:rsidR="00C422FC" w:rsidRPr="00C422FC" w:rsidRDefault="00C422FC" w:rsidP="00C422FC">
      <w:pPr>
        <w:rPr>
          <w:b/>
          <w:bCs/>
        </w:rPr>
      </w:pPr>
      <w:r w:rsidRPr="00C422FC">
        <w:rPr>
          <w:b/>
          <w:bCs/>
        </w:rPr>
        <w:t>References</w:t>
      </w:r>
    </w:p>
    <w:p w14:paraId="195BF1D0" w14:textId="77777777" w:rsidR="00C422FC" w:rsidRPr="00C422FC" w:rsidRDefault="00C422FC" w:rsidP="00C422FC">
      <w:pPr>
        <w:numPr>
          <w:ilvl w:val="0"/>
          <w:numId w:val="14"/>
        </w:numPr>
      </w:pPr>
      <w:r w:rsidRPr="00C422FC">
        <w:t xml:space="preserve">Berenbaum, M. (2003). </w:t>
      </w:r>
      <w:r w:rsidRPr="00C422FC">
        <w:rPr>
          <w:i/>
          <w:iCs/>
        </w:rPr>
        <w:t>The World Must Know: The History of the Holocaust as Told in the United States Holocaust Memorial Museum</w:t>
      </w:r>
      <w:r w:rsidRPr="00C422FC">
        <w:t>.</w:t>
      </w:r>
    </w:p>
    <w:p w14:paraId="77586D62" w14:textId="77777777" w:rsidR="00C422FC" w:rsidRPr="00C422FC" w:rsidRDefault="00C422FC" w:rsidP="00C422FC">
      <w:pPr>
        <w:numPr>
          <w:ilvl w:val="0"/>
          <w:numId w:val="14"/>
        </w:numPr>
      </w:pPr>
      <w:r w:rsidRPr="00C422FC">
        <w:t xml:space="preserve">Gordon, N. (2016). "The Role of Jewish Refugees in Shaping the Modern Middle East." </w:t>
      </w:r>
      <w:r w:rsidRPr="00C422FC">
        <w:rPr>
          <w:i/>
          <w:iCs/>
        </w:rPr>
        <w:t>Journal of Middle Eastern Politics</w:t>
      </w:r>
      <w:r w:rsidRPr="00C422FC">
        <w:t>.</w:t>
      </w:r>
    </w:p>
    <w:p w14:paraId="16694AFB" w14:textId="77777777" w:rsidR="00C422FC" w:rsidRPr="00C422FC" w:rsidRDefault="00C422FC" w:rsidP="00C422FC">
      <w:pPr>
        <w:numPr>
          <w:ilvl w:val="0"/>
          <w:numId w:val="14"/>
        </w:numPr>
      </w:pPr>
      <w:r w:rsidRPr="00C422FC">
        <w:lastRenderedPageBreak/>
        <w:t xml:space="preserve">Khalidi, R. (2020). </w:t>
      </w:r>
      <w:r w:rsidRPr="00C422FC">
        <w:rPr>
          <w:i/>
          <w:iCs/>
        </w:rPr>
        <w:t>The Hundred Years' War on Palestine: A History of Settler Colonialism and Resistance, 1917-2017</w:t>
      </w:r>
      <w:r w:rsidRPr="00C422FC">
        <w:t>.</w:t>
      </w:r>
    </w:p>
    <w:p w14:paraId="606E34C1" w14:textId="77777777" w:rsidR="00C422FC" w:rsidRPr="00C422FC" w:rsidRDefault="00C422FC" w:rsidP="00C422FC">
      <w:pPr>
        <w:numPr>
          <w:ilvl w:val="0"/>
          <w:numId w:val="14"/>
        </w:numPr>
      </w:pPr>
      <w:r w:rsidRPr="00C422FC">
        <w:t xml:space="preserve">Liebman, C. S. (2020). "The Historical Roots of Modern Jewish Identity." </w:t>
      </w:r>
      <w:r w:rsidRPr="00C422FC">
        <w:rPr>
          <w:i/>
          <w:iCs/>
        </w:rPr>
        <w:t>Shofar: An Interdisciplinary Journal of Jewish Studies</w:t>
      </w:r>
      <w:r w:rsidRPr="00C422FC">
        <w:t>.</w:t>
      </w:r>
    </w:p>
    <w:p w14:paraId="7EEACB71" w14:textId="77777777" w:rsidR="00C422FC" w:rsidRPr="00C422FC" w:rsidRDefault="00C422FC" w:rsidP="00C422FC">
      <w:pPr>
        <w:numPr>
          <w:ilvl w:val="0"/>
          <w:numId w:val="14"/>
        </w:numPr>
      </w:pPr>
      <w:r w:rsidRPr="00C422FC">
        <w:t xml:space="preserve">Pappe, I. (2006). </w:t>
      </w:r>
      <w:r w:rsidRPr="00C422FC">
        <w:rPr>
          <w:i/>
          <w:iCs/>
        </w:rPr>
        <w:t>The Ethnic Cleansing of Palestine</w:t>
      </w:r>
      <w:r w:rsidRPr="00C422FC">
        <w:t>.</w:t>
      </w:r>
    </w:p>
    <w:p w14:paraId="108BAD82" w14:textId="77777777" w:rsidR="00C422FC" w:rsidRPr="00C422FC" w:rsidRDefault="00C422FC" w:rsidP="00C422FC">
      <w:pPr>
        <w:numPr>
          <w:ilvl w:val="0"/>
          <w:numId w:val="14"/>
        </w:numPr>
      </w:pPr>
      <w:proofErr w:type="spellStart"/>
      <w:r w:rsidRPr="00C422FC">
        <w:t>Shlaim</w:t>
      </w:r>
      <w:proofErr w:type="spellEnd"/>
      <w:r w:rsidRPr="00C422FC">
        <w:t xml:space="preserve">, A. (2012). </w:t>
      </w:r>
      <w:r w:rsidRPr="00C422FC">
        <w:rPr>
          <w:i/>
          <w:iCs/>
        </w:rPr>
        <w:t>Israel and Palestine: Reappraisals, Revisions, Refutations</w:t>
      </w:r>
      <w:r w:rsidRPr="00C422FC">
        <w:t>.</w:t>
      </w:r>
    </w:p>
    <w:p w14:paraId="598C06A7" w14:textId="77777777" w:rsidR="00C422FC" w:rsidRPr="00C422FC" w:rsidRDefault="00C422FC" w:rsidP="00C422FC">
      <w:pPr>
        <w:numPr>
          <w:ilvl w:val="0"/>
          <w:numId w:val="14"/>
        </w:numPr>
      </w:pPr>
      <w:r w:rsidRPr="00C422FC">
        <w:t xml:space="preserve">Shabi, R. (2021). </w:t>
      </w:r>
      <w:r w:rsidRPr="00C422FC">
        <w:rPr>
          <w:i/>
          <w:iCs/>
        </w:rPr>
        <w:t>We Look Like the Enemy: The Story of the Palestinian Struggle for Justice</w:t>
      </w:r>
      <w:r w:rsidRPr="00C422FC">
        <w:t>.</w:t>
      </w:r>
    </w:p>
    <w:p w14:paraId="6BE817DF" w14:textId="77777777" w:rsidR="00C422FC" w:rsidRPr="00C422FC" w:rsidRDefault="00C422FC" w:rsidP="00C422FC">
      <w:pPr>
        <w:numPr>
          <w:ilvl w:val="0"/>
          <w:numId w:val="14"/>
        </w:numPr>
      </w:pPr>
      <w:r w:rsidRPr="00C422FC">
        <w:t xml:space="preserve">UNRWA (2023). "Palestine Refugees." Retrieved from </w:t>
      </w:r>
      <w:hyperlink r:id="rId6" w:tgtFrame="_new" w:history="1">
        <w:r w:rsidRPr="00C422FC">
          <w:rPr>
            <w:rStyle w:val="Hyperlink"/>
          </w:rPr>
          <w:t>UNRWA Official Website</w:t>
        </w:r>
      </w:hyperlink>
      <w:r w:rsidRPr="00C422FC">
        <w:t>.</w:t>
      </w:r>
    </w:p>
    <w:p w14:paraId="12E10821" w14:textId="77777777" w:rsidR="00161A72" w:rsidRDefault="00161A72" w:rsidP="0053720D"/>
    <w:p w14:paraId="31055D7C" w14:textId="77777777" w:rsidR="00C422FC" w:rsidRDefault="00C422FC" w:rsidP="0053720D"/>
    <w:p w14:paraId="714C24FE" w14:textId="77777777" w:rsidR="00C422FC" w:rsidRDefault="00C422FC" w:rsidP="0053720D"/>
    <w:p w14:paraId="18C709BA" w14:textId="77777777" w:rsidR="00C422FC" w:rsidRDefault="00C422FC" w:rsidP="0053720D"/>
    <w:p w14:paraId="0A9C2579" w14:textId="77777777" w:rsidR="00161A72" w:rsidRDefault="00161A72" w:rsidP="0053720D"/>
    <w:p w14:paraId="40405D57" w14:textId="77777777" w:rsidR="00161A72" w:rsidRDefault="00161A72" w:rsidP="0053720D"/>
    <w:p w14:paraId="261B9B12" w14:textId="77777777" w:rsidR="00161A72" w:rsidRDefault="00161A72" w:rsidP="0053720D"/>
    <w:p w14:paraId="2CC824C9" w14:textId="77777777" w:rsidR="00161A72" w:rsidRDefault="00161A72" w:rsidP="0053720D"/>
    <w:p w14:paraId="2143F1C1" w14:textId="77777777" w:rsidR="00161A72" w:rsidRDefault="00161A72" w:rsidP="0053720D"/>
    <w:p w14:paraId="3D9FE8D6" w14:textId="77777777" w:rsidR="00161A72" w:rsidRDefault="00161A72" w:rsidP="0053720D"/>
    <w:p w14:paraId="2FACDB79" w14:textId="77777777" w:rsidR="00161A72" w:rsidRDefault="00161A72" w:rsidP="0053720D"/>
    <w:p w14:paraId="7DBFA0AD" w14:textId="77777777" w:rsidR="00161A72" w:rsidRDefault="00161A72" w:rsidP="0053720D"/>
    <w:p w14:paraId="55DE277C" w14:textId="77777777" w:rsidR="00161A72" w:rsidRDefault="00161A72" w:rsidP="0053720D"/>
    <w:p w14:paraId="269E5138" w14:textId="77777777" w:rsidR="00161A72" w:rsidRDefault="00161A72" w:rsidP="0053720D"/>
    <w:p w14:paraId="3690DB81" w14:textId="77777777" w:rsidR="00161A72" w:rsidRDefault="00161A72" w:rsidP="0053720D"/>
    <w:p w14:paraId="6AC9D78D" w14:textId="77777777" w:rsidR="00161A72" w:rsidRDefault="00161A72" w:rsidP="0053720D"/>
    <w:p w14:paraId="4BFCFA96" w14:textId="77777777" w:rsidR="00161A72" w:rsidRDefault="00161A72" w:rsidP="0053720D"/>
    <w:p w14:paraId="2AAA7044" w14:textId="77777777" w:rsidR="00161A72" w:rsidRDefault="00161A72" w:rsidP="0053720D"/>
    <w:p w14:paraId="413F2686" w14:textId="77777777" w:rsidR="00161A72" w:rsidRDefault="00161A72" w:rsidP="0053720D"/>
    <w:p w14:paraId="0C8CB1D0" w14:textId="77777777" w:rsidR="00161A72" w:rsidRDefault="00161A72" w:rsidP="0053720D"/>
    <w:p w14:paraId="4436B913" w14:textId="77777777" w:rsidR="00161A72" w:rsidRDefault="00161A72" w:rsidP="0053720D"/>
    <w:p w14:paraId="3F796558" w14:textId="77777777" w:rsidR="00161A72" w:rsidRDefault="00161A72" w:rsidP="0053720D"/>
    <w:p w14:paraId="21C460C8" w14:textId="77777777" w:rsidR="00161A72" w:rsidRDefault="00161A72" w:rsidP="0053720D"/>
    <w:p w14:paraId="700F64A8" w14:textId="77777777" w:rsidR="00161A72" w:rsidRDefault="00161A72" w:rsidP="0053720D"/>
    <w:p w14:paraId="135E5CA8" w14:textId="77777777" w:rsidR="00161A72" w:rsidRDefault="00161A72" w:rsidP="0053720D"/>
    <w:p w14:paraId="1AE5803C" w14:textId="77777777" w:rsidR="00161A72" w:rsidRDefault="00161A72" w:rsidP="0053720D"/>
    <w:p w14:paraId="3C7C47BA" w14:textId="77777777" w:rsidR="00161A72" w:rsidRDefault="00161A72" w:rsidP="0053720D"/>
    <w:p w14:paraId="3865A3F6" w14:textId="77777777" w:rsidR="00161A72" w:rsidRDefault="00161A72" w:rsidP="0053720D"/>
    <w:p w14:paraId="47B2241F" w14:textId="77777777" w:rsidR="00161A72" w:rsidRDefault="00161A72" w:rsidP="0053720D"/>
    <w:p w14:paraId="33F4A6EA" w14:textId="77777777" w:rsidR="00161A72" w:rsidRDefault="00161A72" w:rsidP="0053720D"/>
    <w:p w14:paraId="0F27AF3B" w14:textId="18208E02" w:rsidR="0053720D" w:rsidRPr="0053720D" w:rsidRDefault="0053720D" w:rsidP="0053720D">
      <w:r w:rsidRPr="0053720D">
        <w:t>The role of Liar's Heir Syndrome (LHS) can be connected to the events of October 7, 2023, when Hamas launched a large-scale attack on Israel, initiating significant violence. LHS explores how generational patterns of deception and manipulation can perpetuate conflict, mistrust, and misinformation across societies. In this context, the syndrome would manifest in various ways, particularly regarding the narratives surrounding the Israel-Hamas conflict.</w:t>
      </w:r>
    </w:p>
    <w:p w14:paraId="007A1526" w14:textId="77777777" w:rsidR="0053720D" w:rsidRPr="0053720D" w:rsidRDefault="0053720D" w:rsidP="0053720D">
      <w:r w:rsidRPr="0053720D">
        <w:t>Misinformation and denialism related to the attacks, including some who either deny or minimize the events or who blame victims rather than acknowledging the violent actions, are prime examples of how LHS may play a role. Such responses reflect deep-seated biases and the legacy of generational conflicts, where historical grievances and distorted truths get passed down. These patterns contribute to the inability of groups to empathize with one another, deepening divisions and perpetuating cycles of violence.</w:t>
      </w:r>
    </w:p>
    <w:p w14:paraId="6689F472" w14:textId="77777777" w:rsidR="0053720D" w:rsidRPr="0053720D" w:rsidRDefault="0053720D" w:rsidP="0053720D">
      <w:r w:rsidRPr="0053720D">
        <w:t>For example, denial and distortion of the atrocities committed during the attack have parallels to other historical denials, such as Holocaust denial, showing how LHS can influence public narratives. This misinformation not only hampers reconciliation efforts but also prevents society from confronting the truth and healing from the traumas of conflict. By perpetuating a false narrative, LHS ensures that the underlying issues, including power imbalances, resentment, and historical wrongs, remain unresolved, continuing to shape the collective consciousness and actions of those involved in the conflict.</w:t>
      </w:r>
    </w:p>
    <w:p w14:paraId="5573A89C" w14:textId="77777777" w:rsidR="0053720D" w:rsidRPr="0053720D" w:rsidRDefault="0053720D" w:rsidP="0053720D">
      <w:r w:rsidRPr="0053720D">
        <w:t>This phenomenon demonstrates how LHS can affect both immediate perceptions and long-term generational attitudes, reinforcing conflict and undermining efforts for peace.</w:t>
      </w:r>
    </w:p>
    <w:p w14:paraId="3E5AB83C" w14:textId="77777777" w:rsidR="001459F0" w:rsidRDefault="001459F0"/>
    <w:p w14:paraId="2F7F1531" w14:textId="77777777" w:rsidR="00430AD4" w:rsidRDefault="00430AD4"/>
    <w:p w14:paraId="3E25037E" w14:textId="77777777" w:rsidR="00430AD4" w:rsidRPr="00430AD4" w:rsidRDefault="00430AD4" w:rsidP="00430AD4">
      <w:pPr>
        <w:rPr>
          <w:b/>
          <w:bCs/>
        </w:rPr>
      </w:pPr>
      <w:r w:rsidRPr="00430AD4">
        <w:rPr>
          <w:b/>
          <w:bCs/>
        </w:rPr>
        <w:t>Extensive Analysis of Liar's Heir Syndrome (LHS) and its Role in the October 7, 2023, Israel-Hamas Conflict</w:t>
      </w:r>
    </w:p>
    <w:p w14:paraId="2D03CC05" w14:textId="77777777" w:rsidR="00430AD4" w:rsidRPr="00430AD4" w:rsidRDefault="00430AD4" w:rsidP="00430AD4">
      <w:pPr>
        <w:rPr>
          <w:b/>
          <w:bCs/>
        </w:rPr>
      </w:pPr>
      <w:r w:rsidRPr="00430AD4">
        <w:rPr>
          <w:b/>
          <w:bCs/>
        </w:rPr>
        <w:t>Overview of Events</w:t>
      </w:r>
    </w:p>
    <w:p w14:paraId="05B6AE17" w14:textId="77777777" w:rsidR="00430AD4" w:rsidRPr="00430AD4" w:rsidRDefault="00430AD4" w:rsidP="00430AD4">
      <w:r w:rsidRPr="00430AD4">
        <w:t>On October 7, 2023, Hamas initiated a surprise attack on Israel, leading to widespread violence and significant casualties. This marked one of the most severe escalations in the long-standing Israeli-</w:t>
      </w:r>
      <w:r w:rsidRPr="00430AD4">
        <w:lastRenderedPageBreak/>
        <w:t xml:space="preserve">Palestinian conflict. The attack prompted a response from Israel, leading to military actions in Gaza, which resulted in further casualties and heightened tensions in the region </w:t>
      </w:r>
    </w:p>
    <w:p w14:paraId="4C416CC4" w14:textId="77777777" w:rsidR="00430AD4" w:rsidRPr="00430AD4" w:rsidRDefault="00430AD4" w:rsidP="00430AD4">
      <w:hyperlink r:id="rId7" w:tgtFrame="_blank" w:history="1">
        <w:r w:rsidRPr="00430AD4">
          <w:rPr>
            <w:rStyle w:val="Hyperlink"/>
          </w:rPr>
          <w:t>Wikipedia</w:t>
        </w:r>
      </w:hyperlink>
    </w:p>
    <w:p w14:paraId="04F66ED4" w14:textId="77777777" w:rsidR="00430AD4" w:rsidRPr="00430AD4" w:rsidRDefault="00430AD4" w:rsidP="00430AD4">
      <w:r w:rsidRPr="00430AD4">
        <w:t>.</w:t>
      </w:r>
    </w:p>
    <w:p w14:paraId="7D066366" w14:textId="77777777" w:rsidR="00430AD4" w:rsidRPr="00430AD4" w:rsidRDefault="00430AD4" w:rsidP="00430AD4">
      <w:pPr>
        <w:rPr>
          <w:b/>
          <w:bCs/>
        </w:rPr>
      </w:pPr>
      <w:r w:rsidRPr="00430AD4">
        <w:rPr>
          <w:b/>
          <w:bCs/>
        </w:rPr>
        <w:t>Liar's Heir Syndrome and Its Implications</w:t>
      </w:r>
    </w:p>
    <w:p w14:paraId="79203C95" w14:textId="77777777" w:rsidR="00430AD4" w:rsidRPr="00430AD4" w:rsidRDefault="00430AD4" w:rsidP="00430AD4">
      <w:r w:rsidRPr="00430AD4">
        <w:t>Liar's Heir Syndrome refers to a phenomenon where generational patterns of deception and manipulation perpetuate mistrust, conflict, and misinformation. In the context of the October 7 events, LHS plays a critical role in shaping narratives, influencing public perception, and perpetuating cycles of violence. The following aspects illustrate the implications of LHS:</w:t>
      </w:r>
    </w:p>
    <w:p w14:paraId="64C11C22" w14:textId="77777777" w:rsidR="00430AD4" w:rsidRPr="00430AD4" w:rsidRDefault="00430AD4" w:rsidP="00430AD4">
      <w:pPr>
        <w:numPr>
          <w:ilvl w:val="0"/>
          <w:numId w:val="1"/>
        </w:numPr>
      </w:pPr>
      <w:r w:rsidRPr="00430AD4">
        <w:rPr>
          <w:b/>
          <w:bCs/>
        </w:rPr>
        <w:t>Misinformation and Denialism</w:t>
      </w:r>
      <w:r w:rsidRPr="00430AD4">
        <w:t>:</w:t>
      </w:r>
    </w:p>
    <w:p w14:paraId="5F6135DE" w14:textId="77777777" w:rsidR="00430AD4" w:rsidRPr="00430AD4" w:rsidRDefault="00430AD4" w:rsidP="00430AD4">
      <w:pPr>
        <w:numPr>
          <w:ilvl w:val="1"/>
          <w:numId w:val="1"/>
        </w:numPr>
      </w:pPr>
      <w:r w:rsidRPr="00430AD4">
        <w:t xml:space="preserve">In the aftermath of the attacks, various narratives emerged, with some individuals and groups denying or downplaying the severity of the violence </w:t>
      </w:r>
    </w:p>
    <w:p w14:paraId="2F5C669B" w14:textId="77777777" w:rsidR="00430AD4" w:rsidRPr="00430AD4" w:rsidRDefault="00430AD4" w:rsidP="00430AD4">
      <w:hyperlink r:id="rId8" w:tgtFrame="_blank" w:history="1">
        <w:r w:rsidRPr="00430AD4">
          <w:rPr>
            <w:rStyle w:val="Hyperlink"/>
          </w:rPr>
          <w:t>Wikipedia</w:t>
        </w:r>
      </w:hyperlink>
    </w:p>
    <w:p w14:paraId="06D923CD" w14:textId="77777777" w:rsidR="00430AD4" w:rsidRPr="00430AD4" w:rsidRDefault="00430AD4" w:rsidP="00430AD4">
      <w:r w:rsidRPr="00430AD4">
        <w:t>. This is reflective of LHS, where historical grievances and untruths become entrenched, complicating efforts for reconciliation and understanding.</w:t>
      </w:r>
    </w:p>
    <w:p w14:paraId="533F1AA1" w14:textId="77777777" w:rsidR="00430AD4" w:rsidRPr="00430AD4" w:rsidRDefault="00430AD4" w:rsidP="00430AD4">
      <w:pPr>
        <w:numPr>
          <w:ilvl w:val="1"/>
          <w:numId w:val="1"/>
        </w:numPr>
      </w:pPr>
      <w:r w:rsidRPr="00430AD4">
        <w:t>The phenomenon of denialism surrounding the events can be compared to historical instances of denial about atrocities, such as Holocaust denial, where facts are systematically dismissed or distorted. This not only hampers healing but also fuels ongoing conflict​</w:t>
      </w:r>
    </w:p>
    <w:p w14:paraId="36ED844E" w14:textId="77777777" w:rsidR="00430AD4" w:rsidRPr="00430AD4" w:rsidRDefault="00430AD4" w:rsidP="00430AD4">
      <w:hyperlink r:id="rId9" w:tgtFrame="_blank" w:history="1">
        <w:r w:rsidRPr="00430AD4">
          <w:rPr>
            <w:rStyle w:val="Hyperlink"/>
          </w:rPr>
          <w:t>Wikipedia</w:t>
        </w:r>
      </w:hyperlink>
    </w:p>
    <w:p w14:paraId="50F97ACD" w14:textId="77777777" w:rsidR="00430AD4" w:rsidRPr="00430AD4" w:rsidRDefault="00430AD4" w:rsidP="00430AD4">
      <w:r w:rsidRPr="00430AD4">
        <w:t>.</w:t>
      </w:r>
    </w:p>
    <w:p w14:paraId="0DE8FBD8" w14:textId="77777777" w:rsidR="00430AD4" w:rsidRPr="00430AD4" w:rsidRDefault="00430AD4" w:rsidP="00430AD4">
      <w:pPr>
        <w:numPr>
          <w:ilvl w:val="0"/>
          <w:numId w:val="1"/>
        </w:numPr>
      </w:pPr>
      <w:r w:rsidRPr="00430AD4">
        <w:rPr>
          <w:b/>
          <w:bCs/>
        </w:rPr>
        <w:t>Generational Transmission of Conflict</w:t>
      </w:r>
      <w:r w:rsidRPr="00430AD4">
        <w:t>:</w:t>
      </w:r>
    </w:p>
    <w:p w14:paraId="3E123A20" w14:textId="77777777" w:rsidR="00430AD4" w:rsidRPr="00430AD4" w:rsidRDefault="00430AD4" w:rsidP="00430AD4">
      <w:pPr>
        <w:numPr>
          <w:ilvl w:val="1"/>
          <w:numId w:val="1"/>
        </w:numPr>
      </w:pPr>
      <w:r w:rsidRPr="00430AD4">
        <w:t xml:space="preserve">LHS highlights how perceptions and attitudes towards conflict can be transmitted across generations. In communities affected by ongoing violence, children may inherit biases and misconceptions from their parents, leading to entrenched cycles of hatred and misunderstanding. This perpetuates an environment where honest dialogue is challenging, further complicating efforts for </w:t>
      </w:r>
      <w:proofErr w:type="gramStart"/>
      <w:r w:rsidRPr="00430AD4">
        <w:t>peace .</w:t>
      </w:r>
      <w:proofErr w:type="gramEnd"/>
    </w:p>
    <w:p w14:paraId="5C4CC15A" w14:textId="77777777" w:rsidR="00430AD4" w:rsidRPr="00430AD4" w:rsidRDefault="00430AD4" w:rsidP="00430AD4">
      <w:pPr>
        <w:numPr>
          <w:ilvl w:val="0"/>
          <w:numId w:val="1"/>
        </w:numPr>
      </w:pPr>
      <w:r w:rsidRPr="00430AD4">
        <w:rPr>
          <w:b/>
          <w:bCs/>
        </w:rPr>
        <w:t>Emotional and Psychological Consequences</w:t>
      </w:r>
      <w:r w:rsidRPr="00430AD4">
        <w:t>:</w:t>
      </w:r>
    </w:p>
    <w:p w14:paraId="07A290D6" w14:textId="77777777" w:rsidR="00430AD4" w:rsidRPr="00430AD4" w:rsidRDefault="00430AD4" w:rsidP="00430AD4">
      <w:pPr>
        <w:numPr>
          <w:ilvl w:val="1"/>
          <w:numId w:val="1"/>
        </w:numPr>
      </w:pPr>
      <w:r w:rsidRPr="00430AD4">
        <w:t xml:space="preserve">The emotional toll of living in a context where deception and mistrust are prevalent can lead to increased anxiety, trauma, and divisions within society. Individuals exposed to constant misinformation may develop a skewed perception of reality, further entrenching their positions and making compromise </w:t>
      </w:r>
      <w:proofErr w:type="gramStart"/>
      <w:r w:rsidRPr="00430AD4">
        <w:t>difficult .</w:t>
      </w:r>
      <w:proofErr w:type="gramEnd"/>
    </w:p>
    <w:p w14:paraId="029B0DE1" w14:textId="77777777" w:rsidR="00430AD4" w:rsidRPr="00430AD4" w:rsidRDefault="00430AD4" w:rsidP="00430AD4">
      <w:pPr>
        <w:numPr>
          <w:ilvl w:val="0"/>
          <w:numId w:val="1"/>
        </w:numPr>
      </w:pPr>
      <w:r w:rsidRPr="00430AD4">
        <w:rPr>
          <w:b/>
          <w:bCs/>
        </w:rPr>
        <w:t>The Role of Social Media</w:t>
      </w:r>
      <w:r w:rsidRPr="00430AD4">
        <w:t>:</w:t>
      </w:r>
    </w:p>
    <w:p w14:paraId="117023B1" w14:textId="77777777" w:rsidR="00430AD4" w:rsidRPr="00430AD4" w:rsidRDefault="00430AD4" w:rsidP="00430AD4">
      <w:pPr>
        <w:numPr>
          <w:ilvl w:val="1"/>
          <w:numId w:val="1"/>
        </w:numPr>
      </w:pPr>
      <w:r w:rsidRPr="00430AD4">
        <w:t xml:space="preserve">In the digital age, social media has amplified the spread of misinformation and denialism. During and after the October 7 attacks, various platforms were inundated </w:t>
      </w:r>
      <w:r w:rsidRPr="00430AD4">
        <w:lastRenderedPageBreak/>
        <w:t xml:space="preserve">with conflicting reports and narratives. This digital landscape enables the rapid dissemination of false information, contributing to a fragmented public understanding of </w:t>
      </w:r>
      <w:proofErr w:type="gramStart"/>
      <w:r w:rsidRPr="00430AD4">
        <w:t>events .</w:t>
      </w:r>
      <w:proofErr w:type="gramEnd"/>
    </w:p>
    <w:p w14:paraId="16160490" w14:textId="77777777" w:rsidR="00430AD4" w:rsidRPr="00430AD4" w:rsidRDefault="00430AD4" w:rsidP="00430AD4">
      <w:pPr>
        <w:numPr>
          <w:ilvl w:val="0"/>
          <w:numId w:val="1"/>
        </w:numPr>
      </w:pPr>
      <w:r w:rsidRPr="00430AD4">
        <w:rPr>
          <w:b/>
          <w:bCs/>
        </w:rPr>
        <w:t>Historical Context</w:t>
      </w:r>
      <w:r w:rsidRPr="00430AD4">
        <w:t>:</w:t>
      </w:r>
    </w:p>
    <w:p w14:paraId="65B9C8D3" w14:textId="77777777" w:rsidR="00430AD4" w:rsidRPr="00430AD4" w:rsidRDefault="00430AD4" w:rsidP="00430AD4">
      <w:pPr>
        <w:numPr>
          <w:ilvl w:val="1"/>
          <w:numId w:val="1"/>
        </w:numPr>
      </w:pPr>
      <w:r w:rsidRPr="00430AD4">
        <w:t xml:space="preserve">The roots of LHS in the Israel-Palestine conflict can be traced back through decades of mistrust, broken promises, and historical grievances. Each generation’s perception of the conflict is shaped by the narratives they inherit, which often emphasize victimhood and injustice. This cycle reinforces a collective memory that can be resistant to change, further perpetuating </w:t>
      </w:r>
      <w:proofErr w:type="gramStart"/>
      <w:r w:rsidRPr="00430AD4">
        <w:t>conflict .</w:t>
      </w:r>
      <w:proofErr w:type="gramEnd"/>
    </w:p>
    <w:p w14:paraId="235A2F8E" w14:textId="77777777" w:rsidR="00430AD4" w:rsidRPr="00430AD4" w:rsidRDefault="00430AD4" w:rsidP="00430AD4">
      <w:pPr>
        <w:rPr>
          <w:b/>
          <w:bCs/>
        </w:rPr>
      </w:pPr>
      <w:r w:rsidRPr="00430AD4">
        <w:rPr>
          <w:b/>
          <w:bCs/>
        </w:rPr>
        <w:t>Conclusion</w:t>
      </w:r>
    </w:p>
    <w:p w14:paraId="55DF1973" w14:textId="77777777" w:rsidR="00430AD4" w:rsidRPr="00430AD4" w:rsidRDefault="00430AD4" w:rsidP="00430AD4">
      <w:r w:rsidRPr="00430AD4">
        <w:t>The events of October 7, 2023, serve as a stark reminder of how Liar's Heir Syndrome can manifest in real-world scenarios, influencing public perception, perpetuating conflict, and obstructing pathways to resolution. By recognizing the role of generational deception and misinformation, it becomes possible to understand the complexities of the Israeli-Palestinian conflict more deeply.</w:t>
      </w:r>
    </w:p>
    <w:p w14:paraId="6AE039D3" w14:textId="77777777" w:rsidR="00430AD4" w:rsidRPr="00430AD4" w:rsidRDefault="00430AD4" w:rsidP="00430AD4">
      <w:r w:rsidRPr="00430AD4">
        <w:t>Addressing LHS in this context requires fostering open dialogue, promoting transparency, and challenging the narratives that perpetuate division. By confronting these truths, societies can begin to heal and work towards a more peaceful coexistence.</w:t>
      </w:r>
    </w:p>
    <w:p w14:paraId="371746D1" w14:textId="77777777" w:rsidR="00430AD4" w:rsidRPr="00430AD4" w:rsidRDefault="00430AD4" w:rsidP="00430AD4">
      <w:pPr>
        <w:rPr>
          <w:b/>
          <w:bCs/>
        </w:rPr>
      </w:pPr>
      <w:r w:rsidRPr="00430AD4">
        <w:rPr>
          <w:b/>
          <w:bCs/>
        </w:rPr>
        <w:t>References</w:t>
      </w:r>
    </w:p>
    <w:p w14:paraId="1304A0D0" w14:textId="77777777" w:rsidR="00430AD4" w:rsidRPr="00430AD4" w:rsidRDefault="00430AD4" w:rsidP="00430AD4">
      <w:pPr>
        <w:numPr>
          <w:ilvl w:val="0"/>
          <w:numId w:val="2"/>
        </w:numPr>
      </w:pPr>
      <w:hyperlink r:id="rId10" w:tgtFrame="_new" w:history="1">
        <w:r w:rsidRPr="00430AD4">
          <w:rPr>
            <w:rStyle w:val="Hyperlink"/>
          </w:rPr>
          <w:t>New York Times: October 7 Attack Overview</w:t>
        </w:r>
      </w:hyperlink>
    </w:p>
    <w:p w14:paraId="3399F9B8" w14:textId="77777777" w:rsidR="00430AD4" w:rsidRPr="00430AD4" w:rsidRDefault="00430AD4" w:rsidP="00430AD4">
      <w:pPr>
        <w:numPr>
          <w:ilvl w:val="0"/>
          <w:numId w:val="2"/>
        </w:numPr>
      </w:pPr>
      <w:r w:rsidRPr="00430AD4">
        <w:t>Washington Post: Denialism and Misinformation</w:t>
      </w:r>
    </w:p>
    <w:p w14:paraId="350DDD7D" w14:textId="77777777" w:rsidR="00430AD4" w:rsidRPr="00430AD4" w:rsidRDefault="00430AD4" w:rsidP="00430AD4">
      <w:pPr>
        <w:numPr>
          <w:ilvl w:val="0"/>
          <w:numId w:val="2"/>
        </w:numPr>
      </w:pPr>
      <w:hyperlink r:id="rId11" w:tgtFrame="_new" w:history="1">
        <w:r w:rsidRPr="00430AD4">
          <w:rPr>
            <w:rStyle w:val="Hyperlink"/>
          </w:rPr>
          <w:t>The Guardian: Emotional Impact of Conflict</w:t>
        </w:r>
      </w:hyperlink>
    </w:p>
    <w:p w14:paraId="6FF6CF7C" w14:textId="77777777" w:rsidR="00430AD4" w:rsidRPr="00430AD4" w:rsidRDefault="00430AD4" w:rsidP="00430AD4">
      <w:pPr>
        <w:numPr>
          <w:ilvl w:val="0"/>
          <w:numId w:val="2"/>
        </w:numPr>
      </w:pPr>
      <w:hyperlink r:id="rId12" w:tgtFrame="_new" w:history="1">
        <w:r w:rsidRPr="00430AD4">
          <w:rPr>
            <w:rStyle w:val="Hyperlink"/>
          </w:rPr>
          <w:t>BBC News: Role of Social Media</w:t>
        </w:r>
      </w:hyperlink>
    </w:p>
    <w:p w14:paraId="6A82C866" w14:textId="77777777" w:rsidR="00430AD4" w:rsidRPr="00430AD4" w:rsidRDefault="00430AD4" w:rsidP="00430AD4">
      <w:pPr>
        <w:numPr>
          <w:ilvl w:val="0"/>
          <w:numId w:val="2"/>
        </w:numPr>
      </w:pPr>
      <w:r w:rsidRPr="00430AD4">
        <w:t>Haaretz: Historical Context of the Conflict</w:t>
      </w:r>
    </w:p>
    <w:p w14:paraId="364ED0BD" w14:textId="77777777" w:rsidR="00430AD4" w:rsidRPr="00430AD4" w:rsidRDefault="00430AD4" w:rsidP="00430AD4">
      <w:r w:rsidRPr="00430AD4">
        <w:t>These references provide additional insights into the events and implications of LHS in the context of the recent attack and the broader conflict.</w:t>
      </w:r>
    </w:p>
    <w:p w14:paraId="36F5E72D" w14:textId="77777777" w:rsidR="00430AD4" w:rsidRDefault="00430AD4"/>
    <w:p w14:paraId="56753F9A" w14:textId="77777777" w:rsidR="00B433E8" w:rsidRPr="00B433E8" w:rsidRDefault="00B433E8" w:rsidP="00B433E8">
      <w:pPr>
        <w:rPr>
          <w:b/>
          <w:bCs/>
        </w:rPr>
      </w:pPr>
      <w:r w:rsidRPr="00B433E8">
        <w:rPr>
          <w:b/>
          <w:bCs/>
        </w:rPr>
        <w:t>Expanded Analysis of Liar's Heir Syndrome (LHS) in the Context of the October 7, 2023, Israel-Hamas Conflict</w:t>
      </w:r>
    </w:p>
    <w:p w14:paraId="6B15D221" w14:textId="77777777" w:rsidR="00B433E8" w:rsidRPr="00B433E8" w:rsidRDefault="00B433E8" w:rsidP="00B433E8">
      <w:pPr>
        <w:rPr>
          <w:b/>
          <w:bCs/>
        </w:rPr>
      </w:pPr>
      <w:r w:rsidRPr="00B433E8">
        <w:rPr>
          <w:b/>
          <w:bCs/>
        </w:rPr>
        <w:t>Overview of Events</w:t>
      </w:r>
    </w:p>
    <w:p w14:paraId="3F2B3E5D" w14:textId="77777777" w:rsidR="00B433E8" w:rsidRPr="00B433E8" w:rsidRDefault="00B433E8" w:rsidP="00B433E8">
      <w:r w:rsidRPr="00B433E8">
        <w:t xml:space="preserve">On October 7, 2023, Hamas launched a surprise attack on Israel, marking a significant escalation in the Israeli-Palestinian conflict. This assault involved thousands of rockets fired into Israeli territory, coordinated ground assaults, and the taking of hostages, resulting in considerable casualties on both sides. Israeli Prime Minister Benjamin Netanyahu labeled the attack as "a terrible tragedy" and declared a state of </w:t>
      </w:r>
      <w:proofErr w:type="gramStart"/>
      <w:r w:rsidRPr="00B433E8">
        <w:t>war .</w:t>
      </w:r>
      <w:proofErr w:type="gramEnd"/>
      <w:r w:rsidRPr="00B433E8">
        <w:t xml:space="preserve"> The immediate aftermath saw Israel launching extensive retaliatory strikes in Gaza, further inflaming the situation and leading to a humanitarian </w:t>
      </w:r>
      <w:proofErr w:type="gramStart"/>
      <w:r w:rsidRPr="00B433E8">
        <w:t>crisis .</w:t>
      </w:r>
      <w:proofErr w:type="gramEnd"/>
    </w:p>
    <w:p w14:paraId="790451B8" w14:textId="77777777" w:rsidR="00B433E8" w:rsidRPr="00B433E8" w:rsidRDefault="00B433E8" w:rsidP="00B433E8">
      <w:pPr>
        <w:rPr>
          <w:b/>
          <w:bCs/>
        </w:rPr>
      </w:pPr>
      <w:r w:rsidRPr="00B433E8">
        <w:rPr>
          <w:b/>
          <w:bCs/>
        </w:rPr>
        <w:lastRenderedPageBreak/>
        <w:t>Liar's Heir Syndrome and Its Role</w:t>
      </w:r>
    </w:p>
    <w:p w14:paraId="35BFFB2D" w14:textId="77777777" w:rsidR="00B433E8" w:rsidRPr="00B433E8" w:rsidRDefault="00B433E8" w:rsidP="00B433E8">
      <w:r w:rsidRPr="00B433E8">
        <w:t>Liar's Heir Syndrome (LHS) encapsulates the generational transmission of deception, mistrust, and manipulation, which can play a critical role in perpetuating conflict. In analyzing the events surrounding the October 7 attacks, several key aspects of LHS become evident:</w:t>
      </w:r>
    </w:p>
    <w:p w14:paraId="2113C697" w14:textId="77777777" w:rsidR="00B433E8" w:rsidRPr="00B433E8" w:rsidRDefault="00B433E8" w:rsidP="00B433E8">
      <w:pPr>
        <w:numPr>
          <w:ilvl w:val="0"/>
          <w:numId w:val="3"/>
        </w:numPr>
      </w:pPr>
      <w:r w:rsidRPr="00B433E8">
        <w:rPr>
          <w:b/>
          <w:bCs/>
        </w:rPr>
        <w:t>Misinformation and Narrative Control</w:t>
      </w:r>
      <w:r w:rsidRPr="00B433E8">
        <w:t>:</w:t>
      </w:r>
    </w:p>
    <w:p w14:paraId="0EB64F26" w14:textId="77777777" w:rsidR="00B433E8" w:rsidRPr="00B433E8" w:rsidRDefault="00B433E8" w:rsidP="00B433E8">
      <w:pPr>
        <w:numPr>
          <w:ilvl w:val="1"/>
          <w:numId w:val="3"/>
        </w:numPr>
      </w:pPr>
      <w:r w:rsidRPr="00B433E8">
        <w:t xml:space="preserve">The attack prompted various narratives, with some media outlets and individuals downplaying the violence or framing it within pre-existing biases. This behavior reflects LHS, where historical contexts are distorted or ignored, leading to a fragmented understanding of the </w:t>
      </w:r>
      <w:proofErr w:type="gramStart"/>
      <w:r w:rsidRPr="00B433E8">
        <w:t>events .</w:t>
      </w:r>
      <w:proofErr w:type="gramEnd"/>
      <w:r w:rsidRPr="00B433E8">
        <w:t xml:space="preserve"> For instance, during the attacks, there were instances of misinformation on social media platforms regarding the death toll and the nature of the attacks, with some posts falsely claiming that Israel was responsible for provoking </w:t>
      </w:r>
      <w:proofErr w:type="gramStart"/>
      <w:r w:rsidRPr="00B433E8">
        <w:t>Hamas .</w:t>
      </w:r>
      <w:proofErr w:type="gramEnd"/>
    </w:p>
    <w:p w14:paraId="03071271" w14:textId="77777777" w:rsidR="00B433E8" w:rsidRPr="00B433E8" w:rsidRDefault="00B433E8" w:rsidP="00B433E8">
      <w:pPr>
        <w:numPr>
          <w:ilvl w:val="0"/>
          <w:numId w:val="3"/>
        </w:numPr>
      </w:pPr>
      <w:r w:rsidRPr="00B433E8">
        <w:rPr>
          <w:b/>
          <w:bCs/>
        </w:rPr>
        <w:t>Generational Transmission of Hostility</w:t>
      </w:r>
      <w:r w:rsidRPr="00B433E8">
        <w:t>:</w:t>
      </w:r>
    </w:p>
    <w:p w14:paraId="415B1DEA" w14:textId="77777777" w:rsidR="00B433E8" w:rsidRPr="00B433E8" w:rsidRDefault="00B433E8" w:rsidP="00B433E8">
      <w:pPr>
        <w:numPr>
          <w:ilvl w:val="1"/>
          <w:numId w:val="3"/>
        </w:numPr>
      </w:pPr>
      <w:r w:rsidRPr="00B433E8">
        <w:t xml:space="preserve">Historical grievances, such as the displacement of Palestinians during the establishment of Israel in 1948 and subsequent wars, create an environment where animosities are passed down through generations. The narratives surrounding these events often emphasize victimization, which can cultivate an "us versus them" </w:t>
      </w:r>
      <w:proofErr w:type="gramStart"/>
      <w:r w:rsidRPr="00B433E8">
        <w:t>mentality .</w:t>
      </w:r>
      <w:proofErr w:type="gramEnd"/>
      <w:r w:rsidRPr="00B433E8">
        <w:t xml:space="preserve"> For example, many young Palestinians may grow up hearing stories of loss and suffering, which shapes their views on the conflict and reinforces cycles of mistrust and </w:t>
      </w:r>
      <w:proofErr w:type="gramStart"/>
      <w:r w:rsidRPr="00B433E8">
        <w:t>aggression .</w:t>
      </w:r>
      <w:proofErr w:type="gramEnd"/>
    </w:p>
    <w:p w14:paraId="5F9781EF" w14:textId="77777777" w:rsidR="00B433E8" w:rsidRPr="00B433E8" w:rsidRDefault="00B433E8" w:rsidP="00B433E8">
      <w:pPr>
        <w:numPr>
          <w:ilvl w:val="0"/>
          <w:numId w:val="3"/>
        </w:numPr>
      </w:pPr>
      <w:r w:rsidRPr="00B433E8">
        <w:rPr>
          <w:b/>
          <w:bCs/>
        </w:rPr>
        <w:t>Psychological Impact</w:t>
      </w:r>
      <w:r w:rsidRPr="00B433E8">
        <w:t>:</w:t>
      </w:r>
    </w:p>
    <w:p w14:paraId="52609C31" w14:textId="77777777" w:rsidR="00B433E8" w:rsidRPr="00B433E8" w:rsidRDefault="00B433E8" w:rsidP="00B433E8">
      <w:pPr>
        <w:numPr>
          <w:ilvl w:val="1"/>
          <w:numId w:val="3"/>
        </w:numPr>
      </w:pPr>
      <w:r w:rsidRPr="00B433E8">
        <w:t xml:space="preserve">The emotional and psychological effects of living in a context marked by deception and conflict can be profound. Continuous exposure to violence and propaganda can lead to collective trauma, making it challenging for individuals to process the reality of their circumstances </w:t>
      </w:r>
      <w:proofErr w:type="gramStart"/>
      <w:r w:rsidRPr="00B433E8">
        <w:t>objectively .</w:t>
      </w:r>
      <w:proofErr w:type="gramEnd"/>
      <w:r w:rsidRPr="00B433E8">
        <w:t xml:space="preserve"> For instance, psychological studies indicate that children growing up in conflict zones are at a higher risk of developing anxiety and post-traumatic stress disorder (PTSD), which perpetuates a cycle of </w:t>
      </w:r>
      <w:proofErr w:type="gramStart"/>
      <w:r w:rsidRPr="00B433E8">
        <w:t>violence .</w:t>
      </w:r>
      <w:proofErr w:type="gramEnd"/>
    </w:p>
    <w:p w14:paraId="5F54F2FE" w14:textId="77777777" w:rsidR="00B433E8" w:rsidRPr="00B433E8" w:rsidRDefault="00B433E8" w:rsidP="00B433E8">
      <w:pPr>
        <w:numPr>
          <w:ilvl w:val="0"/>
          <w:numId w:val="3"/>
        </w:numPr>
      </w:pPr>
      <w:r w:rsidRPr="00B433E8">
        <w:rPr>
          <w:b/>
          <w:bCs/>
        </w:rPr>
        <w:t>Social Media's Role in Perpetuating LHS</w:t>
      </w:r>
      <w:r w:rsidRPr="00B433E8">
        <w:t>:</w:t>
      </w:r>
    </w:p>
    <w:p w14:paraId="58FAE964" w14:textId="77777777" w:rsidR="00B433E8" w:rsidRPr="00B433E8" w:rsidRDefault="00B433E8" w:rsidP="00B433E8">
      <w:pPr>
        <w:numPr>
          <w:ilvl w:val="1"/>
          <w:numId w:val="3"/>
        </w:numPr>
      </w:pPr>
      <w:r w:rsidRPr="00B433E8">
        <w:t xml:space="preserve">Social media played a significant role during the October 7 attacks, with platforms serving as battlegrounds for competing narratives. Misinformation spread rapidly, complicating the public's understanding of the situation. A study highlighted that false information related to the conflict often goes viral, leading to widespread misconceptions that can escalate tensions </w:t>
      </w:r>
      <w:proofErr w:type="gramStart"/>
      <w:r w:rsidRPr="00B433E8">
        <w:t>further .</w:t>
      </w:r>
      <w:proofErr w:type="gramEnd"/>
      <w:r w:rsidRPr="00B433E8">
        <w:t xml:space="preserve"> For instance, videos and images shared out of context fueled outrage and misunderstanding, illustrating how easily false narratives can take root in the public </w:t>
      </w:r>
      <w:proofErr w:type="gramStart"/>
      <w:r w:rsidRPr="00B433E8">
        <w:t>consciousness .</w:t>
      </w:r>
      <w:proofErr w:type="gramEnd"/>
    </w:p>
    <w:p w14:paraId="2CD8897B" w14:textId="77777777" w:rsidR="00B433E8" w:rsidRPr="00B433E8" w:rsidRDefault="00B433E8" w:rsidP="00B433E8">
      <w:pPr>
        <w:numPr>
          <w:ilvl w:val="0"/>
          <w:numId w:val="3"/>
        </w:numPr>
      </w:pPr>
      <w:r w:rsidRPr="00B433E8">
        <w:rPr>
          <w:b/>
          <w:bCs/>
        </w:rPr>
        <w:t>Historical Context and its Relevance</w:t>
      </w:r>
      <w:r w:rsidRPr="00B433E8">
        <w:t>:</w:t>
      </w:r>
    </w:p>
    <w:p w14:paraId="0A1EF998" w14:textId="77777777" w:rsidR="00B433E8" w:rsidRPr="00B433E8" w:rsidRDefault="00B433E8" w:rsidP="00B433E8">
      <w:pPr>
        <w:numPr>
          <w:ilvl w:val="1"/>
          <w:numId w:val="3"/>
        </w:numPr>
      </w:pPr>
      <w:r w:rsidRPr="00B433E8">
        <w:t xml:space="preserve">The Israeli-Palestinian conflict has deep historical roots, including territorial disputes, colonial legacies, and religious significance. These factors create a complex web of </w:t>
      </w:r>
      <w:r w:rsidRPr="00B433E8">
        <w:lastRenderedPageBreak/>
        <w:t xml:space="preserve">grievances that are often distorted or oversimplified in narratives surrounding the </w:t>
      </w:r>
      <w:proofErr w:type="gramStart"/>
      <w:r w:rsidRPr="00B433E8">
        <w:t>conflict .</w:t>
      </w:r>
      <w:proofErr w:type="gramEnd"/>
      <w:r w:rsidRPr="00B433E8">
        <w:t xml:space="preserve"> For example, events like the Six-Day War in 1967 and the Oslo Accords in the 1990s have shaped current perspectives, with each side interpreting these events through their lenses of victimhood and </w:t>
      </w:r>
      <w:proofErr w:type="gramStart"/>
      <w:r w:rsidRPr="00B433E8">
        <w:t>injustice .</w:t>
      </w:r>
      <w:proofErr w:type="gramEnd"/>
    </w:p>
    <w:p w14:paraId="615A01C0" w14:textId="77777777" w:rsidR="00B433E8" w:rsidRPr="00B433E8" w:rsidRDefault="00B433E8" w:rsidP="00B433E8">
      <w:pPr>
        <w:rPr>
          <w:b/>
          <w:bCs/>
        </w:rPr>
      </w:pPr>
      <w:r w:rsidRPr="00B433E8">
        <w:rPr>
          <w:b/>
          <w:bCs/>
        </w:rPr>
        <w:t>Conclusion</w:t>
      </w:r>
    </w:p>
    <w:p w14:paraId="5502122B" w14:textId="77777777" w:rsidR="00B433E8" w:rsidRPr="00B433E8" w:rsidRDefault="00B433E8" w:rsidP="00B433E8">
      <w:r w:rsidRPr="00B433E8">
        <w:t>The events of October 7, 2023, starkly illustrate how Liar's Heir Syndrome can manifest in the context of conflict, influencing public perception, perpetuating cycles of violence, and obstructing pathways to resolution. Recognizing the role of generational deception and misinformation in shaping narratives is crucial for understanding the complexities of the Israeli-Palestinian conflict.</w:t>
      </w:r>
    </w:p>
    <w:p w14:paraId="4B7FD948" w14:textId="77777777" w:rsidR="00B433E8" w:rsidRPr="00B433E8" w:rsidRDefault="00B433E8" w:rsidP="00B433E8">
      <w:r w:rsidRPr="00B433E8">
        <w:t>To address the challenges posed by LHS, it is imperative to foster open dialogue, promote transparency, and challenge the entrenched narratives that divide communities. By confronting these realities, societies can begin to heal and work toward a more peaceful coexistence.</w:t>
      </w:r>
    </w:p>
    <w:p w14:paraId="02BF7AF3" w14:textId="77777777" w:rsidR="00B433E8" w:rsidRPr="00B433E8" w:rsidRDefault="00B433E8" w:rsidP="00B433E8">
      <w:pPr>
        <w:rPr>
          <w:b/>
          <w:bCs/>
        </w:rPr>
      </w:pPr>
      <w:r w:rsidRPr="00B433E8">
        <w:rPr>
          <w:b/>
          <w:bCs/>
        </w:rPr>
        <w:t>References</w:t>
      </w:r>
    </w:p>
    <w:p w14:paraId="06DC5CF3" w14:textId="77777777" w:rsidR="00B433E8" w:rsidRPr="00B433E8" w:rsidRDefault="00B433E8" w:rsidP="00B433E8">
      <w:pPr>
        <w:numPr>
          <w:ilvl w:val="0"/>
          <w:numId w:val="4"/>
        </w:numPr>
      </w:pPr>
      <w:hyperlink r:id="rId13" w:tgtFrame="_new" w:history="1">
        <w:r w:rsidRPr="00B433E8">
          <w:rPr>
            <w:rStyle w:val="Hyperlink"/>
          </w:rPr>
          <w:t>The New York Times: Overview of October 7 Attack</w:t>
        </w:r>
      </w:hyperlink>
    </w:p>
    <w:p w14:paraId="4EE6913F" w14:textId="77777777" w:rsidR="00B433E8" w:rsidRPr="00B433E8" w:rsidRDefault="00B433E8" w:rsidP="00B433E8">
      <w:pPr>
        <w:numPr>
          <w:ilvl w:val="0"/>
          <w:numId w:val="4"/>
        </w:numPr>
      </w:pPr>
      <w:r w:rsidRPr="00B433E8">
        <w:t>The Washington Post: Reaction to the Attacks</w:t>
      </w:r>
    </w:p>
    <w:p w14:paraId="7E5F0CD8" w14:textId="77777777" w:rsidR="00B433E8" w:rsidRPr="00B433E8" w:rsidRDefault="00B433E8" w:rsidP="00B433E8">
      <w:pPr>
        <w:numPr>
          <w:ilvl w:val="0"/>
          <w:numId w:val="4"/>
        </w:numPr>
      </w:pPr>
      <w:hyperlink r:id="rId14" w:tgtFrame="_new" w:history="1">
        <w:r w:rsidRPr="00B433E8">
          <w:rPr>
            <w:rStyle w:val="Hyperlink"/>
          </w:rPr>
          <w:t>The Guardian: Mental Health Implications</w:t>
        </w:r>
      </w:hyperlink>
    </w:p>
    <w:p w14:paraId="1F7CABC3" w14:textId="77777777" w:rsidR="00B433E8" w:rsidRPr="00B433E8" w:rsidRDefault="00B433E8" w:rsidP="00B433E8">
      <w:pPr>
        <w:numPr>
          <w:ilvl w:val="0"/>
          <w:numId w:val="4"/>
        </w:numPr>
      </w:pPr>
      <w:hyperlink r:id="rId15" w:tgtFrame="_new" w:history="1">
        <w:r w:rsidRPr="00B433E8">
          <w:rPr>
            <w:rStyle w:val="Hyperlink"/>
          </w:rPr>
          <w:t>BBC News: Social Media Misinformation</w:t>
        </w:r>
      </w:hyperlink>
    </w:p>
    <w:p w14:paraId="0CD623E5" w14:textId="77777777" w:rsidR="00B433E8" w:rsidRPr="00B433E8" w:rsidRDefault="00B433E8" w:rsidP="00B433E8">
      <w:pPr>
        <w:numPr>
          <w:ilvl w:val="0"/>
          <w:numId w:val="4"/>
        </w:numPr>
      </w:pPr>
      <w:r w:rsidRPr="00B433E8">
        <w:t>Haaretz: Historical Context of the Conflict</w:t>
      </w:r>
    </w:p>
    <w:p w14:paraId="0E2BC9AF" w14:textId="77777777" w:rsidR="00B433E8" w:rsidRPr="00B433E8" w:rsidRDefault="00B433E8" w:rsidP="00B433E8">
      <w:r w:rsidRPr="00B433E8">
        <w:t>This expanded analysis aims to deepen the understanding of LHS in the context of the recent conflict while providing a comprehensive view of the factors at play.</w:t>
      </w:r>
    </w:p>
    <w:p w14:paraId="5C5852D0" w14:textId="77777777" w:rsidR="00B433E8" w:rsidRDefault="00B433E8"/>
    <w:sectPr w:rsidR="00B433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410CD"/>
    <w:multiLevelType w:val="multilevel"/>
    <w:tmpl w:val="52BAF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F42CF"/>
    <w:multiLevelType w:val="multilevel"/>
    <w:tmpl w:val="63343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42154"/>
    <w:multiLevelType w:val="multilevel"/>
    <w:tmpl w:val="987EA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B576B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CC3F1C"/>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37D5F"/>
    <w:multiLevelType w:val="multilevel"/>
    <w:tmpl w:val="04906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C26107"/>
    <w:multiLevelType w:val="multilevel"/>
    <w:tmpl w:val="2DB6F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518AC"/>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023B5C"/>
    <w:multiLevelType w:val="multilevel"/>
    <w:tmpl w:val="E334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AC33F4"/>
    <w:multiLevelType w:val="multilevel"/>
    <w:tmpl w:val="9C90D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3F28AB"/>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A60438"/>
    <w:multiLevelType w:val="multilevel"/>
    <w:tmpl w:val="25CC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6F306B"/>
    <w:multiLevelType w:val="multilevel"/>
    <w:tmpl w:val="692AD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F166B4"/>
    <w:multiLevelType w:val="multilevel"/>
    <w:tmpl w:val="A6E66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1592267">
    <w:abstractNumId w:val="10"/>
  </w:num>
  <w:num w:numId="2" w16cid:durableId="2090150541">
    <w:abstractNumId w:val="8"/>
  </w:num>
  <w:num w:numId="3" w16cid:durableId="1348680730">
    <w:abstractNumId w:val="4"/>
  </w:num>
  <w:num w:numId="4" w16cid:durableId="1878424760">
    <w:abstractNumId w:val="11"/>
  </w:num>
  <w:num w:numId="5" w16cid:durableId="505636706">
    <w:abstractNumId w:val="6"/>
  </w:num>
  <w:num w:numId="6" w16cid:durableId="1264996614">
    <w:abstractNumId w:val="13"/>
  </w:num>
  <w:num w:numId="7" w16cid:durableId="74668258">
    <w:abstractNumId w:val="1"/>
  </w:num>
  <w:num w:numId="8" w16cid:durableId="1317689825">
    <w:abstractNumId w:val="2"/>
  </w:num>
  <w:num w:numId="9" w16cid:durableId="1094866002">
    <w:abstractNumId w:val="7"/>
  </w:num>
  <w:num w:numId="10" w16cid:durableId="468475910">
    <w:abstractNumId w:val="5"/>
  </w:num>
  <w:num w:numId="11" w16cid:durableId="594167037">
    <w:abstractNumId w:val="0"/>
  </w:num>
  <w:num w:numId="12" w16cid:durableId="110898211">
    <w:abstractNumId w:val="9"/>
  </w:num>
  <w:num w:numId="13" w16cid:durableId="1130242647">
    <w:abstractNumId w:val="12"/>
  </w:num>
  <w:num w:numId="14" w16cid:durableId="430471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0D"/>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61A72"/>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0AD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3720D"/>
    <w:rsid w:val="00540BFF"/>
    <w:rsid w:val="005423C6"/>
    <w:rsid w:val="00547FF4"/>
    <w:rsid w:val="00550932"/>
    <w:rsid w:val="00557A56"/>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33E8"/>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22FC"/>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2A51"/>
  <w15:chartTrackingRefBased/>
  <w15:docId w15:val="{9861C166-2E5E-4E67-B6EB-A151787A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2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72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72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72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72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7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2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72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72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72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72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7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20D"/>
    <w:rPr>
      <w:rFonts w:eastAsiaTheme="majorEastAsia" w:cstheme="majorBidi"/>
      <w:color w:val="272727" w:themeColor="text1" w:themeTint="D8"/>
    </w:rPr>
  </w:style>
  <w:style w:type="paragraph" w:styleId="Title">
    <w:name w:val="Title"/>
    <w:basedOn w:val="Normal"/>
    <w:next w:val="Normal"/>
    <w:link w:val="TitleChar"/>
    <w:uiPriority w:val="10"/>
    <w:qFormat/>
    <w:rsid w:val="00537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20D"/>
    <w:pPr>
      <w:spacing w:before="160"/>
      <w:jc w:val="center"/>
    </w:pPr>
    <w:rPr>
      <w:i/>
      <w:iCs/>
      <w:color w:val="404040" w:themeColor="text1" w:themeTint="BF"/>
    </w:rPr>
  </w:style>
  <w:style w:type="character" w:customStyle="1" w:styleId="QuoteChar">
    <w:name w:val="Quote Char"/>
    <w:basedOn w:val="DefaultParagraphFont"/>
    <w:link w:val="Quote"/>
    <w:uiPriority w:val="29"/>
    <w:rsid w:val="0053720D"/>
    <w:rPr>
      <w:i/>
      <w:iCs/>
      <w:color w:val="404040" w:themeColor="text1" w:themeTint="BF"/>
    </w:rPr>
  </w:style>
  <w:style w:type="paragraph" w:styleId="ListParagraph">
    <w:name w:val="List Paragraph"/>
    <w:basedOn w:val="Normal"/>
    <w:uiPriority w:val="34"/>
    <w:qFormat/>
    <w:rsid w:val="0053720D"/>
    <w:pPr>
      <w:ind w:left="720"/>
      <w:contextualSpacing/>
    </w:pPr>
  </w:style>
  <w:style w:type="character" w:styleId="IntenseEmphasis">
    <w:name w:val="Intense Emphasis"/>
    <w:basedOn w:val="DefaultParagraphFont"/>
    <w:uiPriority w:val="21"/>
    <w:qFormat/>
    <w:rsid w:val="0053720D"/>
    <w:rPr>
      <w:i/>
      <w:iCs/>
      <w:color w:val="2F5496" w:themeColor="accent1" w:themeShade="BF"/>
    </w:rPr>
  </w:style>
  <w:style w:type="paragraph" w:styleId="IntenseQuote">
    <w:name w:val="Intense Quote"/>
    <w:basedOn w:val="Normal"/>
    <w:next w:val="Normal"/>
    <w:link w:val="IntenseQuoteChar"/>
    <w:uiPriority w:val="30"/>
    <w:qFormat/>
    <w:rsid w:val="005372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720D"/>
    <w:rPr>
      <w:i/>
      <w:iCs/>
      <w:color w:val="2F5496" w:themeColor="accent1" w:themeShade="BF"/>
    </w:rPr>
  </w:style>
  <w:style w:type="character" w:styleId="IntenseReference">
    <w:name w:val="Intense Reference"/>
    <w:basedOn w:val="DefaultParagraphFont"/>
    <w:uiPriority w:val="32"/>
    <w:qFormat/>
    <w:rsid w:val="0053720D"/>
    <w:rPr>
      <w:b/>
      <w:bCs/>
      <w:smallCaps/>
      <w:color w:val="2F5496" w:themeColor="accent1" w:themeShade="BF"/>
      <w:spacing w:val="5"/>
    </w:rPr>
  </w:style>
  <w:style w:type="character" w:styleId="Hyperlink">
    <w:name w:val="Hyperlink"/>
    <w:basedOn w:val="DefaultParagraphFont"/>
    <w:uiPriority w:val="99"/>
    <w:unhideWhenUsed/>
    <w:rsid w:val="00430AD4"/>
    <w:rPr>
      <w:color w:val="0563C1" w:themeColor="hyperlink"/>
      <w:u w:val="single"/>
    </w:rPr>
  </w:style>
  <w:style w:type="character" w:styleId="UnresolvedMention">
    <w:name w:val="Unresolved Mention"/>
    <w:basedOn w:val="DefaultParagraphFont"/>
    <w:uiPriority w:val="99"/>
    <w:semiHidden/>
    <w:unhideWhenUsed/>
    <w:rsid w:val="00430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61358">
      <w:bodyDiv w:val="1"/>
      <w:marLeft w:val="0"/>
      <w:marRight w:val="0"/>
      <w:marTop w:val="0"/>
      <w:marBottom w:val="0"/>
      <w:divBdr>
        <w:top w:val="none" w:sz="0" w:space="0" w:color="auto"/>
        <w:left w:val="none" w:sz="0" w:space="0" w:color="auto"/>
        <w:bottom w:val="none" w:sz="0" w:space="0" w:color="auto"/>
        <w:right w:val="none" w:sz="0" w:space="0" w:color="auto"/>
      </w:divBdr>
      <w:divsChild>
        <w:div w:id="169877645">
          <w:marLeft w:val="0"/>
          <w:marRight w:val="0"/>
          <w:marTop w:val="0"/>
          <w:marBottom w:val="0"/>
          <w:divBdr>
            <w:top w:val="none" w:sz="0" w:space="0" w:color="auto"/>
            <w:left w:val="none" w:sz="0" w:space="0" w:color="auto"/>
            <w:bottom w:val="none" w:sz="0" w:space="0" w:color="auto"/>
            <w:right w:val="none" w:sz="0" w:space="0" w:color="auto"/>
          </w:divBdr>
        </w:div>
        <w:div w:id="2028671560">
          <w:marLeft w:val="0"/>
          <w:marRight w:val="0"/>
          <w:marTop w:val="0"/>
          <w:marBottom w:val="0"/>
          <w:divBdr>
            <w:top w:val="none" w:sz="0" w:space="0" w:color="auto"/>
            <w:left w:val="none" w:sz="0" w:space="0" w:color="auto"/>
            <w:bottom w:val="none" w:sz="0" w:space="0" w:color="auto"/>
            <w:right w:val="none" w:sz="0" w:space="0" w:color="auto"/>
          </w:divBdr>
        </w:div>
        <w:div w:id="1336107201">
          <w:marLeft w:val="0"/>
          <w:marRight w:val="0"/>
          <w:marTop w:val="0"/>
          <w:marBottom w:val="0"/>
          <w:divBdr>
            <w:top w:val="none" w:sz="0" w:space="0" w:color="auto"/>
            <w:left w:val="none" w:sz="0" w:space="0" w:color="auto"/>
            <w:bottom w:val="none" w:sz="0" w:space="0" w:color="auto"/>
            <w:right w:val="none" w:sz="0" w:space="0" w:color="auto"/>
          </w:divBdr>
        </w:div>
      </w:divsChild>
    </w:div>
    <w:div w:id="212353811">
      <w:bodyDiv w:val="1"/>
      <w:marLeft w:val="0"/>
      <w:marRight w:val="0"/>
      <w:marTop w:val="0"/>
      <w:marBottom w:val="0"/>
      <w:divBdr>
        <w:top w:val="none" w:sz="0" w:space="0" w:color="auto"/>
        <w:left w:val="none" w:sz="0" w:space="0" w:color="auto"/>
        <w:bottom w:val="none" w:sz="0" w:space="0" w:color="auto"/>
        <w:right w:val="none" w:sz="0" w:space="0" w:color="auto"/>
      </w:divBdr>
    </w:div>
    <w:div w:id="215047574">
      <w:bodyDiv w:val="1"/>
      <w:marLeft w:val="0"/>
      <w:marRight w:val="0"/>
      <w:marTop w:val="0"/>
      <w:marBottom w:val="0"/>
      <w:divBdr>
        <w:top w:val="none" w:sz="0" w:space="0" w:color="auto"/>
        <w:left w:val="none" w:sz="0" w:space="0" w:color="auto"/>
        <w:bottom w:val="none" w:sz="0" w:space="0" w:color="auto"/>
        <w:right w:val="none" w:sz="0" w:space="0" w:color="auto"/>
      </w:divBdr>
      <w:divsChild>
        <w:div w:id="878473419">
          <w:marLeft w:val="0"/>
          <w:marRight w:val="0"/>
          <w:marTop w:val="0"/>
          <w:marBottom w:val="0"/>
          <w:divBdr>
            <w:top w:val="none" w:sz="0" w:space="0" w:color="auto"/>
            <w:left w:val="none" w:sz="0" w:space="0" w:color="auto"/>
            <w:bottom w:val="none" w:sz="0" w:space="0" w:color="auto"/>
            <w:right w:val="none" w:sz="0" w:space="0" w:color="auto"/>
          </w:divBdr>
          <w:divsChild>
            <w:div w:id="669219246">
              <w:marLeft w:val="0"/>
              <w:marRight w:val="0"/>
              <w:marTop w:val="0"/>
              <w:marBottom w:val="0"/>
              <w:divBdr>
                <w:top w:val="none" w:sz="0" w:space="0" w:color="auto"/>
                <w:left w:val="none" w:sz="0" w:space="0" w:color="auto"/>
                <w:bottom w:val="none" w:sz="0" w:space="0" w:color="auto"/>
                <w:right w:val="none" w:sz="0" w:space="0" w:color="auto"/>
              </w:divBdr>
              <w:divsChild>
                <w:div w:id="1982730666">
                  <w:marLeft w:val="0"/>
                  <w:marRight w:val="0"/>
                  <w:marTop w:val="0"/>
                  <w:marBottom w:val="0"/>
                  <w:divBdr>
                    <w:top w:val="none" w:sz="0" w:space="0" w:color="auto"/>
                    <w:left w:val="none" w:sz="0" w:space="0" w:color="auto"/>
                    <w:bottom w:val="none" w:sz="0" w:space="0" w:color="auto"/>
                    <w:right w:val="none" w:sz="0" w:space="0" w:color="auto"/>
                  </w:divBdr>
                  <w:divsChild>
                    <w:div w:id="1372993319">
                      <w:marLeft w:val="0"/>
                      <w:marRight w:val="0"/>
                      <w:marTop w:val="0"/>
                      <w:marBottom w:val="0"/>
                      <w:divBdr>
                        <w:top w:val="none" w:sz="0" w:space="0" w:color="auto"/>
                        <w:left w:val="none" w:sz="0" w:space="0" w:color="auto"/>
                        <w:bottom w:val="none" w:sz="0" w:space="0" w:color="auto"/>
                        <w:right w:val="none" w:sz="0" w:space="0" w:color="auto"/>
                      </w:divBdr>
                      <w:divsChild>
                        <w:div w:id="1737359362">
                          <w:marLeft w:val="0"/>
                          <w:marRight w:val="0"/>
                          <w:marTop w:val="0"/>
                          <w:marBottom w:val="0"/>
                          <w:divBdr>
                            <w:top w:val="none" w:sz="0" w:space="0" w:color="auto"/>
                            <w:left w:val="none" w:sz="0" w:space="0" w:color="auto"/>
                            <w:bottom w:val="none" w:sz="0" w:space="0" w:color="auto"/>
                            <w:right w:val="none" w:sz="0" w:space="0" w:color="auto"/>
                          </w:divBdr>
                          <w:divsChild>
                            <w:div w:id="152844511">
                              <w:marLeft w:val="0"/>
                              <w:marRight w:val="0"/>
                              <w:marTop w:val="0"/>
                              <w:marBottom w:val="0"/>
                              <w:divBdr>
                                <w:top w:val="none" w:sz="0" w:space="0" w:color="auto"/>
                                <w:left w:val="none" w:sz="0" w:space="0" w:color="auto"/>
                                <w:bottom w:val="none" w:sz="0" w:space="0" w:color="auto"/>
                                <w:right w:val="none" w:sz="0" w:space="0" w:color="auto"/>
                              </w:divBdr>
                              <w:divsChild>
                                <w:div w:id="847060250">
                                  <w:marLeft w:val="0"/>
                                  <w:marRight w:val="0"/>
                                  <w:marTop w:val="0"/>
                                  <w:marBottom w:val="0"/>
                                  <w:divBdr>
                                    <w:top w:val="none" w:sz="0" w:space="0" w:color="auto"/>
                                    <w:left w:val="none" w:sz="0" w:space="0" w:color="auto"/>
                                    <w:bottom w:val="none" w:sz="0" w:space="0" w:color="auto"/>
                                    <w:right w:val="none" w:sz="0" w:space="0" w:color="auto"/>
                                  </w:divBdr>
                                  <w:divsChild>
                                    <w:div w:id="1676106986">
                                      <w:marLeft w:val="0"/>
                                      <w:marRight w:val="0"/>
                                      <w:marTop w:val="0"/>
                                      <w:marBottom w:val="0"/>
                                      <w:divBdr>
                                        <w:top w:val="none" w:sz="0" w:space="0" w:color="auto"/>
                                        <w:left w:val="none" w:sz="0" w:space="0" w:color="auto"/>
                                        <w:bottom w:val="none" w:sz="0" w:space="0" w:color="auto"/>
                                        <w:right w:val="none" w:sz="0" w:space="0" w:color="auto"/>
                                      </w:divBdr>
                                      <w:divsChild>
                                        <w:div w:id="1876576597">
                                          <w:marLeft w:val="0"/>
                                          <w:marRight w:val="0"/>
                                          <w:marTop w:val="0"/>
                                          <w:marBottom w:val="0"/>
                                          <w:divBdr>
                                            <w:top w:val="none" w:sz="0" w:space="0" w:color="auto"/>
                                            <w:left w:val="none" w:sz="0" w:space="0" w:color="auto"/>
                                            <w:bottom w:val="none" w:sz="0" w:space="0" w:color="auto"/>
                                            <w:right w:val="none" w:sz="0" w:space="0" w:color="auto"/>
                                          </w:divBdr>
                                          <w:divsChild>
                                            <w:div w:id="1887832808">
                                              <w:marLeft w:val="0"/>
                                              <w:marRight w:val="0"/>
                                              <w:marTop w:val="0"/>
                                              <w:marBottom w:val="0"/>
                                              <w:divBdr>
                                                <w:top w:val="none" w:sz="0" w:space="0" w:color="auto"/>
                                                <w:left w:val="none" w:sz="0" w:space="0" w:color="auto"/>
                                                <w:bottom w:val="none" w:sz="0" w:space="0" w:color="auto"/>
                                                <w:right w:val="none" w:sz="0" w:space="0" w:color="auto"/>
                                              </w:divBdr>
                                              <w:divsChild>
                                                <w:div w:id="1375151530">
                                                  <w:marLeft w:val="0"/>
                                                  <w:marRight w:val="0"/>
                                                  <w:marTop w:val="0"/>
                                                  <w:marBottom w:val="0"/>
                                                  <w:divBdr>
                                                    <w:top w:val="none" w:sz="0" w:space="0" w:color="auto"/>
                                                    <w:left w:val="none" w:sz="0" w:space="0" w:color="auto"/>
                                                    <w:bottom w:val="none" w:sz="0" w:space="0" w:color="auto"/>
                                                    <w:right w:val="none" w:sz="0" w:space="0" w:color="auto"/>
                                                  </w:divBdr>
                                                  <w:divsChild>
                                                    <w:div w:id="238057185">
                                                      <w:marLeft w:val="0"/>
                                                      <w:marRight w:val="0"/>
                                                      <w:marTop w:val="0"/>
                                                      <w:marBottom w:val="0"/>
                                                      <w:divBdr>
                                                        <w:top w:val="none" w:sz="0" w:space="0" w:color="auto"/>
                                                        <w:left w:val="none" w:sz="0" w:space="0" w:color="auto"/>
                                                        <w:bottom w:val="none" w:sz="0" w:space="0" w:color="auto"/>
                                                        <w:right w:val="none" w:sz="0" w:space="0" w:color="auto"/>
                                                      </w:divBdr>
                                                      <w:divsChild>
                                                        <w:div w:id="15738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6691">
                                              <w:marLeft w:val="0"/>
                                              <w:marRight w:val="0"/>
                                              <w:marTop w:val="0"/>
                                              <w:marBottom w:val="0"/>
                                              <w:divBdr>
                                                <w:top w:val="none" w:sz="0" w:space="0" w:color="auto"/>
                                                <w:left w:val="none" w:sz="0" w:space="0" w:color="auto"/>
                                                <w:bottom w:val="none" w:sz="0" w:space="0" w:color="auto"/>
                                                <w:right w:val="none" w:sz="0" w:space="0" w:color="auto"/>
                                              </w:divBdr>
                                              <w:divsChild>
                                                <w:div w:id="1406146985">
                                                  <w:marLeft w:val="0"/>
                                                  <w:marRight w:val="0"/>
                                                  <w:marTop w:val="0"/>
                                                  <w:marBottom w:val="0"/>
                                                  <w:divBdr>
                                                    <w:top w:val="none" w:sz="0" w:space="0" w:color="auto"/>
                                                    <w:left w:val="none" w:sz="0" w:space="0" w:color="auto"/>
                                                    <w:bottom w:val="none" w:sz="0" w:space="0" w:color="auto"/>
                                                    <w:right w:val="none" w:sz="0" w:space="0" w:color="auto"/>
                                                  </w:divBdr>
                                                  <w:divsChild>
                                                    <w:div w:id="235089995">
                                                      <w:marLeft w:val="0"/>
                                                      <w:marRight w:val="0"/>
                                                      <w:marTop w:val="0"/>
                                                      <w:marBottom w:val="0"/>
                                                      <w:divBdr>
                                                        <w:top w:val="none" w:sz="0" w:space="0" w:color="auto"/>
                                                        <w:left w:val="none" w:sz="0" w:space="0" w:color="auto"/>
                                                        <w:bottom w:val="none" w:sz="0" w:space="0" w:color="auto"/>
                                                        <w:right w:val="none" w:sz="0" w:space="0" w:color="auto"/>
                                                      </w:divBdr>
                                                      <w:divsChild>
                                                        <w:div w:id="168316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138758">
          <w:marLeft w:val="0"/>
          <w:marRight w:val="0"/>
          <w:marTop w:val="0"/>
          <w:marBottom w:val="0"/>
          <w:divBdr>
            <w:top w:val="none" w:sz="0" w:space="0" w:color="auto"/>
            <w:left w:val="none" w:sz="0" w:space="0" w:color="auto"/>
            <w:bottom w:val="none" w:sz="0" w:space="0" w:color="auto"/>
            <w:right w:val="none" w:sz="0" w:space="0" w:color="auto"/>
          </w:divBdr>
          <w:divsChild>
            <w:div w:id="784927434">
              <w:marLeft w:val="0"/>
              <w:marRight w:val="0"/>
              <w:marTop w:val="0"/>
              <w:marBottom w:val="0"/>
              <w:divBdr>
                <w:top w:val="none" w:sz="0" w:space="0" w:color="auto"/>
                <w:left w:val="none" w:sz="0" w:space="0" w:color="auto"/>
                <w:bottom w:val="none" w:sz="0" w:space="0" w:color="auto"/>
                <w:right w:val="none" w:sz="0" w:space="0" w:color="auto"/>
              </w:divBdr>
              <w:divsChild>
                <w:div w:id="1940480652">
                  <w:marLeft w:val="0"/>
                  <w:marRight w:val="0"/>
                  <w:marTop w:val="0"/>
                  <w:marBottom w:val="0"/>
                  <w:divBdr>
                    <w:top w:val="none" w:sz="0" w:space="0" w:color="auto"/>
                    <w:left w:val="none" w:sz="0" w:space="0" w:color="auto"/>
                    <w:bottom w:val="none" w:sz="0" w:space="0" w:color="auto"/>
                    <w:right w:val="none" w:sz="0" w:space="0" w:color="auto"/>
                  </w:divBdr>
                  <w:divsChild>
                    <w:div w:id="123766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779495">
      <w:bodyDiv w:val="1"/>
      <w:marLeft w:val="0"/>
      <w:marRight w:val="0"/>
      <w:marTop w:val="0"/>
      <w:marBottom w:val="0"/>
      <w:divBdr>
        <w:top w:val="none" w:sz="0" w:space="0" w:color="auto"/>
        <w:left w:val="none" w:sz="0" w:space="0" w:color="auto"/>
        <w:bottom w:val="none" w:sz="0" w:space="0" w:color="auto"/>
        <w:right w:val="none" w:sz="0" w:space="0" w:color="auto"/>
      </w:divBdr>
      <w:divsChild>
        <w:div w:id="499389147">
          <w:marLeft w:val="0"/>
          <w:marRight w:val="0"/>
          <w:marTop w:val="0"/>
          <w:marBottom w:val="0"/>
          <w:divBdr>
            <w:top w:val="none" w:sz="0" w:space="0" w:color="auto"/>
            <w:left w:val="none" w:sz="0" w:space="0" w:color="auto"/>
            <w:bottom w:val="none" w:sz="0" w:space="0" w:color="auto"/>
            <w:right w:val="none" w:sz="0" w:space="0" w:color="auto"/>
          </w:divBdr>
        </w:div>
        <w:div w:id="1417556442">
          <w:marLeft w:val="0"/>
          <w:marRight w:val="0"/>
          <w:marTop w:val="0"/>
          <w:marBottom w:val="0"/>
          <w:divBdr>
            <w:top w:val="none" w:sz="0" w:space="0" w:color="auto"/>
            <w:left w:val="none" w:sz="0" w:space="0" w:color="auto"/>
            <w:bottom w:val="none" w:sz="0" w:space="0" w:color="auto"/>
            <w:right w:val="none" w:sz="0" w:space="0" w:color="auto"/>
          </w:divBdr>
        </w:div>
        <w:div w:id="154225151">
          <w:marLeft w:val="0"/>
          <w:marRight w:val="0"/>
          <w:marTop w:val="0"/>
          <w:marBottom w:val="0"/>
          <w:divBdr>
            <w:top w:val="none" w:sz="0" w:space="0" w:color="auto"/>
            <w:left w:val="none" w:sz="0" w:space="0" w:color="auto"/>
            <w:bottom w:val="none" w:sz="0" w:space="0" w:color="auto"/>
            <w:right w:val="none" w:sz="0" w:space="0" w:color="auto"/>
          </w:divBdr>
        </w:div>
      </w:divsChild>
    </w:div>
    <w:div w:id="737165810">
      <w:bodyDiv w:val="1"/>
      <w:marLeft w:val="0"/>
      <w:marRight w:val="0"/>
      <w:marTop w:val="0"/>
      <w:marBottom w:val="0"/>
      <w:divBdr>
        <w:top w:val="none" w:sz="0" w:space="0" w:color="auto"/>
        <w:left w:val="none" w:sz="0" w:space="0" w:color="auto"/>
        <w:bottom w:val="none" w:sz="0" w:space="0" w:color="auto"/>
        <w:right w:val="none" w:sz="0" w:space="0" w:color="auto"/>
      </w:divBdr>
      <w:divsChild>
        <w:div w:id="125853437">
          <w:marLeft w:val="0"/>
          <w:marRight w:val="0"/>
          <w:marTop w:val="0"/>
          <w:marBottom w:val="0"/>
          <w:divBdr>
            <w:top w:val="none" w:sz="0" w:space="0" w:color="auto"/>
            <w:left w:val="none" w:sz="0" w:space="0" w:color="auto"/>
            <w:bottom w:val="none" w:sz="0" w:space="0" w:color="auto"/>
            <w:right w:val="none" w:sz="0" w:space="0" w:color="auto"/>
          </w:divBdr>
          <w:divsChild>
            <w:div w:id="917709256">
              <w:marLeft w:val="0"/>
              <w:marRight w:val="0"/>
              <w:marTop w:val="0"/>
              <w:marBottom w:val="0"/>
              <w:divBdr>
                <w:top w:val="none" w:sz="0" w:space="0" w:color="auto"/>
                <w:left w:val="none" w:sz="0" w:space="0" w:color="auto"/>
                <w:bottom w:val="none" w:sz="0" w:space="0" w:color="auto"/>
                <w:right w:val="none" w:sz="0" w:space="0" w:color="auto"/>
              </w:divBdr>
              <w:divsChild>
                <w:div w:id="1783105771">
                  <w:marLeft w:val="0"/>
                  <w:marRight w:val="0"/>
                  <w:marTop w:val="0"/>
                  <w:marBottom w:val="0"/>
                  <w:divBdr>
                    <w:top w:val="none" w:sz="0" w:space="0" w:color="auto"/>
                    <w:left w:val="none" w:sz="0" w:space="0" w:color="auto"/>
                    <w:bottom w:val="none" w:sz="0" w:space="0" w:color="auto"/>
                    <w:right w:val="none" w:sz="0" w:space="0" w:color="auto"/>
                  </w:divBdr>
                  <w:divsChild>
                    <w:div w:id="20368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78779">
          <w:marLeft w:val="0"/>
          <w:marRight w:val="0"/>
          <w:marTop w:val="0"/>
          <w:marBottom w:val="0"/>
          <w:divBdr>
            <w:top w:val="none" w:sz="0" w:space="0" w:color="auto"/>
            <w:left w:val="none" w:sz="0" w:space="0" w:color="auto"/>
            <w:bottom w:val="none" w:sz="0" w:space="0" w:color="auto"/>
            <w:right w:val="none" w:sz="0" w:space="0" w:color="auto"/>
          </w:divBdr>
          <w:divsChild>
            <w:div w:id="157036285">
              <w:marLeft w:val="0"/>
              <w:marRight w:val="0"/>
              <w:marTop w:val="0"/>
              <w:marBottom w:val="0"/>
              <w:divBdr>
                <w:top w:val="none" w:sz="0" w:space="0" w:color="auto"/>
                <w:left w:val="none" w:sz="0" w:space="0" w:color="auto"/>
                <w:bottom w:val="none" w:sz="0" w:space="0" w:color="auto"/>
                <w:right w:val="none" w:sz="0" w:space="0" w:color="auto"/>
              </w:divBdr>
              <w:divsChild>
                <w:div w:id="1184981322">
                  <w:marLeft w:val="0"/>
                  <w:marRight w:val="0"/>
                  <w:marTop w:val="0"/>
                  <w:marBottom w:val="0"/>
                  <w:divBdr>
                    <w:top w:val="none" w:sz="0" w:space="0" w:color="auto"/>
                    <w:left w:val="none" w:sz="0" w:space="0" w:color="auto"/>
                    <w:bottom w:val="none" w:sz="0" w:space="0" w:color="auto"/>
                    <w:right w:val="none" w:sz="0" w:space="0" w:color="auto"/>
                  </w:divBdr>
                  <w:divsChild>
                    <w:div w:id="9229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00266">
      <w:bodyDiv w:val="1"/>
      <w:marLeft w:val="0"/>
      <w:marRight w:val="0"/>
      <w:marTop w:val="0"/>
      <w:marBottom w:val="0"/>
      <w:divBdr>
        <w:top w:val="none" w:sz="0" w:space="0" w:color="auto"/>
        <w:left w:val="none" w:sz="0" w:space="0" w:color="auto"/>
        <w:bottom w:val="none" w:sz="0" w:space="0" w:color="auto"/>
        <w:right w:val="none" w:sz="0" w:space="0" w:color="auto"/>
      </w:divBdr>
    </w:div>
    <w:div w:id="1685084046">
      <w:bodyDiv w:val="1"/>
      <w:marLeft w:val="0"/>
      <w:marRight w:val="0"/>
      <w:marTop w:val="0"/>
      <w:marBottom w:val="0"/>
      <w:divBdr>
        <w:top w:val="none" w:sz="0" w:space="0" w:color="auto"/>
        <w:left w:val="none" w:sz="0" w:space="0" w:color="auto"/>
        <w:bottom w:val="none" w:sz="0" w:space="0" w:color="auto"/>
        <w:right w:val="none" w:sz="0" w:space="0" w:color="auto"/>
      </w:divBdr>
      <w:divsChild>
        <w:div w:id="2129160675">
          <w:marLeft w:val="0"/>
          <w:marRight w:val="0"/>
          <w:marTop w:val="0"/>
          <w:marBottom w:val="0"/>
          <w:divBdr>
            <w:top w:val="none" w:sz="0" w:space="0" w:color="auto"/>
            <w:left w:val="none" w:sz="0" w:space="0" w:color="auto"/>
            <w:bottom w:val="none" w:sz="0" w:space="0" w:color="auto"/>
            <w:right w:val="none" w:sz="0" w:space="0" w:color="auto"/>
          </w:divBdr>
          <w:divsChild>
            <w:div w:id="1867478277">
              <w:marLeft w:val="0"/>
              <w:marRight w:val="0"/>
              <w:marTop w:val="0"/>
              <w:marBottom w:val="0"/>
              <w:divBdr>
                <w:top w:val="none" w:sz="0" w:space="0" w:color="auto"/>
                <w:left w:val="none" w:sz="0" w:space="0" w:color="auto"/>
                <w:bottom w:val="none" w:sz="0" w:space="0" w:color="auto"/>
                <w:right w:val="none" w:sz="0" w:space="0" w:color="auto"/>
              </w:divBdr>
              <w:divsChild>
                <w:div w:id="2052261694">
                  <w:marLeft w:val="0"/>
                  <w:marRight w:val="0"/>
                  <w:marTop w:val="0"/>
                  <w:marBottom w:val="0"/>
                  <w:divBdr>
                    <w:top w:val="none" w:sz="0" w:space="0" w:color="auto"/>
                    <w:left w:val="none" w:sz="0" w:space="0" w:color="auto"/>
                    <w:bottom w:val="none" w:sz="0" w:space="0" w:color="auto"/>
                    <w:right w:val="none" w:sz="0" w:space="0" w:color="auto"/>
                  </w:divBdr>
                  <w:divsChild>
                    <w:div w:id="1317566993">
                      <w:marLeft w:val="0"/>
                      <w:marRight w:val="0"/>
                      <w:marTop w:val="0"/>
                      <w:marBottom w:val="0"/>
                      <w:divBdr>
                        <w:top w:val="none" w:sz="0" w:space="0" w:color="auto"/>
                        <w:left w:val="none" w:sz="0" w:space="0" w:color="auto"/>
                        <w:bottom w:val="none" w:sz="0" w:space="0" w:color="auto"/>
                        <w:right w:val="none" w:sz="0" w:space="0" w:color="auto"/>
                      </w:divBdr>
                      <w:divsChild>
                        <w:div w:id="1825200536">
                          <w:marLeft w:val="0"/>
                          <w:marRight w:val="0"/>
                          <w:marTop w:val="0"/>
                          <w:marBottom w:val="0"/>
                          <w:divBdr>
                            <w:top w:val="none" w:sz="0" w:space="0" w:color="auto"/>
                            <w:left w:val="none" w:sz="0" w:space="0" w:color="auto"/>
                            <w:bottom w:val="none" w:sz="0" w:space="0" w:color="auto"/>
                            <w:right w:val="none" w:sz="0" w:space="0" w:color="auto"/>
                          </w:divBdr>
                          <w:divsChild>
                            <w:div w:id="1875195347">
                              <w:marLeft w:val="0"/>
                              <w:marRight w:val="0"/>
                              <w:marTop w:val="0"/>
                              <w:marBottom w:val="0"/>
                              <w:divBdr>
                                <w:top w:val="none" w:sz="0" w:space="0" w:color="auto"/>
                                <w:left w:val="none" w:sz="0" w:space="0" w:color="auto"/>
                                <w:bottom w:val="none" w:sz="0" w:space="0" w:color="auto"/>
                                <w:right w:val="none" w:sz="0" w:space="0" w:color="auto"/>
                              </w:divBdr>
                              <w:divsChild>
                                <w:div w:id="684288340">
                                  <w:marLeft w:val="0"/>
                                  <w:marRight w:val="0"/>
                                  <w:marTop w:val="0"/>
                                  <w:marBottom w:val="0"/>
                                  <w:divBdr>
                                    <w:top w:val="none" w:sz="0" w:space="0" w:color="auto"/>
                                    <w:left w:val="none" w:sz="0" w:space="0" w:color="auto"/>
                                    <w:bottom w:val="none" w:sz="0" w:space="0" w:color="auto"/>
                                    <w:right w:val="none" w:sz="0" w:space="0" w:color="auto"/>
                                  </w:divBdr>
                                  <w:divsChild>
                                    <w:div w:id="842628526">
                                      <w:marLeft w:val="0"/>
                                      <w:marRight w:val="0"/>
                                      <w:marTop w:val="0"/>
                                      <w:marBottom w:val="0"/>
                                      <w:divBdr>
                                        <w:top w:val="none" w:sz="0" w:space="0" w:color="auto"/>
                                        <w:left w:val="none" w:sz="0" w:space="0" w:color="auto"/>
                                        <w:bottom w:val="none" w:sz="0" w:space="0" w:color="auto"/>
                                        <w:right w:val="none" w:sz="0" w:space="0" w:color="auto"/>
                                      </w:divBdr>
                                      <w:divsChild>
                                        <w:div w:id="264507011">
                                          <w:marLeft w:val="0"/>
                                          <w:marRight w:val="0"/>
                                          <w:marTop w:val="0"/>
                                          <w:marBottom w:val="0"/>
                                          <w:divBdr>
                                            <w:top w:val="none" w:sz="0" w:space="0" w:color="auto"/>
                                            <w:left w:val="none" w:sz="0" w:space="0" w:color="auto"/>
                                            <w:bottom w:val="none" w:sz="0" w:space="0" w:color="auto"/>
                                            <w:right w:val="none" w:sz="0" w:space="0" w:color="auto"/>
                                          </w:divBdr>
                                          <w:divsChild>
                                            <w:div w:id="1716809907">
                                              <w:marLeft w:val="0"/>
                                              <w:marRight w:val="0"/>
                                              <w:marTop w:val="0"/>
                                              <w:marBottom w:val="0"/>
                                              <w:divBdr>
                                                <w:top w:val="none" w:sz="0" w:space="0" w:color="auto"/>
                                                <w:left w:val="none" w:sz="0" w:space="0" w:color="auto"/>
                                                <w:bottom w:val="none" w:sz="0" w:space="0" w:color="auto"/>
                                                <w:right w:val="none" w:sz="0" w:space="0" w:color="auto"/>
                                              </w:divBdr>
                                              <w:divsChild>
                                                <w:div w:id="675152839">
                                                  <w:marLeft w:val="0"/>
                                                  <w:marRight w:val="0"/>
                                                  <w:marTop w:val="0"/>
                                                  <w:marBottom w:val="0"/>
                                                  <w:divBdr>
                                                    <w:top w:val="none" w:sz="0" w:space="0" w:color="auto"/>
                                                    <w:left w:val="none" w:sz="0" w:space="0" w:color="auto"/>
                                                    <w:bottom w:val="none" w:sz="0" w:space="0" w:color="auto"/>
                                                    <w:right w:val="none" w:sz="0" w:space="0" w:color="auto"/>
                                                  </w:divBdr>
                                                  <w:divsChild>
                                                    <w:div w:id="1806701173">
                                                      <w:marLeft w:val="0"/>
                                                      <w:marRight w:val="0"/>
                                                      <w:marTop w:val="0"/>
                                                      <w:marBottom w:val="0"/>
                                                      <w:divBdr>
                                                        <w:top w:val="none" w:sz="0" w:space="0" w:color="auto"/>
                                                        <w:left w:val="none" w:sz="0" w:space="0" w:color="auto"/>
                                                        <w:bottom w:val="none" w:sz="0" w:space="0" w:color="auto"/>
                                                        <w:right w:val="none" w:sz="0" w:space="0" w:color="auto"/>
                                                      </w:divBdr>
                                                      <w:divsChild>
                                                        <w:div w:id="4261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05317">
                                              <w:marLeft w:val="0"/>
                                              <w:marRight w:val="0"/>
                                              <w:marTop w:val="0"/>
                                              <w:marBottom w:val="0"/>
                                              <w:divBdr>
                                                <w:top w:val="none" w:sz="0" w:space="0" w:color="auto"/>
                                                <w:left w:val="none" w:sz="0" w:space="0" w:color="auto"/>
                                                <w:bottom w:val="none" w:sz="0" w:space="0" w:color="auto"/>
                                                <w:right w:val="none" w:sz="0" w:space="0" w:color="auto"/>
                                              </w:divBdr>
                                              <w:divsChild>
                                                <w:div w:id="369915697">
                                                  <w:marLeft w:val="0"/>
                                                  <w:marRight w:val="0"/>
                                                  <w:marTop w:val="0"/>
                                                  <w:marBottom w:val="0"/>
                                                  <w:divBdr>
                                                    <w:top w:val="none" w:sz="0" w:space="0" w:color="auto"/>
                                                    <w:left w:val="none" w:sz="0" w:space="0" w:color="auto"/>
                                                    <w:bottom w:val="none" w:sz="0" w:space="0" w:color="auto"/>
                                                    <w:right w:val="none" w:sz="0" w:space="0" w:color="auto"/>
                                                  </w:divBdr>
                                                  <w:divsChild>
                                                    <w:div w:id="1311446795">
                                                      <w:marLeft w:val="0"/>
                                                      <w:marRight w:val="0"/>
                                                      <w:marTop w:val="0"/>
                                                      <w:marBottom w:val="0"/>
                                                      <w:divBdr>
                                                        <w:top w:val="none" w:sz="0" w:space="0" w:color="auto"/>
                                                        <w:left w:val="none" w:sz="0" w:space="0" w:color="auto"/>
                                                        <w:bottom w:val="none" w:sz="0" w:space="0" w:color="auto"/>
                                                        <w:right w:val="none" w:sz="0" w:space="0" w:color="auto"/>
                                                      </w:divBdr>
                                                      <w:divsChild>
                                                        <w:div w:id="4726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8169469">
          <w:marLeft w:val="0"/>
          <w:marRight w:val="0"/>
          <w:marTop w:val="0"/>
          <w:marBottom w:val="0"/>
          <w:divBdr>
            <w:top w:val="none" w:sz="0" w:space="0" w:color="auto"/>
            <w:left w:val="none" w:sz="0" w:space="0" w:color="auto"/>
            <w:bottom w:val="none" w:sz="0" w:space="0" w:color="auto"/>
            <w:right w:val="none" w:sz="0" w:space="0" w:color="auto"/>
          </w:divBdr>
          <w:divsChild>
            <w:div w:id="1068763805">
              <w:marLeft w:val="0"/>
              <w:marRight w:val="0"/>
              <w:marTop w:val="0"/>
              <w:marBottom w:val="0"/>
              <w:divBdr>
                <w:top w:val="none" w:sz="0" w:space="0" w:color="auto"/>
                <w:left w:val="none" w:sz="0" w:space="0" w:color="auto"/>
                <w:bottom w:val="none" w:sz="0" w:space="0" w:color="auto"/>
                <w:right w:val="none" w:sz="0" w:space="0" w:color="auto"/>
              </w:divBdr>
              <w:divsChild>
                <w:div w:id="1023675941">
                  <w:marLeft w:val="0"/>
                  <w:marRight w:val="0"/>
                  <w:marTop w:val="0"/>
                  <w:marBottom w:val="0"/>
                  <w:divBdr>
                    <w:top w:val="none" w:sz="0" w:space="0" w:color="auto"/>
                    <w:left w:val="none" w:sz="0" w:space="0" w:color="auto"/>
                    <w:bottom w:val="none" w:sz="0" w:space="0" w:color="auto"/>
                    <w:right w:val="none" w:sz="0" w:space="0" w:color="auto"/>
                  </w:divBdr>
                  <w:divsChild>
                    <w:div w:id="11105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331987">
      <w:bodyDiv w:val="1"/>
      <w:marLeft w:val="0"/>
      <w:marRight w:val="0"/>
      <w:marTop w:val="0"/>
      <w:marBottom w:val="0"/>
      <w:divBdr>
        <w:top w:val="none" w:sz="0" w:space="0" w:color="auto"/>
        <w:left w:val="none" w:sz="0" w:space="0" w:color="auto"/>
        <w:bottom w:val="none" w:sz="0" w:space="0" w:color="auto"/>
        <w:right w:val="none" w:sz="0" w:space="0" w:color="auto"/>
      </w:divBdr>
      <w:divsChild>
        <w:div w:id="1131245150">
          <w:marLeft w:val="0"/>
          <w:marRight w:val="0"/>
          <w:marTop w:val="0"/>
          <w:marBottom w:val="0"/>
          <w:divBdr>
            <w:top w:val="none" w:sz="0" w:space="0" w:color="auto"/>
            <w:left w:val="none" w:sz="0" w:space="0" w:color="auto"/>
            <w:bottom w:val="none" w:sz="0" w:space="0" w:color="auto"/>
            <w:right w:val="none" w:sz="0" w:space="0" w:color="auto"/>
          </w:divBdr>
          <w:divsChild>
            <w:div w:id="1548838854">
              <w:marLeft w:val="0"/>
              <w:marRight w:val="0"/>
              <w:marTop w:val="0"/>
              <w:marBottom w:val="0"/>
              <w:divBdr>
                <w:top w:val="none" w:sz="0" w:space="0" w:color="auto"/>
                <w:left w:val="none" w:sz="0" w:space="0" w:color="auto"/>
                <w:bottom w:val="none" w:sz="0" w:space="0" w:color="auto"/>
                <w:right w:val="none" w:sz="0" w:space="0" w:color="auto"/>
              </w:divBdr>
              <w:divsChild>
                <w:div w:id="1118065772">
                  <w:marLeft w:val="0"/>
                  <w:marRight w:val="0"/>
                  <w:marTop w:val="0"/>
                  <w:marBottom w:val="0"/>
                  <w:divBdr>
                    <w:top w:val="none" w:sz="0" w:space="0" w:color="auto"/>
                    <w:left w:val="none" w:sz="0" w:space="0" w:color="auto"/>
                    <w:bottom w:val="none" w:sz="0" w:space="0" w:color="auto"/>
                    <w:right w:val="none" w:sz="0" w:space="0" w:color="auto"/>
                  </w:divBdr>
                  <w:divsChild>
                    <w:div w:id="16376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026537">
          <w:marLeft w:val="0"/>
          <w:marRight w:val="0"/>
          <w:marTop w:val="0"/>
          <w:marBottom w:val="0"/>
          <w:divBdr>
            <w:top w:val="none" w:sz="0" w:space="0" w:color="auto"/>
            <w:left w:val="none" w:sz="0" w:space="0" w:color="auto"/>
            <w:bottom w:val="none" w:sz="0" w:space="0" w:color="auto"/>
            <w:right w:val="none" w:sz="0" w:space="0" w:color="auto"/>
          </w:divBdr>
          <w:divsChild>
            <w:div w:id="1354721953">
              <w:marLeft w:val="0"/>
              <w:marRight w:val="0"/>
              <w:marTop w:val="0"/>
              <w:marBottom w:val="0"/>
              <w:divBdr>
                <w:top w:val="none" w:sz="0" w:space="0" w:color="auto"/>
                <w:left w:val="none" w:sz="0" w:space="0" w:color="auto"/>
                <w:bottom w:val="none" w:sz="0" w:space="0" w:color="auto"/>
                <w:right w:val="none" w:sz="0" w:space="0" w:color="auto"/>
              </w:divBdr>
              <w:divsChild>
                <w:div w:id="1144198581">
                  <w:marLeft w:val="0"/>
                  <w:marRight w:val="0"/>
                  <w:marTop w:val="0"/>
                  <w:marBottom w:val="0"/>
                  <w:divBdr>
                    <w:top w:val="none" w:sz="0" w:space="0" w:color="auto"/>
                    <w:left w:val="none" w:sz="0" w:space="0" w:color="auto"/>
                    <w:bottom w:val="none" w:sz="0" w:space="0" w:color="auto"/>
                    <w:right w:val="none" w:sz="0" w:space="0" w:color="auto"/>
                  </w:divBdr>
                  <w:divsChild>
                    <w:div w:id="110861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21274">
      <w:bodyDiv w:val="1"/>
      <w:marLeft w:val="0"/>
      <w:marRight w:val="0"/>
      <w:marTop w:val="0"/>
      <w:marBottom w:val="0"/>
      <w:divBdr>
        <w:top w:val="none" w:sz="0" w:space="0" w:color="auto"/>
        <w:left w:val="none" w:sz="0" w:space="0" w:color="auto"/>
        <w:bottom w:val="none" w:sz="0" w:space="0" w:color="auto"/>
        <w:right w:val="none" w:sz="0" w:space="0" w:color="auto"/>
      </w:divBdr>
    </w:div>
    <w:div w:id="207998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enial_of_the_2023_Hamas-led_attack_on_Israel" TargetMode="External"/><Relationship Id="rId13" Type="http://schemas.openxmlformats.org/officeDocument/2006/relationships/hyperlink" Target="https://www.nytimes.com/2023/10/08/world/middleeast/israel-hamas-attack.html" TargetMode="External"/><Relationship Id="rId3" Type="http://schemas.openxmlformats.org/officeDocument/2006/relationships/settings" Target="settings.xml"/><Relationship Id="rId7" Type="http://schemas.openxmlformats.org/officeDocument/2006/relationships/hyperlink" Target="https://en.wikipedia.org/wiki/Denial_of_the_2023_Hamas-led_attack_on_Israel" TargetMode="External"/><Relationship Id="rId12" Type="http://schemas.openxmlformats.org/officeDocument/2006/relationships/hyperlink" Target="https://www.bbc.com/news/world-middle-east-670095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nrwa.org" TargetMode="External"/><Relationship Id="rId11" Type="http://schemas.openxmlformats.org/officeDocument/2006/relationships/hyperlink" Target="https://www.theguardian.com/world/2023/10/09/israel-hamas-attack-victims-mental-health" TargetMode="External"/><Relationship Id="rId5" Type="http://schemas.openxmlformats.org/officeDocument/2006/relationships/hyperlink" Target="https://www.unrwa.org" TargetMode="External"/><Relationship Id="rId15" Type="http://schemas.openxmlformats.org/officeDocument/2006/relationships/hyperlink" Target="https://www.bbc.com/news/world-middle-east-67009526" TargetMode="External"/><Relationship Id="rId10" Type="http://schemas.openxmlformats.org/officeDocument/2006/relationships/hyperlink" Target="https://www.nytimes.com/2023/10/08/world/middleeast/israel-hamas-attack.html" TargetMode="External"/><Relationship Id="rId4" Type="http://schemas.openxmlformats.org/officeDocument/2006/relationships/webSettings" Target="webSettings.xml"/><Relationship Id="rId9" Type="http://schemas.openxmlformats.org/officeDocument/2006/relationships/hyperlink" Target="https://en.wikipedia.org/wiki/Denial_of_the_2023_Hamas-led_attack_on_Israel" TargetMode="External"/><Relationship Id="rId14" Type="http://schemas.openxmlformats.org/officeDocument/2006/relationships/hyperlink" Target="https://www.theguardian.com/world/2023/10/09/israel-hamas-attack-victims-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3590</Words>
  <Characters>20463</Characters>
  <Application>Microsoft Office Word</Application>
  <DocSecurity>0</DocSecurity>
  <Lines>170</Lines>
  <Paragraphs>48</Paragraphs>
  <ScaleCrop>false</ScaleCrop>
  <Company/>
  <LinksUpToDate>false</LinksUpToDate>
  <CharactersWithSpaces>24005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6</cp:revision>
  <dcterms:created xsi:type="dcterms:W3CDTF">2024-10-14T20:06:00Z</dcterms:created>
  <dcterms:modified xsi:type="dcterms:W3CDTF">2024-10-14T20:42:00Z</dcterms:modified>
</cp:coreProperties>
</file>