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BCC75" w14:textId="35C40822" w:rsidR="00C65589" w:rsidRPr="002448CD" w:rsidRDefault="00C65589" w:rsidP="00703CAC">
      <w:pPr>
        <w:spacing w:after="360"/>
        <w:rPr>
          <w:rFonts w:ascii="Poppins" w:hAnsi="Poppins" w:cs="Poppins"/>
        </w:rPr>
      </w:pPr>
      <w:r w:rsidRPr="002448CD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5E0353" wp14:editId="346B984C">
                <wp:simplePos x="0" y="0"/>
                <wp:positionH relativeFrom="column">
                  <wp:posOffset>-934720</wp:posOffset>
                </wp:positionH>
                <wp:positionV relativeFrom="paragraph">
                  <wp:posOffset>-933288</wp:posOffset>
                </wp:positionV>
                <wp:extent cx="7595870" cy="10727690"/>
                <wp:effectExtent l="0" t="0" r="5080" b="0"/>
                <wp:wrapNone/>
                <wp:docPr id="12654725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5870" cy="10727690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rgbClr val="8D4520"/>
                            </a:gs>
                            <a:gs pos="50000">
                              <a:srgbClr val="57474F"/>
                            </a:gs>
                            <a:gs pos="0">
                              <a:srgbClr val="20487E"/>
                            </a:gs>
                          </a:gsLst>
                          <a:lin ang="2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C03932" w14:textId="77777777" w:rsidR="00C65589" w:rsidRPr="00C65589" w:rsidRDefault="00C65589" w:rsidP="00C65589">
                            <w:pPr>
                              <w:jc w:val="center"/>
                              <w:rPr>
                                <w:rFonts w:ascii="Poppins" w:hAnsi="Poppins" w:cs="Poppins"/>
                              </w:rPr>
                            </w:pPr>
                          </w:p>
                          <w:p w14:paraId="320F7549" w14:textId="77777777" w:rsidR="00C65589" w:rsidRPr="00C65589" w:rsidRDefault="00C65589" w:rsidP="00C65589">
                            <w:pPr>
                              <w:jc w:val="center"/>
                              <w:rPr>
                                <w:rFonts w:ascii="Poppins" w:hAnsi="Poppins" w:cs="Poppins"/>
                              </w:rPr>
                            </w:pPr>
                          </w:p>
                          <w:p w14:paraId="7C19A748" w14:textId="77777777" w:rsidR="00C65589" w:rsidRPr="00C65589" w:rsidRDefault="00C65589" w:rsidP="00C65589">
                            <w:pPr>
                              <w:jc w:val="center"/>
                              <w:rPr>
                                <w:rFonts w:ascii="Poppins" w:hAnsi="Poppins" w:cs="Poppins"/>
                              </w:rPr>
                            </w:pPr>
                          </w:p>
                          <w:p w14:paraId="73D99FC9" w14:textId="77777777" w:rsidR="00C65589" w:rsidRPr="00C65589" w:rsidRDefault="00C65589" w:rsidP="00C65589">
                            <w:pPr>
                              <w:jc w:val="center"/>
                              <w:rPr>
                                <w:rFonts w:ascii="Poppins" w:hAnsi="Poppins" w:cs="Poppins"/>
                              </w:rPr>
                            </w:pPr>
                          </w:p>
                          <w:p w14:paraId="4A674659" w14:textId="77777777" w:rsidR="00C65589" w:rsidRPr="00C65589" w:rsidRDefault="00C65589" w:rsidP="00C65589">
                            <w:pPr>
                              <w:jc w:val="center"/>
                              <w:rPr>
                                <w:rFonts w:ascii="Poppins" w:hAnsi="Poppins" w:cs="Poppins"/>
                              </w:rPr>
                            </w:pPr>
                          </w:p>
                          <w:p w14:paraId="397DDB0A" w14:textId="77777777" w:rsidR="00C65589" w:rsidRPr="00C65589" w:rsidRDefault="00C65589" w:rsidP="00C65589">
                            <w:pPr>
                              <w:jc w:val="center"/>
                              <w:rPr>
                                <w:rFonts w:ascii="Poppins" w:hAnsi="Poppins" w:cs="Poppins"/>
                              </w:rPr>
                            </w:pPr>
                          </w:p>
                          <w:p w14:paraId="00DAE05D" w14:textId="77777777" w:rsidR="00C65589" w:rsidRPr="00C65589" w:rsidRDefault="00C65589" w:rsidP="00C65589">
                            <w:pPr>
                              <w:jc w:val="center"/>
                              <w:rPr>
                                <w:rFonts w:ascii="Poppins" w:hAnsi="Poppins" w:cs="Poppins"/>
                              </w:rPr>
                            </w:pPr>
                          </w:p>
                          <w:p w14:paraId="484A5461" w14:textId="77777777" w:rsidR="00C65589" w:rsidRPr="00C65589" w:rsidRDefault="00C65589" w:rsidP="00C65589">
                            <w:pPr>
                              <w:jc w:val="center"/>
                              <w:rPr>
                                <w:rFonts w:ascii="Poppins" w:hAnsi="Poppins" w:cs="Poppins"/>
                              </w:rPr>
                            </w:pPr>
                          </w:p>
                          <w:p w14:paraId="53179BCF" w14:textId="77777777" w:rsidR="00C65589" w:rsidRPr="00C65589" w:rsidRDefault="00C65589" w:rsidP="00C65589">
                            <w:pPr>
                              <w:jc w:val="center"/>
                              <w:rPr>
                                <w:rFonts w:ascii="Poppins" w:hAnsi="Poppins" w:cs="Poppins"/>
                              </w:rPr>
                            </w:pPr>
                          </w:p>
                          <w:p w14:paraId="4C60AF31" w14:textId="77777777" w:rsidR="00C65589" w:rsidRPr="00C65589" w:rsidRDefault="00C65589" w:rsidP="00C65589">
                            <w:pPr>
                              <w:jc w:val="center"/>
                              <w:rPr>
                                <w:rFonts w:ascii="Poppins" w:hAnsi="Poppins" w:cs="Poppins"/>
                              </w:rPr>
                            </w:pPr>
                          </w:p>
                          <w:p w14:paraId="5DF9D56D" w14:textId="24E1A6AE" w:rsidR="00C65589" w:rsidRPr="00C65589" w:rsidRDefault="00C65589" w:rsidP="00C65589">
                            <w:pPr>
                              <w:jc w:val="center"/>
                              <w:rPr>
                                <w:rFonts w:ascii="Poppins" w:hAnsi="Poppins" w:cs="Poppins"/>
                              </w:rPr>
                            </w:pPr>
                            <w:r w:rsidRPr="00C65589">
                              <w:rPr>
                                <w:rFonts w:ascii="Poppins" w:hAnsi="Poppins" w:cs="Poppins"/>
                                <w:noProof/>
                              </w:rPr>
                              <w:drawing>
                                <wp:inline distT="0" distB="0" distL="0" distR="0" wp14:anchorId="7FC414E8" wp14:editId="23AC3223">
                                  <wp:extent cx="4261090" cy="720000"/>
                                  <wp:effectExtent l="0" t="0" r="6350" b="4445"/>
                                  <wp:docPr id="1015333279" name="Graphic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5333279" name="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61090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F1A8D84" w14:textId="77777777" w:rsidR="00C65589" w:rsidRPr="00C65589" w:rsidRDefault="00C65589" w:rsidP="00C65589">
                            <w:pPr>
                              <w:jc w:val="center"/>
                              <w:rPr>
                                <w:rFonts w:ascii="Poppins" w:hAnsi="Poppins" w:cs="Poppins"/>
                              </w:rPr>
                            </w:pPr>
                          </w:p>
                          <w:p w14:paraId="6FEFDF36" w14:textId="77777777" w:rsidR="00C65589" w:rsidRPr="00C65589" w:rsidRDefault="00C65589" w:rsidP="00C65589">
                            <w:pPr>
                              <w:jc w:val="center"/>
                              <w:rPr>
                                <w:rFonts w:ascii="Poppins" w:hAnsi="Poppins" w:cs="Poppins"/>
                              </w:rPr>
                            </w:pPr>
                          </w:p>
                          <w:p w14:paraId="6B02CC75" w14:textId="77777777" w:rsidR="00C65589" w:rsidRPr="00C65589" w:rsidRDefault="00C65589" w:rsidP="00C65589">
                            <w:pPr>
                              <w:jc w:val="center"/>
                              <w:rPr>
                                <w:rFonts w:ascii="Poppins" w:hAnsi="Poppins" w:cs="Poppins"/>
                              </w:rPr>
                            </w:pPr>
                          </w:p>
                          <w:p w14:paraId="430D55D0" w14:textId="77777777" w:rsidR="00C65589" w:rsidRPr="00C65589" w:rsidRDefault="00C65589" w:rsidP="00C65589">
                            <w:pPr>
                              <w:jc w:val="center"/>
                              <w:rPr>
                                <w:rFonts w:ascii="Poppins" w:hAnsi="Poppins" w:cs="Poppins"/>
                              </w:rPr>
                            </w:pPr>
                          </w:p>
                          <w:p w14:paraId="6D7AD348" w14:textId="77777777" w:rsidR="00C65589" w:rsidRDefault="00C65589" w:rsidP="00C65589">
                            <w:pPr>
                              <w:jc w:val="center"/>
                              <w:rPr>
                                <w:rFonts w:ascii="Poppins" w:hAnsi="Poppins" w:cs="Poppins"/>
                              </w:rPr>
                            </w:pPr>
                          </w:p>
                          <w:p w14:paraId="07BA0BDD" w14:textId="77777777" w:rsidR="00C65589" w:rsidRDefault="00C65589" w:rsidP="00C65589">
                            <w:pPr>
                              <w:jc w:val="center"/>
                              <w:rPr>
                                <w:rFonts w:ascii="Poppins" w:hAnsi="Poppins" w:cs="Poppins"/>
                              </w:rPr>
                            </w:pPr>
                          </w:p>
                          <w:p w14:paraId="687F5514" w14:textId="77777777" w:rsidR="00C65589" w:rsidRPr="00C65589" w:rsidRDefault="00C65589" w:rsidP="00C65589">
                            <w:pPr>
                              <w:jc w:val="center"/>
                              <w:rPr>
                                <w:rFonts w:ascii="Poppins" w:hAnsi="Poppins" w:cs="Poppins"/>
                              </w:rPr>
                            </w:pPr>
                          </w:p>
                          <w:p w14:paraId="0A566F28" w14:textId="77777777" w:rsidR="00C65589" w:rsidRPr="00C65589" w:rsidRDefault="00C65589" w:rsidP="00C65589">
                            <w:pPr>
                              <w:jc w:val="center"/>
                              <w:rPr>
                                <w:rFonts w:ascii="Poppins" w:hAnsi="Poppins" w:cs="Poppins"/>
                              </w:rPr>
                            </w:pPr>
                          </w:p>
                          <w:p w14:paraId="75E8D156" w14:textId="6D1A6C97" w:rsidR="00C65589" w:rsidRPr="00C65589" w:rsidRDefault="002448CD" w:rsidP="00C65589">
                            <w:pPr>
                              <w:jc w:val="center"/>
                              <w:rPr>
                                <w:rFonts w:ascii="Poppins" w:hAnsi="Poppins" w:cs="Poppins"/>
                              </w:rPr>
                            </w:pPr>
                            <w:r w:rsidRPr="002448CD">
                              <w:rPr>
                                <w:rFonts w:ascii="Poppins SemiBold" w:hAnsi="Poppins SemiBold" w:cs="Poppins SemiBold"/>
                                <w:sz w:val="56"/>
                                <w:szCs w:val="56"/>
                              </w:rPr>
                              <w:t>Informační materiál pro média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E0353" id="Rectangle 1" o:spid="_x0000_s1026" style="position:absolute;margin-left:-73.6pt;margin-top:-73.5pt;width:598.1pt;height:84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" fillcolor="#20487e" stroked="f" strokeweight="1pt">
                <v:fill color2="#8d4520" angle="50" colors="0 #20487e;.5 #57474f;1 #8d4520" focus="100%" type="gradient">
                  <o:fill v:ext="view" type="gradientUnscaled"/>
                </v:fill>
                <v:textbox>
                  <w:txbxContent>
                    <w:p w14:paraId="1FC03932" w14:textId="77777777" w:rsidR="00C65589" w:rsidRPr="00C65589" w:rsidRDefault="00C65589" w:rsidP="00C65589">
                      <w:pPr>
                        <w:jc w:val="center"/>
                        <w:rPr>
                          <w:rFonts w:ascii="Poppins" w:hAnsi="Poppins" w:cs="Poppins"/>
                        </w:rPr>
                      </w:pPr>
                    </w:p>
                    <w:p w14:paraId="320F7549" w14:textId="77777777" w:rsidR="00C65589" w:rsidRPr="00C65589" w:rsidRDefault="00C65589" w:rsidP="00C65589">
                      <w:pPr>
                        <w:jc w:val="center"/>
                        <w:rPr>
                          <w:rFonts w:ascii="Poppins" w:hAnsi="Poppins" w:cs="Poppins"/>
                        </w:rPr>
                      </w:pPr>
                    </w:p>
                    <w:p w14:paraId="7C19A748" w14:textId="77777777" w:rsidR="00C65589" w:rsidRPr="00C65589" w:rsidRDefault="00C65589" w:rsidP="00C65589">
                      <w:pPr>
                        <w:jc w:val="center"/>
                        <w:rPr>
                          <w:rFonts w:ascii="Poppins" w:hAnsi="Poppins" w:cs="Poppins"/>
                        </w:rPr>
                      </w:pPr>
                    </w:p>
                    <w:p w14:paraId="73D99FC9" w14:textId="77777777" w:rsidR="00C65589" w:rsidRPr="00C65589" w:rsidRDefault="00C65589" w:rsidP="00C65589">
                      <w:pPr>
                        <w:jc w:val="center"/>
                        <w:rPr>
                          <w:rFonts w:ascii="Poppins" w:hAnsi="Poppins" w:cs="Poppins"/>
                        </w:rPr>
                      </w:pPr>
                    </w:p>
                    <w:p w14:paraId="4A674659" w14:textId="77777777" w:rsidR="00C65589" w:rsidRPr="00C65589" w:rsidRDefault="00C65589" w:rsidP="00C65589">
                      <w:pPr>
                        <w:jc w:val="center"/>
                        <w:rPr>
                          <w:rFonts w:ascii="Poppins" w:hAnsi="Poppins" w:cs="Poppins"/>
                        </w:rPr>
                      </w:pPr>
                    </w:p>
                    <w:p w14:paraId="397DDB0A" w14:textId="77777777" w:rsidR="00C65589" w:rsidRPr="00C65589" w:rsidRDefault="00C65589" w:rsidP="00C65589">
                      <w:pPr>
                        <w:jc w:val="center"/>
                        <w:rPr>
                          <w:rFonts w:ascii="Poppins" w:hAnsi="Poppins" w:cs="Poppins"/>
                        </w:rPr>
                      </w:pPr>
                    </w:p>
                    <w:p w14:paraId="00DAE05D" w14:textId="77777777" w:rsidR="00C65589" w:rsidRPr="00C65589" w:rsidRDefault="00C65589" w:rsidP="00C65589">
                      <w:pPr>
                        <w:jc w:val="center"/>
                        <w:rPr>
                          <w:rFonts w:ascii="Poppins" w:hAnsi="Poppins" w:cs="Poppins"/>
                        </w:rPr>
                      </w:pPr>
                    </w:p>
                    <w:p w14:paraId="484A5461" w14:textId="77777777" w:rsidR="00C65589" w:rsidRPr="00C65589" w:rsidRDefault="00C65589" w:rsidP="00C65589">
                      <w:pPr>
                        <w:jc w:val="center"/>
                        <w:rPr>
                          <w:rFonts w:ascii="Poppins" w:hAnsi="Poppins" w:cs="Poppins"/>
                        </w:rPr>
                      </w:pPr>
                    </w:p>
                    <w:p w14:paraId="53179BCF" w14:textId="77777777" w:rsidR="00C65589" w:rsidRPr="00C65589" w:rsidRDefault="00C65589" w:rsidP="00C65589">
                      <w:pPr>
                        <w:jc w:val="center"/>
                        <w:rPr>
                          <w:rFonts w:ascii="Poppins" w:hAnsi="Poppins" w:cs="Poppins"/>
                        </w:rPr>
                      </w:pPr>
                    </w:p>
                    <w:p w14:paraId="4C60AF31" w14:textId="77777777" w:rsidR="00C65589" w:rsidRPr="00C65589" w:rsidRDefault="00C65589" w:rsidP="00C65589">
                      <w:pPr>
                        <w:jc w:val="center"/>
                        <w:rPr>
                          <w:rFonts w:ascii="Poppins" w:hAnsi="Poppins" w:cs="Poppins"/>
                        </w:rPr>
                      </w:pPr>
                    </w:p>
                    <w:p w14:paraId="5DF9D56D" w14:textId="24E1A6AE" w:rsidR="00C65589" w:rsidRPr="00C65589" w:rsidRDefault="00C65589" w:rsidP="00C65589">
                      <w:pPr>
                        <w:jc w:val="center"/>
                        <w:rPr>
                          <w:rFonts w:ascii="Poppins" w:hAnsi="Poppins" w:cs="Poppins"/>
                        </w:rPr>
                      </w:pPr>
                      <w:r w:rsidRPr="00C65589">
                        <w:rPr>
                          <w:rFonts w:ascii="Poppins" w:hAnsi="Poppins" w:cs="Poppins"/>
                          <w:noProof/>
                        </w:rPr>
                        <w:drawing>
                          <wp:inline distT="0" distB="0" distL="0" distR="0" wp14:anchorId="7FC414E8" wp14:editId="23AC3223">
                            <wp:extent cx="4261090" cy="720000"/>
                            <wp:effectExtent l="0" t="0" r="6350" b="4445"/>
                            <wp:docPr id="1015333279" name="Graphic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5333279" name="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61090" cy="72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F1A8D84" w14:textId="77777777" w:rsidR="00C65589" w:rsidRPr="00C65589" w:rsidRDefault="00C65589" w:rsidP="00C65589">
                      <w:pPr>
                        <w:jc w:val="center"/>
                        <w:rPr>
                          <w:rFonts w:ascii="Poppins" w:hAnsi="Poppins" w:cs="Poppins"/>
                        </w:rPr>
                      </w:pPr>
                    </w:p>
                    <w:p w14:paraId="6FEFDF36" w14:textId="77777777" w:rsidR="00C65589" w:rsidRPr="00C65589" w:rsidRDefault="00C65589" w:rsidP="00C65589">
                      <w:pPr>
                        <w:jc w:val="center"/>
                        <w:rPr>
                          <w:rFonts w:ascii="Poppins" w:hAnsi="Poppins" w:cs="Poppins"/>
                        </w:rPr>
                      </w:pPr>
                    </w:p>
                    <w:p w14:paraId="6B02CC75" w14:textId="77777777" w:rsidR="00C65589" w:rsidRPr="00C65589" w:rsidRDefault="00C65589" w:rsidP="00C65589">
                      <w:pPr>
                        <w:jc w:val="center"/>
                        <w:rPr>
                          <w:rFonts w:ascii="Poppins" w:hAnsi="Poppins" w:cs="Poppins"/>
                        </w:rPr>
                      </w:pPr>
                    </w:p>
                    <w:p w14:paraId="430D55D0" w14:textId="77777777" w:rsidR="00C65589" w:rsidRPr="00C65589" w:rsidRDefault="00C65589" w:rsidP="00C65589">
                      <w:pPr>
                        <w:jc w:val="center"/>
                        <w:rPr>
                          <w:rFonts w:ascii="Poppins" w:hAnsi="Poppins" w:cs="Poppins"/>
                        </w:rPr>
                      </w:pPr>
                    </w:p>
                    <w:p w14:paraId="6D7AD348" w14:textId="77777777" w:rsidR="00C65589" w:rsidRDefault="00C65589" w:rsidP="00C65589">
                      <w:pPr>
                        <w:jc w:val="center"/>
                        <w:rPr>
                          <w:rFonts w:ascii="Poppins" w:hAnsi="Poppins" w:cs="Poppins"/>
                        </w:rPr>
                      </w:pPr>
                    </w:p>
                    <w:p w14:paraId="07BA0BDD" w14:textId="77777777" w:rsidR="00C65589" w:rsidRDefault="00C65589" w:rsidP="00C65589">
                      <w:pPr>
                        <w:jc w:val="center"/>
                        <w:rPr>
                          <w:rFonts w:ascii="Poppins" w:hAnsi="Poppins" w:cs="Poppins"/>
                        </w:rPr>
                      </w:pPr>
                    </w:p>
                    <w:p w14:paraId="687F5514" w14:textId="77777777" w:rsidR="00C65589" w:rsidRPr="00C65589" w:rsidRDefault="00C65589" w:rsidP="00C65589">
                      <w:pPr>
                        <w:jc w:val="center"/>
                        <w:rPr>
                          <w:rFonts w:ascii="Poppins" w:hAnsi="Poppins" w:cs="Poppins"/>
                        </w:rPr>
                      </w:pPr>
                    </w:p>
                    <w:p w14:paraId="0A566F28" w14:textId="77777777" w:rsidR="00C65589" w:rsidRPr="00C65589" w:rsidRDefault="00C65589" w:rsidP="00C65589">
                      <w:pPr>
                        <w:jc w:val="center"/>
                        <w:rPr>
                          <w:rFonts w:ascii="Poppins" w:hAnsi="Poppins" w:cs="Poppins"/>
                        </w:rPr>
                      </w:pPr>
                    </w:p>
                    <w:p w14:paraId="75E8D156" w14:textId="6D1A6C97" w:rsidR="00C65589" w:rsidRPr="00C65589" w:rsidRDefault="002448CD" w:rsidP="00C65589">
                      <w:pPr>
                        <w:jc w:val="center"/>
                        <w:rPr>
                          <w:rFonts w:ascii="Poppins" w:hAnsi="Poppins" w:cs="Poppins"/>
                        </w:rPr>
                      </w:pPr>
                      <w:r w:rsidRPr="002448CD">
                        <w:rPr>
                          <w:rFonts w:ascii="Poppins SemiBold" w:hAnsi="Poppins SemiBold" w:cs="Poppins SemiBold"/>
                          <w:sz w:val="56"/>
                          <w:szCs w:val="56"/>
                        </w:rPr>
                        <w:t xml:space="preserve">Informační materiál pro </w:t>
                      </w:r>
                      <w:proofErr w:type="spellStart"/>
                      <w:r w:rsidRPr="002448CD">
                        <w:rPr>
                          <w:rFonts w:ascii="Poppins SemiBold" w:hAnsi="Poppins SemiBold" w:cs="Poppins SemiBold"/>
                          <w:sz w:val="56"/>
                          <w:szCs w:val="56"/>
                        </w:rPr>
                        <w:t>média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2448CD">
        <w:rPr>
          <w:rFonts w:ascii="Poppins" w:hAnsi="Poppins" w:cs="Poppins"/>
        </w:rPr>
        <w:br w:type="page"/>
      </w:r>
    </w:p>
    <w:p w14:paraId="0E465A03" w14:textId="77777777" w:rsidR="002448CD" w:rsidRPr="002448CD" w:rsidRDefault="002448CD" w:rsidP="002448CD">
      <w:pPr>
        <w:spacing w:after="360"/>
        <w:jc w:val="center"/>
        <w:rPr>
          <w:rFonts w:ascii="Poppins SemiBold" w:hAnsi="Poppins SemiBold" w:cs="Poppins SemiBold"/>
          <w:color w:val="20487E"/>
          <w:sz w:val="32"/>
          <w:szCs w:val="32"/>
        </w:rPr>
      </w:pPr>
      <w:r w:rsidRPr="002448CD">
        <w:rPr>
          <w:rFonts w:ascii="Poppins SemiBold" w:hAnsi="Poppins SemiBold" w:cs="Poppins SemiBold"/>
          <w:color w:val="20487E"/>
          <w:sz w:val="32"/>
          <w:szCs w:val="32"/>
        </w:rPr>
        <w:lastRenderedPageBreak/>
        <w:t>CFO Roku: nová soutěž a vzdělávací platforma</w:t>
      </w:r>
    </w:p>
    <w:p w14:paraId="3BF7E5FA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 SemiBold" w:hAnsi="Poppins SemiBold" w:cs="Poppins SemiBold"/>
        </w:rPr>
        <w:t>CFO Roku 2026/2027</w:t>
      </w:r>
      <w:r w:rsidRPr="002448CD">
        <w:rPr>
          <w:rFonts w:ascii="Poppins" w:hAnsi="Poppins" w:cs="Poppins"/>
        </w:rPr>
        <w:t xml:space="preserve"> je nová celoroční vzdělávací a oceňovací platforma v České republice zaměřená na kvalitu finančního řízení malých a středních firem, roli finančních ředitelů (CFO), využití dat a umělé inteligence ve financích a podporu zdravého podnikání.</w:t>
      </w:r>
    </w:p>
    <w:p w14:paraId="303E8D33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Projekt propojuje:</w:t>
      </w:r>
    </w:p>
    <w:p w14:paraId="6ABBAE26" w14:textId="1877277E" w:rsidR="002448CD" w:rsidRPr="002448CD" w:rsidRDefault="002448CD" w:rsidP="002448CD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ocenění nejlepších CFO, podnikatelů a inovací ve financích,</w:t>
      </w:r>
    </w:p>
    <w:p w14:paraId="3D14D2BA" w14:textId="44C6AD17" w:rsidR="002448CD" w:rsidRPr="002448CD" w:rsidRDefault="002448CD" w:rsidP="002448CD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vzdělávání a popularizaci kvalitního finančního řízení,</w:t>
      </w:r>
    </w:p>
    <w:p w14:paraId="62E50B20" w14:textId="1B43E93F" w:rsidR="002448CD" w:rsidRPr="002448CD" w:rsidRDefault="002448CD" w:rsidP="002448CD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unikátní data o stavu finančního řízení českých firem,</w:t>
      </w:r>
    </w:p>
    <w:p w14:paraId="07E8B780" w14:textId="1DA9A866" w:rsidR="002448CD" w:rsidRPr="002448CD" w:rsidRDefault="002448CD" w:rsidP="002448CD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nezávislé žebříčky private equity a venture capital fondů v ČR,</w:t>
      </w:r>
    </w:p>
    <w:p w14:paraId="05D45A0F" w14:textId="02631F61" w:rsidR="002448CD" w:rsidRPr="002448CD" w:rsidRDefault="002448CD" w:rsidP="002448CD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odbornou debatu o proměně role financí v době AI.</w:t>
      </w:r>
    </w:p>
    <w:p w14:paraId="3E8F9989" w14:textId="62032589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 xml:space="preserve">Vyvrcholením prvního ročníku bude </w:t>
      </w:r>
      <w:r w:rsidRPr="002448CD">
        <w:rPr>
          <w:rFonts w:ascii="Poppins SemiBold" w:hAnsi="Poppins SemiBold" w:cs="Poppins SemiBold"/>
        </w:rPr>
        <w:t>slavnostní galavečer 20. května 2027 v</w:t>
      </w:r>
      <w:r w:rsidR="00ED434A">
        <w:rPr>
          <w:rFonts w:ascii="Poppins SemiBold" w:hAnsi="Poppins SemiBold" w:cs="Poppins SemiBold"/>
        </w:rPr>
        <w:t> </w:t>
      </w:r>
      <w:r w:rsidRPr="002448CD">
        <w:rPr>
          <w:rFonts w:ascii="Poppins SemiBold" w:hAnsi="Poppins SemiBold" w:cs="Poppins SemiBold"/>
        </w:rPr>
        <w:t>Betlémské kapli v Praze</w:t>
      </w:r>
      <w:r w:rsidRPr="002448CD">
        <w:rPr>
          <w:rFonts w:ascii="Poppins" w:hAnsi="Poppins" w:cs="Poppins"/>
        </w:rPr>
        <w:t>.</w:t>
      </w:r>
    </w:p>
    <w:p w14:paraId="076E1EFD" w14:textId="77777777" w:rsidR="002448CD" w:rsidRDefault="002448CD" w:rsidP="002448CD">
      <w:pPr>
        <w:spacing w:after="360"/>
        <w:jc w:val="both"/>
        <w:rPr>
          <w:rFonts w:ascii="Poppins" w:hAnsi="Poppins" w:cs="Poppins"/>
        </w:rPr>
      </w:pPr>
    </w:p>
    <w:p w14:paraId="2601FD6E" w14:textId="3DB5EDBC" w:rsidR="002448CD" w:rsidRPr="002448CD" w:rsidRDefault="002448CD" w:rsidP="002448CD">
      <w:pPr>
        <w:spacing w:after="360"/>
        <w:rPr>
          <w:rFonts w:ascii="Poppins SemiBold" w:hAnsi="Poppins SemiBold" w:cs="Poppins SemiBold"/>
          <w:color w:val="8D4520"/>
          <w:sz w:val="32"/>
          <w:szCs w:val="32"/>
        </w:rPr>
      </w:pPr>
      <w:r w:rsidRPr="002448CD">
        <w:rPr>
          <w:rFonts w:ascii="Poppins SemiBold" w:hAnsi="Poppins SemiBold" w:cs="Poppins SemiBold"/>
          <w:color w:val="8D4520"/>
          <w:sz w:val="32"/>
          <w:szCs w:val="32"/>
        </w:rPr>
        <w:t>Proč CFO Roku vzniká</w:t>
      </w:r>
    </w:p>
    <w:p w14:paraId="35642493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Malé a střední podniky tvoří páteř české ekonomiky — představují více než 99 % všech firem a zaměstnávají přibližně dvě třetiny pracovní síly v České republice.</w:t>
      </w:r>
    </w:p>
    <w:p w14:paraId="5DDBFD68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Přesto právě v oblasti finančního řízení často zaostávají. Mnoho firem stále funguje na základě zkušenosti a intuice zakladatelů, bez systematického plánování cash flow, práce s daty nebo pravidelného reportingu.</w:t>
      </w:r>
    </w:p>
    <w:p w14:paraId="5B956F19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V prostředí ekonomické nejistoty, vyšších nákladů a rychlých technologických změn přitom kvalita finančního řízení stále více rozhoduje o tom, zda firma poroste, zvládne krizi nebo bude schopna investovat do dalšího rozvoje.</w:t>
      </w:r>
    </w:p>
    <w:p w14:paraId="0ED3F6A4" w14:textId="77777777" w:rsid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CFO Roku chce pomoci posunout standard finančního řízení českých firem směrem k větší práci s daty, predikcemi, technologiemi a strategickému rozhodování.</w:t>
      </w:r>
    </w:p>
    <w:p w14:paraId="004A6AF7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</w:p>
    <w:p w14:paraId="74A99BE9" w14:textId="77777777" w:rsidR="002448CD" w:rsidRPr="002448CD" w:rsidRDefault="002448CD" w:rsidP="002448CD">
      <w:pPr>
        <w:spacing w:after="360"/>
        <w:rPr>
          <w:rFonts w:ascii="Poppins SemiBold" w:hAnsi="Poppins SemiBold" w:cs="Poppins SemiBold"/>
          <w:color w:val="8D4520"/>
          <w:sz w:val="32"/>
          <w:szCs w:val="32"/>
        </w:rPr>
      </w:pPr>
      <w:r w:rsidRPr="002448CD">
        <w:rPr>
          <w:rFonts w:ascii="Poppins SemiBold" w:hAnsi="Poppins SemiBold" w:cs="Poppins SemiBold"/>
          <w:color w:val="8D4520"/>
          <w:sz w:val="32"/>
          <w:szCs w:val="32"/>
        </w:rPr>
        <w:lastRenderedPageBreak/>
        <w:t>Co CFO Roku přinese</w:t>
      </w:r>
    </w:p>
    <w:p w14:paraId="29CF2B8A" w14:textId="054EB6B3" w:rsidR="002448CD" w:rsidRPr="002448CD" w:rsidRDefault="002448CD" w:rsidP="002448CD">
      <w:pPr>
        <w:pStyle w:val="Odstavecseseznamem"/>
        <w:numPr>
          <w:ilvl w:val="0"/>
          <w:numId w:val="3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Ocenění nejlepších CFO i finančně zodpovědných</w:t>
      </w:r>
    </w:p>
    <w:p w14:paraId="0BC60435" w14:textId="4F89F8C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Projekt oceňuje nejen finanční výsledky, ale i skutečný dopad finančního řízení na</w:t>
      </w:r>
      <w:r w:rsidR="00ED434A">
        <w:rPr>
          <w:rFonts w:ascii="Poppins" w:hAnsi="Poppins" w:cs="Poppins"/>
        </w:rPr>
        <w:t> </w:t>
      </w:r>
      <w:r w:rsidRPr="002448CD">
        <w:rPr>
          <w:rFonts w:ascii="Poppins" w:hAnsi="Poppins" w:cs="Poppins"/>
        </w:rPr>
        <w:t>fungování firmy.</w:t>
      </w:r>
    </w:p>
    <w:p w14:paraId="469C2C23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Hodnocení kombinuje:</w:t>
      </w:r>
    </w:p>
    <w:p w14:paraId="70560E1B" w14:textId="7912D4B6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kvantitativní ukazatele (vývoj tržeb, EBITDA, cash flow, finanční zdraví firmy),</w:t>
      </w:r>
    </w:p>
    <w:p w14:paraId="30682862" w14:textId="129F3DD1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kvalitativní kritéria (strategický přínos CFO, leadership, role při transformaci firmy),</w:t>
      </w:r>
    </w:p>
    <w:p w14:paraId="26E1F3C5" w14:textId="357A907F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odborné posouzení poroty a osobní interview.</w:t>
      </w:r>
    </w:p>
    <w:p w14:paraId="4551A0F0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Cílem není ocenit „největší firmy“, ale ukázat příklady dobré praxe napříč českým podnikáním.</w:t>
      </w:r>
    </w:p>
    <w:p w14:paraId="6797DEE4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 xml:space="preserve">Do soutěže Finančně zodpovědný majitel roku se může přihlásit nebo být nominován podnikatel s obratem firmy ve výši deset milionů až dvě miliardy korun, který prokazatelně řídí firmu na základě čísel a dat. Přitom nemá interního CFO a roli finančního lídra si plní sám. </w:t>
      </w:r>
    </w:p>
    <w:p w14:paraId="484ECA83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</w:p>
    <w:p w14:paraId="11BBDCD5" w14:textId="6FC43B33" w:rsidR="002448CD" w:rsidRPr="002448CD" w:rsidRDefault="002448CD" w:rsidP="00ED434A">
      <w:pPr>
        <w:pStyle w:val="Odstavecseseznamem"/>
        <w:numPr>
          <w:ilvl w:val="0"/>
          <w:numId w:val="3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Výzkum finančního řízení SME v ČR</w:t>
      </w:r>
    </w:p>
    <w:p w14:paraId="6F1397AA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Součástí projektu bude také systematická zpráva o finančním řízení malých a středních podniků v České republice.</w:t>
      </w:r>
    </w:p>
    <w:p w14:paraId="5DAE4F1D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Výzkum se zaměří například na:</w:t>
      </w:r>
    </w:p>
    <w:p w14:paraId="031DFD35" w14:textId="77777777" w:rsidR="002448CD" w:rsidRPr="00ED434A" w:rsidRDefault="002448CD" w:rsidP="002448CD">
      <w:pPr>
        <w:spacing w:after="360"/>
        <w:jc w:val="both"/>
        <w:rPr>
          <w:rFonts w:ascii="Poppins" w:hAnsi="Poppins" w:cs="Poppins"/>
          <w:u w:val="single"/>
        </w:rPr>
      </w:pPr>
      <w:r w:rsidRPr="00ED434A">
        <w:rPr>
          <w:rFonts w:ascii="Poppins" w:hAnsi="Poppins" w:cs="Poppins"/>
          <w:u w:val="single"/>
        </w:rPr>
        <w:t>Finanční zdraví firem</w:t>
      </w:r>
    </w:p>
    <w:p w14:paraId="30877C6C" w14:textId="044F5AEF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plánování cash flow,</w:t>
      </w:r>
    </w:p>
    <w:p w14:paraId="58BD0E7B" w14:textId="4EF2E3EB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práci s provozním kapitálem,</w:t>
      </w:r>
    </w:p>
    <w:p w14:paraId="67E16DF5" w14:textId="490BD4E9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reporting a budgeting,</w:t>
      </w:r>
    </w:p>
    <w:p w14:paraId="4E4431B6" w14:textId="54594EFA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schopnost predikovat finanční vývoj.</w:t>
      </w:r>
    </w:p>
    <w:p w14:paraId="2933E790" w14:textId="77777777" w:rsidR="002448CD" w:rsidRPr="00ED434A" w:rsidRDefault="002448CD" w:rsidP="002448CD">
      <w:pPr>
        <w:spacing w:after="360"/>
        <w:jc w:val="both"/>
        <w:rPr>
          <w:rFonts w:ascii="Poppins" w:hAnsi="Poppins" w:cs="Poppins"/>
          <w:u w:val="single"/>
        </w:rPr>
      </w:pPr>
      <w:r w:rsidRPr="00ED434A">
        <w:rPr>
          <w:rFonts w:ascii="Poppins" w:hAnsi="Poppins" w:cs="Poppins"/>
          <w:u w:val="single"/>
        </w:rPr>
        <w:lastRenderedPageBreak/>
        <w:t>Digitalizace a technologie</w:t>
      </w:r>
    </w:p>
    <w:p w14:paraId="47474DFD" w14:textId="502C659E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využívání účetních systémů,</w:t>
      </w:r>
    </w:p>
    <w:p w14:paraId="1587B21D" w14:textId="76C32573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reportingové a BI nástroje,</w:t>
      </w:r>
    </w:p>
    <w:p w14:paraId="11C8B5CA" w14:textId="5DC3D300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automatizaci procesů,</w:t>
      </w:r>
    </w:p>
    <w:p w14:paraId="5BF2C326" w14:textId="79EDF7BA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adopci umělé inteligence.</w:t>
      </w:r>
    </w:p>
    <w:p w14:paraId="0B356E90" w14:textId="77777777" w:rsidR="002448CD" w:rsidRPr="00ED434A" w:rsidRDefault="002448CD" w:rsidP="002448CD">
      <w:pPr>
        <w:spacing w:after="360"/>
        <w:jc w:val="both"/>
        <w:rPr>
          <w:rFonts w:ascii="Poppins" w:hAnsi="Poppins" w:cs="Poppins"/>
          <w:u w:val="single"/>
        </w:rPr>
      </w:pPr>
      <w:r w:rsidRPr="00ED434A">
        <w:rPr>
          <w:rFonts w:ascii="Poppins" w:hAnsi="Poppins" w:cs="Poppins"/>
          <w:u w:val="single"/>
        </w:rPr>
        <w:t>AI ve financích</w:t>
      </w:r>
    </w:p>
    <w:p w14:paraId="1BDF310E" w14:textId="3AF3F645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reálné využití AI ve firmách,</w:t>
      </w:r>
    </w:p>
    <w:p w14:paraId="5C69960A" w14:textId="548444D7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forecasting a reporting,</w:t>
      </w:r>
    </w:p>
    <w:p w14:paraId="59ADE110" w14:textId="69998148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detekci anomálií,</w:t>
      </w:r>
    </w:p>
    <w:p w14:paraId="7E9FFE12" w14:textId="751CE182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překážky adopce AI.</w:t>
      </w:r>
    </w:p>
    <w:p w14:paraId="5AE301E2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Výstupem bude veřejně dostupná zpráva, která poskytne unikátní vhled do toho, jak české firmy skutečně řídí své finance.</w:t>
      </w:r>
    </w:p>
    <w:p w14:paraId="51CC12FE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</w:p>
    <w:p w14:paraId="1D017696" w14:textId="1A0658EB" w:rsidR="002448CD" w:rsidRPr="002448CD" w:rsidRDefault="002448CD" w:rsidP="00ED434A">
      <w:pPr>
        <w:pStyle w:val="Odstavecseseznamem"/>
        <w:numPr>
          <w:ilvl w:val="0"/>
          <w:numId w:val="3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Nezávislé žebříčky PE a VC fondů v ČR</w:t>
      </w:r>
    </w:p>
    <w:p w14:paraId="5C2F29F0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CFO Roku přinese také ucelené nezávislé hodnocení private equity a venture capital fondů v České republice.</w:t>
      </w:r>
    </w:p>
    <w:p w14:paraId="06A87EDD" w14:textId="77777777" w:rsidR="002448CD" w:rsidRPr="00ED434A" w:rsidRDefault="002448CD" w:rsidP="002448CD">
      <w:pPr>
        <w:spacing w:after="360"/>
        <w:jc w:val="both"/>
        <w:rPr>
          <w:rFonts w:ascii="Poppins SemiBold" w:hAnsi="Poppins SemiBold" w:cs="Poppins SemiBold"/>
          <w:color w:val="20487E"/>
        </w:rPr>
      </w:pPr>
      <w:r w:rsidRPr="00ED434A">
        <w:rPr>
          <w:rFonts w:ascii="Poppins SemiBold" w:hAnsi="Poppins SemiBold" w:cs="Poppins SemiBold"/>
          <w:color w:val="20487E"/>
        </w:rPr>
        <w:t>Private Equity fond roku:</w:t>
      </w:r>
    </w:p>
    <w:p w14:paraId="0917888E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Hodnocení bude kombinovat:</w:t>
      </w:r>
    </w:p>
    <w:p w14:paraId="66DE5FC3" w14:textId="0E90A9F4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kvalitu portfolia,</w:t>
      </w:r>
    </w:p>
    <w:p w14:paraId="7C0CB42C" w14:textId="1EFE5A5C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tvorbu hodnoty ve firmách,</w:t>
      </w:r>
    </w:p>
    <w:p w14:paraId="0E68F140" w14:textId="262661B0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governance a reporting,</w:t>
      </w:r>
    </w:p>
    <w:p w14:paraId="6AFBE210" w14:textId="6E0AE23D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anonymní hodnocení managementu portfoliových firem.</w:t>
      </w:r>
    </w:p>
    <w:p w14:paraId="4B9054D3" w14:textId="77777777" w:rsidR="002448CD" w:rsidRPr="00ED434A" w:rsidRDefault="002448CD" w:rsidP="002448CD">
      <w:pPr>
        <w:spacing w:after="360"/>
        <w:jc w:val="both"/>
        <w:rPr>
          <w:rFonts w:ascii="Poppins SemiBold" w:hAnsi="Poppins SemiBold" w:cs="Poppins SemiBold"/>
          <w:color w:val="20487E"/>
        </w:rPr>
      </w:pPr>
      <w:r w:rsidRPr="00ED434A">
        <w:rPr>
          <w:rFonts w:ascii="Poppins SemiBold" w:hAnsi="Poppins SemiBold" w:cs="Poppins SemiBold"/>
          <w:color w:val="20487E"/>
        </w:rPr>
        <w:t>Venture Capital fond roku:</w:t>
      </w:r>
    </w:p>
    <w:p w14:paraId="7B12FE36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Součástí bude unikátní Founder NPS — anonymní hodnocení fondů samotnými startupovými foundery. Cílem není hodnotit pouze investiční výkonnost, ale také kvalitu spolupráce s firmami a přínos investorů pro rozvoj českého podnikatelského prostředí.</w:t>
      </w:r>
    </w:p>
    <w:p w14:paraId="22AF5C79" w14:textId="77777777" w:rsidR="002448CD" w:rsidRPr="00ED434A" w:rsidRDefault="002448CD" w:rsidP="00ED434A">
      <w:pPr>
        <w:spacing w:after="360"/>
        <w:rPr>
          <w:rFonts w:ascii="Poppins SemiBold" w:hAnsi="Poppins SemiBold" w:cs="Poppins SemiBold"/>
          <w:color w:val="8D4520"/>
          <w:sz w:val="32"/>
          <w:szCs w:val="32"/>
        </w:rPr>
      </w:pPr>
      <w:r w:rsidRPr="00ED434A">
        <w:rPr>
          <w:rFonts w:ascii="Poppins SemiBold" w:hAnsi="Poppins SemiBold" w:cs="Poppins SemiBold"/>
          <w:color w:val="8D4520"/>
          <w:sz w:val="32"/>
          <w:szCs w:val="32"/>
        </w:rPr>
        <w:lastRenderedPageBreak/>
        <w:t>AI mění roli CFO</w:t>
      </w:r>
    </w:p>
    <w:p w14:paraId="3C7B555D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Jedním z hlavních témat CFO Roku je proměna role finančního ředitele v době umělé inteligence. CFO v současnosti stále méně funguje jako „strážce nákladů“ a stále více jako strategický partner vedení firmy. Automatizace a AI mění způsob práce ve financích — od účetnictví a reportingu až po forecasting, řízení rizik nebo plánování cash flow. Projekt chce ukazovat konkrétní příklady smysluplného využití technologií v českém podnikání a podporovat firmy v jejich adaptaci na nové podmínky.</w:t>
      </w:r>
    </w:p>
    <w:p w14:paraId="6286AE98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</w:p>
    <w:p w14:paraId="63E4E6F1" w14:textId="77777777" w:rsidR="002448CD" w:rsidRPr="00ED434A" w:rsidRDefault="002448CD" w:rsidP="00ED434A">
      <w:pPr>
        <w:spacing w:after="360"/>
        <w:rPr>
          <w:rFonts w:ascii="Poppins SemiBold" w:hAnsi="Poppins SemiBold" w:cs="Poppins SemiBold"/>
          <w:color w:val="8D4520"/>
          <w:sz w:val="32"/>
          <w:szCs w:val="32"/>
        </w:rPr>
      </w:pPr>
      <w:r w:rsidRPr="00ED434A">
        <w:rPr>
          <w:rFonts w:ascii="Poppins SemiBold" w:hAnsi="Poppins SemiBold" w:cs="Poppins SemiBold"/>
          <w:color w:val="8D4520"/>
          <w:sz w:val="32"/>
          <w:szCs w:val="32"/>
        </w:rPr>
        <w:t>Soutěžní kategorie CFO Roku 2026/2027</w:t>
      </w:r>
    </w:p>
    <w:p w14:paraId="5F7C90B4" w14:textId="4FF76E53" w:rsidR="002448CD" w:rsidRPr="002448CD" w:rsidRDefault="002448CD" w:rsidP="00ED434A">
      <w:pPr>
        <w:pStyle w:val="Odstavecseseznamem"/>
        <w:numPr>
          <w:ilvl w:val="0"/>
          <w:numId w:val="5"/>
        </w:num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CFO Roku</w:t>
      </w:r>
    </w:p>
    <w:p w14:paraId="48C82B79" w14:textId="63482C1C" w:rsidR="002448CD" w:rsidRPr="002448CD" w:rsidRDefault="002448CD" w:rsidP="00ED434A">
      <w:pPr>
        <w:pStyle w:val="Odstavecseseznamem"/>
        <w:numPr>
          <w:ilvl w:val="0"/>
          <w:numId w:val="5"/>
        </w:num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Finančně zodpovědný podnikatel roku</w:t>
      </w:r>
    </w:p>
    <w:p w14:paraId="423891E1" w14:textId="0B0F638D" w:rsidR="002448CD" w:rsidRPr="002448CD" w:rsidRDefault="002448CD" w:rsidP="00ED434A">
      <w:pPr>
        <w:pStyle w:val="Odstavecseseznamem"/>
        <w:numPr>
          <w:ilvl w:val="0"/>
          <w:numId w:val="5"/>
        </w:num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AI projekt ve financích roku</w:t>
      </w:r>
    </w:p>
    <w:p w14:paraId="645B9CF4" w14:textId="77777777" w:rsidR="00ED434A" w:rsidRDefault="002448CD" w:rsidP="00ED434A">
      <w:pPr>
        <w:pStyle w:val="Odstavecseseznamem"/>
        <w:numPr>
          <w:ilvl w:val="0"/>
          <w:numId w:val="5"/>
        </w:numPr>
        <w:spacing w:after="360"/>
        <w:jc w:val="both"/>
        <w:rPr>
          <w:rFonts w:ascii="Poppins" w:hAnsi="Poppins" w:cs="Poppins"/>
        </w:rPr>
      </w:pPr>
      <w:r w:rsidRPr="00ED434A">
        <w:rPr>
          <w:rFonts w:ascii="Poppins" w:hAnsi="Poppins" w:cs="Poppins"/>
        </w:rPr>
        <w:t>Fintech roku</w:t>
      </w:r>
    </w:p>
    <w:p w14:paraId="56077A0E" w14:textId="0B33FC1D" w:rsidR="002448CD" w:rsidRPr="00ED434A" w:rsidRDefault="002448CD" w:rsidP="00ED434A">
      <w:pPr>
        <w:pStyle w:val="Odstavecseseznamem"/>
        <w:numPr>
          <w:ilvl w:val="0"/>
          <w:numId w:val="5"/>
        </w:numPr>
        <w:spacing w:after="360"/>
        <w:jc w:val="both"/>
        <w:rPr>
          <w:rFonts w:ascii="Poppins" w:hAnsi="Poppins" w:cs="Poppins"/>
        </w:rPr>
      </w:pPr>
      <w:r w:rsidRPr="00ED434A">
        <w:rPr>
          <w:rFonts w:ascii="Poppins" w:hAnsi="Poppins" w:cs="Poppins"/>
        </w:rPr>
        <w:t>Zelený projekt roku</w:t>
      </w:r>
    </w:p>
    <w:p w14:paraId="77E25974" w14:textId="22DF390B" w:rsidR="002448CD" w:rsidRPr="002448CD" w:rsidRDefault="002448CD" w:rsidP="00ED434A">
      <w:pPr>
        <w:pStyle w:val="Odstavecseseznamem"/>
        <w:numPr>
          <w:ilvl w:val="0"/>
          <w:numId w:val="5"/>
        </w:num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Edukátor finanční gramotnosti roku</w:t>
      </w:r>
    </w:p>
    <w:p w14:paraId="667693C9" w14:textId="1B688DD3" w:rsidR="002448CD" w:rsidRPr="002448CD" w:rsidRDefault="002448CD" w:rsidP="00ED434A">
      <w:pPr>
        <w:pStyle w:val="Odstavecseseznamem"/>
        <w:numPr>
          <w:ilvl w:val="0"/>
          <w:numId w:val="5"/>
        </w:num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Finanční citrón roku*</w:t>
      </w:r>
    </w:p>
    <w:p w14:paraId="6E10724A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* Kategorie zaměřená na poučení z významných případů finančního selhání. Cílem není senzace ani poškození reputace, ale edukace trhu a sdílení zkušeností.</w:t>
      </w:r>
    </w:p>
    <w:p w14:paraId="07FD6CC9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</w:p>
    <w:p w14:paraId="2042FDB7" w14:textId="77777777" w:rsidR="002448CD" w:rsidRPr="00ED434A" w:rsidRDefault="002448CD" w:rsidP="00ED434A">
      <w:pPr>
        <w:spacing w:after="360"/>
        <w:rPr>
          <w:rFonts w:ascii="Poppins SemiBold" w:hAnsi="Poppins SemiBold" w:cs="Poppins SemiBold"/>
          <w:color w:val="8D4520"/>
          <w:sz w:val="32"/>
          <w:szCs w:val="32"/>
        </w:rPr>
      </w:pPr>
      <w:r w:rsidRPr="00ED434A">
        <w:rPr>
          <w:rFonts w:ascii="Poppins SemiBold" w:hAnsi="Poppins SemiBold" w:cs="Poppins SemiBold"/>
          <w:color w:val="8D4520"/>
          <w:sz w:val="32"/>
          <w:szCs w:val="32"/>
        </w:rPr>
        <w:t>Odborná porota</w:t>
      </w:r>
    </w:p>
    <w:p w14:paraId="450C0CC7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Součástí projektu jsou významné osobnosti ekonomického a podnikatelského prostředí.</w:t>
      </w:r>
    </w:p>
    <w:p w14:paraId="7A530A14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Mezi členy poroty jsou k 16. 6. 2026:</w:t>
      </w:r>
    </w:p>
    <w:p w14:paraId="5EB68EA9" w14:textId="43E63032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Miroslav Singer — ekonom, bývalý guvernér ČNB, hlavní ekonom Generali CEE</w:t>
      </w:r>
    </w:p>
    <w:p w14:paraId="1C8BCABB" w14:textId="29186069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Gabriela Mates  - ekonomka, vedoucí zastoupení Evropské investiční banky v</w:t>
      </w:r>
      <w:r w:rsidR="00ED434A">
        <w:rPr>
          <w:rFonts w:ascii="Poppins" w:hAnsi="Poppins" w:cs="Poppins"/>
        </w:rPr>
        <w:t> </w:t>
      </w:r>
      <w:r w:rsidRPr="002448CD">
        <w:rPr>
          <w:rFonts w:ascii="Poppins" w:hAnsi="Poppins" w:cs="Poppins"/>
        </w:rPr>
        <w:t>ČR</w:t>
      </w:r>
    </w:p>
    <w:p w14:paraId="39ED1989" w14:textId="004D0C9E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lastRenderedPageBreak/>
        <w:t>Ladislav Mejzlík - prezident Komory auditorů ČR, proděkan Fakulty financí a účetnictví VŠE</w:t>
      </w:r>
    </w:p>
    <w:p w14:paraId="57F9800C" w14:textId="721656FE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Petr Bartoň - hlavní ekonom investiční skupiny Natland</w:t>
      </w:r>
    </w:p>
    <w:p w14:paraId="19B2400D" w14:textId="488718EF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Marek Ditz - ekonom a strategický poradce</w:t>
      </w:r>
    </w:p>
    <w:p w14:paraId="664FF794" w14:textId="4C837DCD" w:rsidR="002448CD" w:rsidRPr="002448CD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Dominik Stroukal — ekonom, pedagog na Metropolitní univerzitě Praha</w:t>
      </w:r>
    </w:p>
    <w:p w14:paraId="2F044C0B" w14:textId="0363DD35" w:rsidR="00ED434A" w:rsidRPr="00ED434A" w:rsidRDefault="002448CD" w:rsidP="00ED434A">
      <w:pPr>
        <w:pStyle w:val="Odstavecseseznamem"/>
        <w:numPr>
          <w:ilvl w:val="0"/>
          <w:numId w:val="2"/>
        </w:numPr>
        <w:spacing w:after="360"/>
        <w:ind w:left="426" w:hanging="426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Lukáš Kovanda - hlavní ekonom Trinity Bank</w:t>
      </w:r>
    </w:p>
    <w:p w14:paraId="5660E88D" w14:textId="77777777" w:rsidR="002448CD" w:rsidRDefault="002448CD" w:rsidP="002448CD">
      <w:pPr>
        <w:spacing w:after="360"/>
        <w:jc w:val="both"/>
        <w:rPr>
          <w:rFonts w:ascii="Poppins" w:hAnsi="Poppins" w:cs="Poppins"/>
          <w:i/>
          <w:iCs/>
        </w:rPr>
      </w:pPr>
      <w:r w:rsidRPr="00ED434A">
        <w:rPr>
          <w:rFonts w:ascii="Poppins" w:hAnsi="Poppins" w:cs="Poppins"/>
          <w:i/>
          <w:iCs/>
        </w:rPr>
        <w:t>Další jména porotců budou zveřejněna.</w:t>
      </w:r>
    </w:p>
    <w:p w14:paraId="220E5C92" w14:textId="77777777" w:rsidR="00ED434A" w:rsidRPr="00ED434A" w:rsidRDefault="00ED434A" w:rsidP="002448CD">
      <w:pPr>
        <w:spacing w:after="360"/>
        <w:jc w:val="both"/>
        <w:rPr>
          <w:rFonts w:ascii="Poppins" w:hAnsi="Poppins" w:cs="Poppins"/>
        </w:rPr>
      </w:pPr>
    </w:p>
    <w:p w14:paraId="5EC641A3" w14:textId="77777777" w:rsidR="002448CD" w:rsidRPr="00ED434A" w:rsidRDefault="002448CD" w:rsidP="00ED434A">
      <w:pPr>
        <w:spacing w:after="360"/>
        <w:rPr>
          <w:rFonts w:ascii="Poppins SemiBold" w:hAnsi="Poppins SemiBold" w:cs="Poppins SemiBold"/>
          <w:color w:val="8D4520"/>
          <w:sz w:val="32"/>
          <w:szCs w:val="32"/>
        </w:rPr>
      </w:pPr>
      <w:r w:rsidRPr="00ED434A">
        <w:rPr>
          <w:rFonts w:ascii="Poppins SemiBold" w:hAnsi="Poppins SemiBold" w:cs="Poppins SemiBold"/>
          <w:color w:val="8D4520"/>
          <w:sz w:val="32"/>
          <w:szCs w:val="32"/>
        </w:rPr>
        <w:t>Harmonogram projektu</w:t>
      </w:r>
    </w:p>
    <w:p w14:paraId="76D0F0F0" w14:textId="77777777" w:rsidR="002448CD" w:rsidRPr="00ED434A" w:rsidRDefault="002448CD" w:rsidP="002448CD">
      <w:pPr>
        <w:spacing w:after="360"/>
        <w:jc w:val="both"/>
        <w:rPr>
          <w:rFonts w:ascii="Poppins SemiBold" w:hAnsi="Poppins SemiBold" w:cs="Poppins SemiBold"/>
          <w:color w:val="20487E"/>
        </w:rPr>
      </w:pPr>
      <w:r w:rsidRPr="00ED434A">
        <w:rPr>
          <w:rFonts w:ascii="Poppins SemiBold" w:hAnsi="Poppins SemiBold" w:cs="Poppins SemiBold"/>
          <w:color w:val="20487E"/>
        </w:rPr>
        <w:t>Červen 2026</w:t>
      </w:r>
    </w:p>
    <w:p w14:paraId="48B82883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Oficiální spuštění projektu CFO Roku</w:t>
      </w:r>
    </w:p>
    <w:p w14:paraId="5BF71735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Otevření nominací a start vzdělávacího obsahu</w:t>
      </w:r>
    </w:p>
    <w:p w14:paraId="3142427E" w14:textId="77777777" w:rsidR="002448CD" w:rsidRPr="00ED434A" w:rsidRDefault="002448CD" w:rsidP="002448CD">
      <w:pPr>
        <w:spacing w:after="360"/>
        <w:jc w:val="both"/>
        <w:rPr>
          <w:rFonts w:ascii="Poppins SemiBold" w:hAnsi="Poppins SemiBold" w:cs="Poppins SemiBold"/>
          <w:color w:val="20487E"/>
        </w:rPr>
      </w:pPr>
      <w:r w:rsidRPr="00ED434A">
        <w:rPr>
          <w:rFonts w:ascii="Poppins SemiBold" w:hAnsi="Poppins SemiBold" w:cs="Poppins SemiBold"/>
          <w:color w:val="20487E"/>
        </w:rPr>
        <w:t>Říjen 2026 – únor 2027</w:t>
      </w:r>
    </w:p>
    <w:p w14:paraId="55FDA760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Sběr dat pro Zprávu o finančním řízení SME</w:t>
      </w:r>
    </w:p>
    <w:p w14:paraId="7F0AF246" w14:textId="77777777" w:rsidR="002448CD" w:rsidRPr="00ED434A" w:rsidRDefault="002448CD" w:rsidP="002448CD">
      <w:pPr>
        <w:spacing w:after="360"/>
        <w:jc w:val="both"/>
        <w:rPr>
          <w:rFonts w:ascii="Poppins SemiBold" w:hAnsi="Poppins SemiBold" w:cs="Poppins SemiBold"/>
          <w:color w:val="20487E"/>
        </w:rPr>
      </w:pPr>
      <w:r w:rsidRPr="00ED434A">
        <w:rPr>
          <w:rFonts w:ascii="Poppins SemiBold" w:hAnsi="Poppins SemiBold" w:cs="Poppins SemiBold"/>
          <w:color w:val="20487E"/>
        </w:rPr>
        <w:t>Jaro 2027</w:t>
      </w:r>
    </w:p>
    <w:p w14:paraId="61FD76EA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Finalisté, rozhovory</w:t>
      </w:r>
    </w:p>
    <w:p w14:paraId="53C7E937" w14:textId="77777777" w:rsidR="002448CD" w:rsidRPr="00ED434A" w:rsidRDefault="002448CD" w:rsidP="002448CD">
      <w:pPr>
        <w:spacing w:after="360"/>
        <w:jc w:val="both"/>
        <w:rPr>
          <w:rFonts w:ascii="Poppins SemiBold" w:hAnsi="Poppins SemiBold" w:cs="Poppins SemiBold"/>
          <w:color w:val="20487E"/>
        </w:rPr>
      </w:pPr>
      <w:r w:rsidRPr="00ED434A">
        <w:rPr>
          <w:rFonts w:ascii="Poppins SemiBold" w:hAnsi="Poppins SemiBold" w:cs="Poppins SemiBold"/>
          <w:color w:val="20487E"/>
        </w:rPr>
        <w:t>20. května 2027</w:t>
      </w:r>
    </w:p>
    <w:p w14:paraId="374AC6A3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Galavečer CFO Roku — Betlémská kaple, Praha</w:t>
      </w:r>
    </w:p>
    <w:p w14:paraId="4AB32505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</w:p>
    <w:p w14:paraId="55A0076F" w14:textId="77777777" w:rsidR="002448CD" w:rsidRPr="00ED434A" w:rsidRDefault="002448CD" w:rsidP="00ED434A">
      <w:pPr>
        <w:spacing w:after="360"/>
        <w:rPr>
          <w:rFonts w:ascii="Poppins SemiBold" w:hAnsi="Poppins SemiBold" w:cs="Poppins SemiBold"/>
          <w:color w:val="8D4520"/>
          <w:sz w:val="32"/>
          <w:szCs w:val="32"/>
        </w:rPr>
      </w:pPr>
      <w:r w:rsidRPr="00ED434A">
        <w:rPr>
          <w:rFonts w:ascii="Poppins SemiBold" w:hAnsi="Poppins SemiBold" w:cs="Poppins SemiBold"/>
          <w:color w:val="8D4520"/>
          <w:sz w:val="32"/>
          <w:szCs w:val="32"/>
        </w:rPr>
        <w:t>Základní fakta o CFO Roku</w:t>
      </w:r>
    </w:p>
    <w:p w14:paraId="774A0643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ED434A">
        <w:rPr>
          <w:rFonts w:ascii="Poppins SemiBold" w:hAnsi="Poppins SemiBold" w:cs="Poppins SemiBold"/>
        </w:rPr>
        <w:t>Pořadatel:</w:t>
      </w:r>
      <w:r w:rsidRPr="002448CD">
        <w:rPr>
          <w:rFonts w:ascii="Poppins" w:hAnsi="Poppins" w:cs="Poppins"/>
        </w:rPr>
        <w:t xml:space="preserve"> My Education Officer s.r.o. (skupina My Value Officer)</w:t>
      </w:r>
    </w:p>
    <w:p w14:paraId="6DDF297B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ED434A">
        <w:rPr>
          <w:rFonts w:ascii="Poppins SemiBold" w:hAnsi="Poppins SemiBold" w:cs="Poppins SemiBold"/>
        </w:rPr>
        <w:t>Zakladatel projektu:</w:t>
      </w:r>
      <w:r w:rsidRPr="002448CD">
        <w:rPr>
          <w:rFonts w:ascii="Poppins" w:hAnsi="Poppins" w:cs="Poppins"/>
        </w:rPr>
        <w:t xml:space="preserve"> Václav Nedvídek</w:t>
      </w:r>
    </w:p>
    <w:p w14:paraId="25473850" w14:textId="059753BC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ED434A">
        <w:rPr>
          <w:rFonts w:ascii="Poppins SemiBold" w:hAnsi="Poppins SemiBold" w:cs="Poppins SemiBold"/>
        </w:rPr>
        <w:lastRenderedPageBreak/>
        <w:t>Počet kategorií:</w:t>
      </w:r>
      <w:r w:rsidRPr="002448CD">
        <w:rPr>
          <w:rFonts w:ascii="Poppins" w:hAnsi="Poppins" w:cs="Poppins"/>
        </w:rPr>
        <w:t xml:space="preserve"> </w:t>
      </w:r>
      <w:r w:rsidR="00893694">
        <w:rPr>
          <w:rFonts w:ascii="Poppins" w:hAnsi="Poppins" w:cs="Poppins"/>
        </w:rPr>
        <w:t>7</w:t>
      </w:r>
    </w:p>
    <w:p w14:paraId="38482CCE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ED434A">
        <w:rPr>
          <w:rFonts w:ascii="Poppins SemiBold" w:hAnsi="Poppins SemiBold" w:cs="Poppins SemiBold"/>
        </w:rPr>
        <w:t>Vyhlášení:</w:t>
      </w:r>
      <w:r w:rsidRPr="002448CD">
        <w:rPr>
          <w:rFonts w:ascii="Poppins" w:hAnsi="Poppins" w:cs="Poppins"/>
        </w:rPr>
        <w:t xml:space="preserve"> 20. května 2027, Betlémská kaple, Praha</w:t>
      </w:r>
    </w:p>
    <w:p w14:paraId="43EBA936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ED434A">
        <w:rPr>
          <w:rFonts w:ascii="Poppins SemiBold" w:hAnsi="Poppins SemiBold" w:cs="Poppins SemiBold"/>
        </w:rPr>
        <w:t>Formát:</w:t>
      </w:r>
      <w:r w:rsidRPr="002448CD">
        <w:rPr>
          <w:rFonts w:ascii="Poppins" w:hAnsi="Poppins" w:cs="Poppins"/>
        </w:rPr>
        <w:t xml:space="preserve"> celoroční vzdělávací a oceňovací platforma</w:t>
      </w:r>
    </w:p>
    <w:p w14:paraId="42C7564E" w14:textId="38459D24" w:rsid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ED434A">
        <w:rPr>
          <w:rFonts w:ascii="Poppins SemiBold" w:hAnsi="Poppins SemiBold" w:cs="Poppins SemiBold"/>
        </w:rPr>
        <w:t>Web:</w:t>
      </w:r>
      <w:r w:rsidRPr="002448CD">
        <w:rPr>
          <w:rFonts w:ascii="Poppins" w:hAnsi="Poppins" w:cs="Poppins"/>
        </w:rPr>
        <w:t xml:space="preserve"> </w:t>
      </w:r>
      <w:hyperlink r:id="rId12" w:history="1">
        <w:r w:rsidR="00ED434A">
          <w:rPr>
            <w:rStyle w:val="Hypertextovodkaz"/>
            <w:rFonts w:ascii="Poppins" w:hAnsi="Poppins" w:cs="Poppins"/>
          </w:rPr>
          <w:t>https://www.cforoku.cz/</w:t>
        </w:r>
      </w:hyperlink>
    </w:p>
    <w:p w14:paraId="1773B38F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</w:p>
    <w:p w14:paraId="4CBC2859" w14:textId="77777777" w:rsidR="002448CD" w:rsidRPr="00ED434A" w:rsidRDefault="002448CD" w:rsidP="00ED434A">
      <w:pPr>
        <w:spacing w:after="360"/>
        <w:rPr>
          <w:rFonts w:ascii="Poppins SemiBold" w:hAnsi="Poppins SemiBold" w:cs="Poppins SemiBold"/>
          <w:color w:val="8D4520"/>
          <w:sz w:val="32"/>
          <w:szCs w:val="32"/>
        </w:rPr>
      </w:pPr>
      <w:r w:rsidRPr="00ED434A">
        <w:rPr>
          <w:rFonts w:ascii="Poppins SemiBold" w:hAnsi="Poppins SemiBold" w:cs="Poppins SemiBold"/>
          <w:color w:val="8D4520"/>
          <w:sz w:val="32"/>
          <w:szCs w:val="32"/>
        </w:rPr>
        <w:t>O projektu CFO Roku</w:t>
      </w:r>
    </w:p>
    <w:p w14:paraId="6964CF66" w14:textId="12353E92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  <w:r w:rsidRPr="002448CD">
        <w:rPr>
          <w:rFonts w:ascii="Poppins" w:hAnsi="Poppins" w:cs="Poppins"/>
        </w:rPr>
        <w:t>CFO Roku 2026/2027 je nová celoroční vzdělávací a oceňovací platforma v Česku zaměřená na finanční řízení malých a středních podniků, proměnu role CFO a využití technologií ve financích. Součástí projektu jsou odborné výstupy, výzkum finančního řízení SME, nezávislé žebříčky fondů a slavnostní vyhlášení vítězů v</w:t>
      </w:r>
      <w:r w:rsidR="00ED434A">
        <w:rPr>
          <w:rFonts w:ascii="Poppins" w:hAnsi="Poppins" w:cs="Poppins"/>
        </w:rPr>
        <w:t> </w:t>
      </w:r>
      <w:r w:rsidRPr="002448CD">
        <w:rPr>
          <w:rFonts w:ascii="Poppins" w:hAnsi="Poppins" w:cs="Poppins"/>
        </w:rPr>
        <w:t>květnu 2027. Projekt organizuje firma My Education Officer, která je součástí skupiny My Value Officer.</w:t>
      </w:r>
    </w:p>
    <w:p w14:paraId="5B755990" w14:textId="77777777" w:rsidR="002448CD" w:rsidRPr="002448CD" w:rsidRDefault="002448CD" w:rsidP="002448CD">
      <w:pPr>
        <w:spacing w:after="360"/>
        <w:jc w:val="both"/>
        <w:rPr>
          <w:rFonts w:ascii="Poppins" w:hAnsi="Poppins" w:cs="Poppins"/>
        </w:rPr>
      </w:pPr>
    </w:p>
    <w:p w14:paraId="3FF9DD87" w14:textId="77777777" w:rsidR="002448CD" w:rsidRPr="00ED434A" w:rsidRDefault="002448CD" w:rsidP="002448CD">
      <w:pPr>
        <w:spacing w:after="360"/>
        <w:jc w:val="both"/>
        <w:rPr>
          <w:rFonts w:ascii="Poppins SemiBold" w:hAnsi="Poppins SemiBold" w:cs="Poppins SemiBold"/>
        </w:rPr>
      </w:pPr>
      <w:r w:rsidRPr="00ED434A">
        <w:rPr>
          <w:rFonts w:ascii="Poppins SemiBold" w:hAnsi="Poppins SemiBold" w:cs="Poppins SemiBold"/>
        </w:rPr>
        <w:t>Kontakt pro média:</w:t>
      </w:r>
    </w:p>
    <w:p w14:paraId="669C4F5D" w14:textId="23756230" w:rsidR="00893694" w:rsidRDefault="00893694" w:rsidP="00703CAC">
      <w:pPr>
        <w:spacing w:after="360"/>
        <w:jc w:val="both"/>
        <w:rPr>
          <w:rFonts w:ascii="Poppins" w:hAnsi="Poppins" w:cs="Poppins"/>
        </w:rPr>
      </w:pPr>
      <w:r>
        <w:rPr>
          <w:rFonts w:ascii="Poppins" w:hAnsi="Poppins" w:cs="Poppins"/>
        </w:rPr>
        <w:t>Martina Nedvídková</w:t>
      </w:r>
      <w:r w:rsidR="002448CD" w:rsidRPr="002448CD">
        <w:rPr>
          <w:rFonts w:ascii="Poppins" w:hAnsi="Poppins" w:cs="Poppins"/>
        </w:rPr>
        <w:t>,</w:t>
      </w:r>
      <w:r>
        <w:rPr>
          <w:rFonts w:ascii="Poppins" w:hAnsi="Poppins" w:cs="Poppins"/>
        </w:rPr>
        <w:t xml:space="preserve"> 608 207 706, </w:t>
      </w:r>
      <w:hyperlink r:id="rId13" w:history="1">
        <w:r w:rsidRPr="00624E75">
          <w:rPr>
            <w:rStyle w:val="Hypertextovodkaz"/>
            <w:rFonts w:ascii="Poppins" w:hAnsi="Poppins" w:cs="Poppins"/>
          </w:rPr>
          <w:t>martina@myvalueofficer.com</w:t>
        </w:r>
      </w:hyperlink>
    </w:p>
    <w:p w14:paraId="3BA370A0" w14:textId="77777777" w:rsidR="00893694" w:rsidRDefault="00893694" w:rsidP="00703CAC">
      <w:pPr>
        <w:spacing w:after="360"/>
        <w:jc w:val="both"/>
        <w:rPr>
          <w:rFonts w:ascii="Poppins" w:hAnsi="Poppins" w:cs="Poppins"/>
        </w:rPr>
      </w:pPr>
    </w:p>
    <w:p w14:paraId="7821AA41" w14:textId="77777777" w:rsidR="00ED434A" w:rsidRDefault="00ED434A" w:rsidP="00703CAC">
      <w:pPr>
        <w:spacing w:after="360"/>
        <w:jc w:val="both"/>
        <w:rPr>
          <w:rFonts w:ascii="Poppins" w:hAnsi="Poppins" w:cs="Poppins"/>
        </w:rPr>
      </w:pPr>
    </w:p>
    <w:p w14:paraId="56FFB491" w14:textId="77777777" w:rsidR="00ED434A" w:rsidRPr="002448CD" w:rsidRDefault="00ED434A" w:rsidP="00703CAC">
      <w:pPr>
        <w:spacing w:after="360"/>
        <w:jc w:val="both"/>
        <w:rPr>
          <w:rFonts w:ascii="Poppins" w:hAnsi="Poppins" w:cs="Poppins"/>
        </w:rPr>
      </w:pPr>
    </w:p>
    <w:sectPr w:rsidR="00ED434A" w:rsidRPr="002448CD" w:rsidSect="00F31F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 SemiBold">
    <w:charset w:val="EE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603"/>
    <w:multiLevelType w:val="hybridMultilevel"/>
    <w:tmpl w:val="283CFD1E"/>
    <w:lvl w:ilvl="0" w:tplc="E47ADFA0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  <w:color w:val="EC6E2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22B7"/>
    <w:multiLevelType w:val="hybridMultilevel"/>
    <w:tmpl w:val="13C615A8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Poppins SemiBold" w:hAnsi="Poppins SemiBold" w:hint="default"/>
        <w:color w:val="EC6E2A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76F10"/>
    <w:multiLevelType w:val="hybridMultilevel"/>
    <w:tmpl w:val="33C093E8"/>
    <w:lvl w:ilvl="0" w:tplc="161ECD2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F2CFA"/>
    <w:multiLevelType w:val="hybridMultilevel"/>
    <w:tmpl w:val="13C615A8"/>
    <w:lvl w:ilvl="0" w:tplc="F44EDDAC">
      <w:start w:val="1"/>
      <w:numFmt w:val="decimal"/>
      <w:lvlText w:val="%1)"/>
      <w:lvlJc w:val="left"/>
      <w:pPr>
        <w:ind w:left="360" w:hanging="360"/>
      </w:pPr>
      <w:rPr>
        <w:rFonts w:ascii="Poppins SemiBold" w:hAnsi="Poppins SemiBold" w:hint="default"/>
        <w:color w:val="EC6E2A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D624B1"/>
    <w:multiLevelType w:val="hybridMultilevel"/>
    <w:tmpl w:val="8DFED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965523">
    <w:abstractNumId w:val="4"/>
  </w:num>
  <w:num w:numId="2" w16cid:durableId="1524661751">
    <w:abstractNumId w:val="0"/>
  </w:num>
  <w:num w:numId="3" w16cid:durableId="898831493">
    <w:abstractNumId w:val="3"/>
  </w:num>
  <w:num w:numId="4" w16cid:durableId="1622883825">
    <w:abstractNumId w:val="2"/>
  </w:num>
  <w:num w:numId="5" w16cid:durableId="1879315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89"/>
    <w:rsid w:val="002448CD"/>
    <w:rsid w:val="00420EBA"/>
    <w:rsid w:val="00575850"/>
    <w:rsid w:val="005F65D9"/>
    <w:rsid w:val="00703CAC"/>
    <w:rsid w:val="00893694"/>
    <w:rsid w:val="00A261C0"/>
    <w:rsid w:val="00C65589"/>
    <w:rsid w:val="00C86DFF"/>
    <w:rsid w:val="00CB542D"/>
    <w:rsid w:val="00CF1117"/>
    <w:rsid w:val="00EC174E"/>
    <w:rsid w:val="00ED434A"/>
    <w:rsid w:val="00F3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1E133"/>
  <w15:chartTrackingRefBased/>
  <w15:docId w15:val="{6E0516F6-336B-40A5-AD1B-C9B6FBD7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655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655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55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55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655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655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55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55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55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55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655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655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558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6558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655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55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55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558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655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655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655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655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655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6558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6558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6558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655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6558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65589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6558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55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artina@myvalueofficer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foroku.cz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00221567FC645983B9148E1EAEDE7" ma:contentTypeVersion="16" ma:contentTypeDescription="Create a new document." ma:contentTypeScope="" ma:versionID="9ed4559fe1a2c431226ebd7250c28c8d">
  <xsd:schema xmlns:xsd="http://www.w3.org/2001/XMLSchema" xmlns:xs="http://www.w3.org/2001/XMLSchema" xmlns:p="http://schemas.microsoft.com/office/2006/metadata/properties" xmlns:ns2="f28807c8-7a47-434e-9fac-a94b20fe73bd" xmlns:ns3="45ed617a-d601-42c1-909d-6298f56150ed" targetNamespace="http://schemas.microsoft.com/office/2006/metadata/properties" ma:root="true" ma:fieldsID="8983ebbb2b4ad285948b142dce29774b" ns2:_="" ns3:_="">
    <xsd:import namespace="f28807c8-7a47-434e-9fac-a94b20fe73bd"/>
    <xsd:import namespace="45ed617a-d601-42c1-909d-6298f56150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807c8-7a47-434e-9fac-a94b20fe73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dcb4ae-4a00-4bb6-9392-fd7910946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d617a-d601-42c1-909d-6298f56150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9166100-b754-42f9-aa3d-867f987e6927}" ma:internalName="TaxCatchAll" ma:showField="CatchAllData" ma:web="45ed617a-d601-42c1-909d-6298f56150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8807c8-7a47-434e-9fac-a94b20fe73bd">
      <Terms xmlns="http://schemas.microsoft.com/office/infopath/2007/PartnerControls"/>
    </lcf76f155ced4ddcb4097134ff3c332f>
    <TaxCatchAll xmlns="45ed617a-d601-42c1-909d-6298f56150ed" xsi:nil="true"/>
  </documentManagement>
</p:properties>
</file>

<file path=customXml/itemProps1.xml><?xml version="1.0" encoding="utf-8"?>
<ds:datastoreItem xmlns:ds="http://schemas.openxmlformats.org/officeDocument/2006/customXml" ds:itemID="{34D57253-AE80-41E7-B08D-287A2810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807c8-7a47-434e-9fac-a94b20fe73bd"/>
    <ds:schemaRef ds:uri="45ed617a-d601-42c1-909d-6298f56150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D6B5B4-56BB-4E02-94E9-570C730C8B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1A96D0-0387-47A7-B180-1E552C5AC3B4}">
  <ds:schemaRefs>
    <ds:schemaRef ds:uri="http://schemas.microsoft.com/office/2006/metadata/properties"/>
    <ds:schemaRef ds:uri="http://schemas.microsoft.com/office/infopath/2007/PartnerControls"/>
    <ds:schemaRef ds:uri="f28807c8-7a47-434e-9fac-a94b20fe73bd"/>
    <ds:schemaRef ds:uri="45ed617a-d601-42c1-909d-6298f56150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895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Janeček</dc:creator>
  <cp:keywords/>
  <dc:description/>
  <cp:lastModifiedBy>Martina Nedvídková</cp:lastModifiedBy>
  <cp:revision>5</cp:revision>
  <dcterms:created xsi:type="dcterms:W3CDTF">2026-06-16T21:09:00Z</dcterms:created>
  <dcterms:modified xsi:type="dcterms:W3CDTF">2026-09-04T09:20:00Z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0x01010090800221567FC645983B9148E1EAEDE7</vt:lpwstr>
  </property>
</Properties>
</file>