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B08D2B"/>
          <w:spacing w:val="20"/>
          <w:sz w:val="22"/>
          <w:szCs w:val="22"/>
        </w:rPr>
        <w:t xml:space="preserve">RMT ONTARIO PREP</w:t>
      </w:r>
    </w:p>
    <w:p>
      <w:pPr>
        <w:spacing w:after="100"/>
        <w:jc w:val="center"/>
      </w:pPr>
      <w:r>
        <w:rPr>
          <w:b/>
          <w:bCs/>
          <w:color w:val="1B2A4A"/>
          <w:sz w:val="52"/>
          <w:szCs w:val="52"/>
        </w:rPr>
        <w:t xml:space="preserve">The RMT Exam Blueprint</w:t>
      </w:r>
    </w:p>
    <w:p>
      <w:pPr>
        <w:spacing w:after="300"/>
        <w:jc w:val="center"/>
      </w:pPr>
      <w:r>
        <w:rPr>
          <w:i/>
          <w:iCs/>
          <w:color w:val="555555"/>
          <w:sz w:val="22"/>
          <w:szCs w:val="22"/>
        </w:rPr>
        <w:t xml:space="preserve">A free guide to the CMTO Certification Examinations — what's tested, how it's scored, and how to prepare</w:t>
      </w:r>
    </w:p>
    <w:p>
      <w:pPr>
        <w:pBdr>
          <w:bottom w:val="single" w:color="B08D2B" w:sz="6" w:space="1"/>
        </w:pBdr>
        <w:spacing w:after="200" w:before="200"/>
      </w:pPr>
    </w:p>
    <w:p>
      <w:pPr>
        <w:pStyle w:val="Heading1"/>
        <w:spacing w:after="200" w:before="400"/>
      </w:pPr>
      <w:r>
        <w:rPr>
          <w:b/>
          <w:bCs/>
          <w:color w:val="1B2A4A"/>
          <w:sz w:val="32"/>
          <w:szCs w:val="32"/>
        </w:rPr>
        <w:t xml:space="preserve">Why this guide exists</w:t>
      </w:r>
    </w:p>
    <w:p>
      <w:pPr>
        <w:spacing w:after="150"/>
      </w:pPr>
      <w:r>
        <w:rPr>
          <w:color w:val="222222"/>
          <w:sz w:val="22"/>
          <w:szCs w:val="22"/>
        </w:rPr>
        <w:t xml:space="preserve">Every year, massage therapy graduates across Ontario walk into the CMTO Certification Examinations without a clear picture of how the exams are actually structured. That uncertainty costs people time, money, and confidence — not knowledge. This guide breaks down exactly what you're facing: the MCQ, the OSCE, how they're scored, and a realistic study timeline to get you ready.</w:t>
      </w:r>
    </w:p>
    <w:p>
      <w:pPr>
        <w:pStyle w:val="Heading1"/>
        <w:spacing w:after="200" w:before="400"/>
      </w:pPr>
      <w:r>
        <w:rPr>
          <w:b/>
          <w:bCs/>
          <w:color w:val="1B2A4A"/>
          <w:sz w:val="32"/>
          <w:szCs w:val="32"/>
        </w:rPr>
        <w:t xml:space="preserve">The two exams, side by side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3575"/>
        <w:gridCol w:w="3575"/>
      </w:tblGrid>
      <w:tr>
        <w:tc>
          <w:tcPr>
            <w:tcW w:type="dxa" w:w="2200"/>
            <w:shd w:fill="1B2A4A" w:color="auto" w:val="clear"/>
            <w:tcMar>
              <w:top w:type="dxa" w:w="100"/>
              <w:left w:type="dxa" w:w="150"/>
              <w:bottom w:type="dxa" w:w="100"/>
              <w:right w:type="dxa" w:w="150"/>
            </w:tcMar>
          </w:tcPr>
          <w:p>
            <w:r>
              <w:rPr>
                <w:b/>
                <w:bCs/>
                <w:color w:val="FFFFFF"/>
                <w:sz w:val="20"/>
                <w:szCs w:val="20"/>
              </w:rPr>
              <w:t xml:space="preserve"/>
            </w:r>
          </w:p>
        </w:tc>
        <w:tc>
          <w:tcPr>
            <w:tcW w:type="dxa" w:w="3575"/>
            <w:shd w:fill="1B2A4A" w:color="auto" w:val="clear"/>
            <w:tcMar>
              <w:top w:type="dxa" w:w="100"/>
              <w:left w:type="dxa" w:w="150"/>
              <w:bottom w:type="dxa" w:w="100"/>
              <w:right w:type="dxa" w:w="150"/>
            </w:tcMar>
          </w:tcPr>
          <w:p>
            <w:r>
              <w:rPr>
                <w:b/>
                <w:bCs/>
                <w:color w:val="FFFFFF"/>
                <w:sz w:val="20"/>
                <w:szCs w:val="20"/>
              </w:rPr>
              <w:t xml:space="preserve">MCQ Exam</w:t>
            </w:r>
          </w:p>
        </w:tc>
        <w:tc>
          <w:tcPr>
            <w:tcW w:type="dxa" w:w="3575"/>
            <w:shd w:fill="1B2A4A" w:color="auto" w:val="clear"/>
            <w:tcMar>
              <w:top w:type="dxa" w:w="100"/>
              <w:left w:type="dxa" w:w="150"/>
              <w:bottom w:type="dxa" w:w="100"/>
              <w:right w:type="dxa" w:w="150"/>
            </w:tcMar>
          </w:tcPr>
          <w:p>
            <w:r>
              <w:rPr>
                <w:b/>
                <w:bCs/>
                <w:color w:val="FFFFFF"/>
                <w:sz w:val="20"/>
                <w:szCs w:val="20"/>
              </w:rPr>
              <w:t xml:space="preserve">OSCE Exam</w:t>
            </w:r>
          </w:p>
        </w:tc>
      </w:tr>
      <w:tr>
        <w:tc>
          <w:tcPr>
            <w:tcW w:type="dxa" w:w="2200"/>
            <w:tcMar>
              <w:top w:type="dxa" w:w="100"/>
              <w:left w:type="dxa" w:w="150"/>
              <w:bottom w:type="dxa" w:w="100"/>
              <w:right w:type="dxa" w:w="150"/>
            </w:tcMar>
          </w:tcPr>
          <w:p>
            <w:r>
              <w:rPr>
                <w:b/>
                <w:bCs/>
                <w:color w:val="222222"/>
                <w:sz w:val="20"/>
                <w:szCs w:val="20"/>
              </w:rPr>
              <w:t xml:space="preserve">Format</w:t>
            </w:r>
          </w:p>
        </w:tc>
        <w:tc>
          <w:tcPr>
            <w:tcW w:type="dxa" w:w="3575"/>
            <w:tcMar>
              <w:top w:type="dxa" w:w="100"/>
              <w:left w:type="dxa" w:w="150"/>
              <w:bottom w:type="dxa" w:w="100"/>
              <w:right w:type="dxa" w:w="150"/>
            </w:tcMar>
          </w:tcPr>
          <w:p>
            <w:r>
              <w:rPr>
                <w:b w:val="false"/>
                <w:bCs w:val="false"/>
                <w:color w:val="222222"/>
                <w:sz w:val="20"/>
                <w:szCs w:val="20"/>
              </w:rPr>
              <w:t xml:space="preserve">Computer-based, 150 multiple-choice questions</w:t>
            </w:r>
          </w:p>
        </w:tc>
        <w:tc>
          <w:tcPr>
            <w:tcW w:type="dxa" w:w="3575"/>
            <w:tcMar>
              <w:top w:type="dxa" w:w="100"/>
              <w:left w:type="dxa" w:w="150"/>
              <w:bottom w:type="dxa" w:w="100"/>
              <w:right w:type="dxa" w:w="150"/>
            </w:tcMar>
          </w:tcPr>
          <w:p>
            <w:r>
              <w:rPr>
                <w:b w:val="false"/>
                <w:bCs w:val="false"/>
                <w:color w:val="222222"/>
                <w:sz w:val="20"/>
                <w:szCs w:val="20"/>
              </w:rPr>
              <w:t xml:space="preserve">Practical, 7 clinical stations with standardized clients</w:t>
            </w:r>
          </w:p>
        </w:tc>
      </w:tr>
      <w:tr>
        <w:tc>
          <w:tcPr>
            <w:tcW w:type="dxa" w:w="2200"/>
            <w:tcMar>
              <w:top w:type="dxa" w:w="100"/>
              <w:left w:type="dxa" w:w="150"/>
              <w:bottom w:type="dxa" w:w="100"/>
              <w:right w:type="dxa" w:w="150"/>
            </w:tcMar>
          </w:tcPr>
          <w:p>
            <w:r>
              <w:rPr>
                <w:b/>
                <w:bCs/>
                <w:color w:val="222222"/>
                <w:sz w:val="20"/>
                <w:szCs w:val="20"/>
              </w:rPr>
              <w:t xml:space="preserve">Time</w:t>
            </w:r>
          </w:p>
        </w:tc>
        <w:tc>
          <w:tcPr>
            <w:tcW w:type="dxa" w:w="3575"/>
            <w:tcMar>
              <w:top w:type="dxa" w:w="100"/>
              <w:left w:type="dxa" w:w="150"/>
              <w:bottom w:type="dxa" w:w="100"/>
              <w:right w:type="dxa" w:w="150"/>
            </w:tcMar>
          </w:tcPr>
          <w:p>
            <w:r>
              <w:rPr>
                <w:b w:val="false"/>
                <w:bCs w:val="false"/>
                <w:color w:val="222222"/>
                <w:sz w:val="20"/>
                <w:szCs w:val="20"/>
              </w:rPr>
              <w:t xml:space="preserve">3 hours</w:t>
            </w:r>
          </w:p>
        </w:tc>
        <w:tc>
          <w:tcPr>
            <w:tcW w:type="dxa" w:w="3575"/>
            <w:tcMar>
              <w:top w:type="dxa" w:w="100"/>
              <w:left w:type="dxa" w:w="150"/>
              <w:bottom w:type="dxa" w:w="100"/>
              <w:right w:type="dxa" w:w="150"/>
            </w:tcMar>
          </w:tcPr>
          <w:p>
            <w:r>
              <w:rPr>
                <w:b w:val="false"/>
                <w:bCs w:val="false"/>
                <w:color w:val="222222"/>
                <w:sz w:val="20"/>
                <w:szCs w:val="20"/>
              </w:rPr>
              <w:t xml:space="preserve">90 minutes</w:t>
            </w:r>
          </w:p>
        </w:tc>
      </w:tr>
      <w:tr>
        <w:tc>
          <w:tcPr>
            <w:tcW w:type="dxa" w:w="2200"/>
            <w:tcMar>
              <w:top w:type="dxa" w:w="100"/>
              <w:left w:type="dxa" w:w="150"/>
              <w:bottom w:type="dxa" w:w="100"/>
              <w:right w:type="dxa" w:w="150"/>
            </w:tcMar>
          </w:tcPr>
          <w:p>
            <w:r>
              <w:rPr>
                <w:b/>
                <w:bCs/>
                <w:color w:val="222222"/>
                <w:sz w:val="20"/>
                <w:szCs w:val="20"/>
              </w:rPr>
              <w:t xml:space="preserve">Passing score</w:t>
            </w:r>
          </w:p>
        </w:tc>
        <w:tc>
          <w:tcPr>
            <w:tcW w:type="dxa" w:w="3575"/>
            <w:tcMar>
              <w:top w:type="dxa" w:w="100"/>
              <w:left w:type="dxa" w:w="150"/>
              <w:bottom w:type="dxa" w:w="100"/>
              <w:right w:type="dxa" w:w="150"/>
            </w:tcMar>
          </w:tcPr>
          <w:p>
            <w:r>
              <w:rPr>
                <w:b w:val="false"/>
                <w:bCs w:val="false"/>
                <w:color w:val="222222"/>
                <w:sz w:val="20"/>
                <w:szCs w:val="20"/>
              </w:rPr>
              <w:t xml:space="preserve">70 or higher (scaled score)</w:t>
            </w:r>
          </w:p>
        </w:tc>
        <w:tc>
          <w:tcPr>
            <w:tcW w:type="dxa" w:w="3575"/>
            <w:tcMar>
              <w:top w:type="dxa" w:w="100"/>
              <w:left w:type="dxa" w:w="150"/>
              <w:bottom w:type="dxa" w:w="100"/>
              <w:right w:type="dxa" w:w="150"/>
            </w:tcMar>
          </w:tcPr>
          <w:p>
            <w:r>
              <w:rPr>
                <w:b w:val="false"/>
                <w:bCs w:val="false"/>
                <w:color w:val="222222"/>
                <w:sz w:val="20"/>
                <w:szCs w:val="20"/>
              </w:rPr>
              <w:t xml:space="preserve">70 or higher (scaled score)</w:t>
            </w:r>
          </w:p>
        </w:tc>
      </w:tr>
      <w:tr>
        <w:tc>
          <w:tcPr>
            <w:tcW w:type="dxa" w:w="2200"/>
            <w:tcMar>
              <w:top w:type="dxa" w:w="100"/>
              <w:left w:type="dxa" w:w="150"/>
              <w:bottom w:type="dxa" w:w="100"/>
              <w:right w:type="dxa" w:w="150"/>
            </w:tcMar>
          </w:tcPr>
          <w:p>
            <w:r>
              <w:rPr>
                <w:b/>
                <w:bCs/>
                <w:color w:val="222222"/>
                <w:sz w:val="20"/>
                <w:szCs w:val="20"/>
              </w:rPr>
              <w:t xml:space="preserve">Attempts</w:t>
            </w:r>
          </w:p>
        </w:tc>
        <w:tc>
          <w:tcPr>
            <w:tcW w:type="dxa" w:w="3575"/>
            <w:tcMar>
              <w:top w:type="dxa" w:w="100"/>
              <w:left w:type="dxa" w:w="150"/>
              <w:bottom w:type="dxa" w:w="100"/>
              <w:right w:type="dxa" w:w="150"/>
            </w:tcMar>
          </w:tcPr>
          <w:p>
            <w:r>
              <w:rPr>
                <w:b w:val="false"/>
                <w:bCs w:val="false"/>
                <w:color w:val="222222"/>
                <w:sz w:val="20"/>
                <w:szCs w:val="20"/>
              </w:rPr>
              <w:t xml:space="preserve">3 attempts before a new diploma is required</w:t>
            </w:r>
          </w:p>
        </w:tc>
        <w:tc>
          <w:tcPr>
            <w:tcW w:type="dxa" w:w="3575"/>
            <w:tcMar>
              <w:top w:type="dxa" w:w="100"/>
              <w:left w:type="dxa" w:w="150"/>
              <w:bottom w:type="dxa" w:w="100"/>
              <w:right w:type="dxa" w:w="150"/>
            </w:tcMar>
          </w:tcPr>
          <w:p>
            <w:r>
              <w:rPr>
                <w:b w:val="false"/>
                <w:bCs w:val="false"/>
                <w:color w:val="222222"/>
                <w:sz w:val="20"/>
                <w:szCs w:val="20"/>
              </w:rPr>
              <w:t xml:space="preserve">3 attempts before a new diploma is required</w:t>
            </w:r>
          </w:p>
        </w:tc>
      </w:tr>
      <w:tr>
        <w:tc>
          <w:tcPr>
            <w:tcW w:type="dxa" w:w="2200"/>
            <w:tcMar>
              <w:top w:type="dxa" w:w="100"/>
              <w:left w:type="dxa" w:w="150"/>
              <w:bottom w:type="dxa" w:w="100"/>
              <w:right w:type="dxa" w:w="150"/>
            </w:tcMar>
          </w:tcPr>
          <w:p>
            <w:r>
              <w:rPr>
                <w:b/>
                <w:bCs/>
                <w:color w:val="222222"/>
                <w:sz w:val="20"/>
                <w:szCs w:val="20"/>
              </w:rPr>
              <w:t xml:space="preserve">Scheduling</w:t>
            </w:r>
          </w:p>
        </w:tc>
        <w:tc>
          <w:tcPr>
            <w:tcW w:type="dxa" w:w="3575"/>
            <w:tcMar>
              <w:top w:type="dxa" w:w="100"/>
              <w:left w:type="dxa" w:w="150"/>
              <w:bottom w:type="dxa" w:w="100"/>
              <w:right w:type="dxa" w:w="150"/>
            </w:tcMar>
          </w:tcPr>
          <w:p>
            <w:r>
              <w:rPr>
                <w:b w:val="false"/>
                <w:bCs w:val="false"/>
                <w:color w:val="222222"/>
                <w:sz w:val="20"/>
                <w:szCs w:val="20"/>
              </w:rPr>
              <w:t xml:space="preserve">Offered in 4 blocks per year, starting in spring</w:t>
            </w:r>
          </w:p>
        </w:tc>
        <w:tc>
          <w:tcPr>
            <w:tcW w:type="dxa" w:w="3575"/>
            <w:tcMar>
              <w:top w:type="dxa" w:w="100"/>
              <w:left w:type="dxa" w:w="150"/>
              <w:bottom w:type="dxa" w:w="100"/>
              <w:right w:type="dxa" w:w="150"/>
            </w:tcMar>
          </w:tcPr>
          <w:p>
            <w:r>
              <w:rPr>
                <w:b w:val="false"/>
                <w:bCs w:val="false"/>
                <w:color w:val="222222"/>
                <w:sz w:val="20"/>
                <w:szCs w:val="20"/>
              </w:rPr>
              <w:t xml:space="preserve">Offered continually from spring through fall</w:t>
            </w:r>
          </w:p>
        </w:tc>
      </w:tr>
    </w:tbl>
    <w:p>
      <w:pPr>
        <w:spacing w:after="150" w:before="150"/>
      </w:pPr>
      <w:r>
        <w:rPr>
          <w:i/>
          <w:iCs/>
          <w:color w:val="555555"/>
          <w:sz w:val="20"/>
          <w:szCs w:val="20"/>
        </w:rPr>
        <w:t xml:space="preserve">You can take the MCQ and OSCE in either order — whichever fits your schedule and study plan.</w:t>
      </w:r>
    </w:p>
    <w:p>
      <w:pPr>
        <w:pStyle w:val="Heading1"/>
        <w:spacing w:after="200" w:before="400"/>
      </w:pPr>
      <w:r>
        <w:rPr>
          <w:b/>
          <w:bCs/>
          <w:color w:val="1B2A4A"/>
          <w:sz w:val="32"/>
          <w:szCs w:val="32"/>
        </w:rPr>
        <w:t xml:space="preserve">What the MCQ actually covers</w:t>
      </w:r>
    </w:p>
    <w:p>
      <w:pPr>
        <w:spacing w:after="150"/>
      </w:pPr>
      <w:r>
        <w:rPr>
          <w:color w:val="222222"/>
          <w:sz w:val="22"/>
          <w:szCs w:val="22"/>
        </w:rPr>
        <w:t xml:space="preserve">The MCQ is a written knowledge exam. Across the four content categories, you'll be tested on your understanding of:</w:t>
      </w:r>
    </w:p>
    <w:p>
      <w:pPr>
        <w:pStyle w:val="ListParagraph"/>
        <w:numPr>
          <w:ilvl w:val="0"/>
          <w:numId w:val="2"/>
        </w:numPr>
        <w:spacing w:after="80"/>
      </w:pPr>
      <w:r>
        <w:rPr>
          <w:color w:val="222222"/>
          <w:sz w:val="22"/>
          <w:szCs w:val="22"/>
        </w:rPr>
        <w:t xml:space="preserve">Anatomy, physiology, and pathology</w:t>
      </w:r>
    </w:p>
    <w:p>
      <w:pPr>
        <w:pStyle w:val="ListParagraph"/>
        <w:numPr>
          <w:ilvl w:val="0"/>
          <w:numId w:val="2"/>
        </w:numPr>
        <w:spacing w:after="80"/>
      </w:pPr>
      <w:r>
        <w:rPr>
          <w:color w:val="222222"/>
          <w:sz w:val="22"/>
          <w:szCs w:val="22"/>
        </w:rPr>
        <w:t xml:space="preserve">Assessment and clinical reasoning</w:t>
      </w:r>
    </w:p>
    <w:p>
      <w:pPr>
        <w:pStyle w:val="ListParagraph"/>
        <w:numPr>
          <w:ilvl w:val="0"/>
          <w:numId w:val="2"/>
        </w:numPr>
        <w:spacing w:after="80"/>
      </w:pPr>
      <w:r>
        <w:rPr>
          <w:color w:val="222222"/>
          <w:sz w:val="22"/>
          <w:szCs w:val="22"/>
        </w:rPr>
        <w:t xml:space="preserve">Treatment planning and massage therapy techniques</w:t>
      </w:r>
    </w:p>
    <w:p>
      <w:pPr>
        <w:pStyle w:val="ListParagraph"/>
        <w:numPr>
          <w:ilvl w:val="0"/>
          <w:numId w:val="2"/>
        </w:numPr>
        <w:spacing w:after="80"/>
      </w:pPr>
      <w:r>
        <w:rPr>
          <w:color w:val="222222"/>
          <w:sz w:val="22"/>
          <w:szCs w:val="22"/>
        </w:rPr>
        <w:t xml:space="preserve">Professional practice, ethics, and jurisprudence</w:t>
      </w:r>
    </w:p>
    <w:p>
      <w:pPr>
        <w:spacing w:after="150"/>
      </w:pPr>
      <w:r>
        <w:rPr>
          <w:color w:val="222222"/>
          <w:sz w:val="22"/>
          <w:szCs w:val="22"/>
        </w:rPr>
        <w:t xml:space="preserve">Anatomy and physiology form the foundation for almost everything else on the exam — if those are shaky, every other category gets harder.</w:t>
      </w:r>
    </w:p>
    <w:p>
      <w:pPr>
        <w:pStyle w:val="Heading1"/>
        <w:spacing w:after="200" w:before="400"/>
      </w:pPr>
      <w:r>
        <w:rPr>
          <w:b/>
          <w:bCs/>
          <w:color w:val="1B2A4A"/>
          <w:sz w:val="32"/>
          <w:szCs w:val="32"/>
        </w:rPr>
        <w:t xml:space="preserve">What the OSCE actually covers</w:t>
      </w:r>
    </w:p>
    <w:p>
      <w:pPr>
        <w:spacing w:after="150"/>
      </w:pPr>
      <w:r>
        <w:rPr>
          <w:color w:val="222222"/>
          <w:sz w:val="22"/>
          <w:szCs w:val="22"/>
        </w:rPr>
        <w:t xml:space="preserve">The OSCE is a hands-on, practical exam. You'll move through 7 stations, interacting with standardized clients (actors trained to portray specific conditions) while two examiners assess you on:</w:t>
      </w:r>
    </w:p>
    <w:p>
      <w:pPr>
        <w:pStyle w:val="ListParagraph"/>
        <w:numPr>
          <w:ilvl w:val="0"/>
          <w:numId w:val="2"/>
        </w:numPr>
        <w:spacing w:after="80"/>
      </w:pPr>
      <w:r>
        <w:rPr>
          <w:color w:val="222222"/>
          <w:sz w:val="22"/>
          <w:szCs w:val="22"/>
        </w:rPr>
        <w:t xml:space="preserve">Client interview and history-taking</w:t>
      </w:r>
    </w:p>
    <w:p>
      <w:pPr>
        <w:pStyle w:val="ListParagraph"/>
        <w:numPr>
          <w:ilvl w:val="0"/>
          <w:numId w:val="2"/>
        </w:numPr>
        <w:spacing w:after="80"/>
      </w:pPr>
      <w:r>
        <w:rPr>
          <w:color w:val="222222"/>
          <w:sz w:val="22"/>
          <w:szCs w:val="22"/>
        </w:rPr>
        <w:t xml:space="preserve">Physical assessment and orthopedic testing</w:t>
      </w:r>
    </w:p>
    <w:p>
      <w:pPr>
        <w:pStyle w:val="ListParagraph"/>
        <w:numPr>
          <w:ilvl w:val="0"/>
          <w:numId w:val="2"/>
        </w:numPr>
        <w:spacing w:after="80"/>
      </w:pPr>
      <w:r>
        <w:rPr>
          <w:color w:val="222222"/>
          <w:sz w:val="22"/>
          <w:szCs w:val="22"/>
        </w:rPr>
        <w:t xml:space="preserve">Treatment planning and informed consent</w:t>
      </w:r>
    </w:p>
    <w:p>
      <w:pPr>
        <w:pStyle w:val="ListParagraph"/>
        <w:numPr>
          <w:ilvl w:val="0"/>
          <w:numId w:val="2"/>
        </w:numPr>
        <w:spacing w:after="80"/>
      </w:pPr>
      <w:r>
        <w:rPr>
          <w:color w:val="222222"/>
          <w:sz w:val="22"/>
          <w:szCs w:val="22"/>
        </w:rPr>
        <w:t xml:space="preserve">Therapeutic exercise prescription</w:t>
      </w:r>
    </w:p>
    <w:p>
      <w:pPr>
        <w:pStyle w:val="ListParagraph"/>
        <w:numPr>
          <w:ilvl w:val="0"/>
          <w:numId w:val="2"/>
        </w:numPr>
        <w:spacing w:after="80"/>
      </w:pPr>
      <w:r>
        <w:rPr>
          <w:color w:val="222222"/>
          <w:sz w:val="22"/>
          <w:szCs w:val="22"/>
        </w:rPr>
        <w:t xml:space="preserve">Hands-on treatment technique</w:t>
      </w:r>
    </w:p>
    <w:p>
      <w:pPr>
        <w:pStyle w:val="ListParagraph"/>
        <w:numPr>
          <w:ilvl w:val="0"/>
          <w:numId w:val="2"/>
        </w:numPr>
        <w:spacing w:after="80"/>
      </w:pPr>
      <w:r>
        <w:rPr>
          <w:color w:val="222222"/>
          <w:sz w:val="22"/>
          <w:szCs w:val="22"/>
        </w:rPr>
        <w:t xml:space="preserve">Communication, professionalism, and safety</w:t>
      </w:r>
    </w:p>
    <w:p>
      <w:pPr>
        <w:spacing w:after="150"/>
      </w:pPr>
      <w:r>
        <w:rPr>
          <w:color w:val="222222"/>
          <w:sz w:val="22"/>
          <w:szCs w:val="22"/>
        </w:rPr>
        <w:t xml:space="preserve">Most candidates find the OSCE more intimidating than the MCQ — not because the material is harder, but because there's no second-guessing a multiple-choice option. You have to perform in real time.</w:t>
      </w:r>
    </w:p>
    <w:p>
      <w:pPr>
        <w:pStyle w:val="Heading1"/>
        <w:spacing w:after="200" w:before="400"/>
      </w:pPr>
      <w:r>
        <w:rPr>
          <w:b/>
          <w:bCs/>
          <w:color w:val="1B2A4A"/>
          <w:sz w:val="32"/>
          <w:szCs w:val="32"/>
        </w:rPr>
        <w:t xml:space="preserve">A realistic 12-week study plan</w:t>
      </w:r>
    </w:p>
    <w:p>
      <w:pPr>
        <w:spacing w:after="150"/>
      </w:pPr>
      <w:r>
        <w:rPr>
          <w:color w:val="222222"/>
          <w:sz w:val="22"/>
          <w:szCs w:val="22"/>
        </w:rPr>
        <w:t xml:space="preserve">Cramming doesn't work for this exam — the material is too detailed and too clinical. A steady, structured schedule beats last-minute intensity every time.</w:t>
      </w:r>
    </w:p>
    <w:p>
      <w:pPr>
        <w:pStyle w:val="ListParagraph"/>
        <w:numPr>
          <w:ilvl w:val="0"/>
          <w:numId w:val="2"/>
        </w:numPr>
        <w:spacing w:after="80"/>
      </w:pPr>
      <w:r>
        <w:rPr>
          <w:color w:val="222222"/>
          <w:sz w:val="22"/>
          <w:szCs w:val="22"/>
        </w:rPr>
        <w:t xml:space="preserve">Weeks 1–2: Anatomy fundamentals</w:t>
      </w:r>
    </w:p>
    <w:p>
      <w:pPr>
        <w:pStyle w:val="ListParagraph"/>
        <w:numPr>
          <w:ilvl w:val="0"/>
          <w:numId w:val="2"/>
        </w:numPr>
        <w:spacing w:after="80"/>
      </w:pPr>
      <w:r>
        <w:rPr>
          <w:color w:val="222222"/>
          <w:sz w:val="22"/>
          <w:szCs w:val="22"/>
        </w:rPr>
        <w:t xml:space="preserve">Weeks 3–4: Physiology and pathology</w:t>
      </w:r>
    </w:p>
    <w:p>
      <w:pPr>
        <w:pStyle w:val="ListParagraph"/>
        <w:numPr>
          <w:ilvl w:val="0"/>
          <w:numId w:val="2"/>
        </w:numPr>
        <w:spacing w:after="80"/>
      </w:pPr>
      <w:r>
        <w:rPr>
          <w:color w:val="222222"/>
          <w:sz w:val="22"/>
          <w:szCs w:val="22"/>
        </w:rPr>
        <w:t xml:space="preserve">Weeks 5–6: Kinesiology and orthopedic testing</w:t>
      </w:r>
    </w:p>
    <w:p>
      <w:pPr>
        <w:pStyle w:val="ListParagraph"/>
        <w:numPr>
          <w:ilvl w:val="0"/>
          <w:numId w:val="2"/>
        </w:numPr>
        <w:spacing w:after="80"/>
      </w:pPr>
      <w:r>
        <w:rPr>
          <w:color w:val="222222"/>
          <w:sz w:val="22"/>
          <w:szCs w:val="22"/>
        </w:rPr>
        <w:t xml:space="preserve">Weeks 7–8: Treatment techniques, hydrotherapy, and treatment planning</w:t>
      </w:r>
    </w:p>
    <w:p>
      <w:pPr>
        <w:pStyle w:val="ListParagraph"/>
        <w:numPr>
          <w:ilvl w:val="0"/>
          <w:numId w:val="2"/>
        </w:numPr>
        <w:spacing w:after="80"/>
      </w:pPr>
      <w:r>
        <w:rPr>
          <w:color w:val="222222"/>
          <w:sz w:val="22"/>
          <w:szCs w:val="22"/>
        </w:rPr>
        <w:t xml:space="preserve">Weeks 9–10: Ethics, boundaries, communication, and documentation</w:t>
      </w:r>
    </w:p>
    <w:p>
      <w:pPr>
        <w:pStyle w:val="ListParagraph"/>
        <w:numPr>
          <w:ilvl w:val="0"/>
          <w:numId w:val="2"/>
        </w:numPr>
        <w:spacing w:after="80"/>
      </w:pPr>
      <w:r>
        <w:rPr>
          <w:color w:val="222222"/>
          <w:sz w:val="22"/>
          <w:szCs w:val="22"/>
        </w:rPr>
        <w:t xml:space="preserve">Weeks 11–12: Full mock exams, OSCE station drills, and targeted review</w:t>
      </w:r>
    </w:p>
    <w:p>
      <w:pPr>
        <w:spacing w:after="150"/>
      </w:pPr>
      <w:r>
        <w:rPr>
          <w:color w:val="222222"/>
          <w:sz w:val="22"/>
          <w:szCs w:val="22"/>
        </w:rPr>
        <w:t xml:space="preserve">One focused hour a day consistently will get you further than an eight-hour cram session once a week.</w:t>
      </w:r>
    </w:p>
    <w:p>
      <w:pPr>
        <w:pStyle w:val="Heading1"/>
        <w:spacing w:after="200" w:before="400"/>
      </w:pPr>
      <w:r>
        <w:rPr>
          <w:b/>
          <w:bCs/>
          <w:color w:val="1B2A4A"/>
          <w:sz w:val="32"/>
          <w:szCs w:val="32"/>
        </w:rPr>
        <w:t xml:space="preserve">The 5 mistakes that cost candidates the most</w:t>
      </w:r>
    </w:p>
    <w:p>
      <w:pPr>
        <w:pStyle w:val="ListParagraph"/>
        <w:numPr>
          <w:ilvl w:val="0"/>
          <w:numId w:val="2"/>
        </w:numPr>
        <w:spacing w:after="80"/>
      </w:pPr>
      <w:r>
        <w:rPr>
          <w:color w:val="222222"/>
          <w:sz w:val="22"/>
          <w:szCs w:val="22"/>
        </w:rPr>
        <w:t xml:space="preserve">Studying anatomy in isolation instead of connecting it to assessment and treatment scenarios</w:t>
      </w:r>
    </w:p>
    <w:p>
      <w:pPr>
        <w:pStyle w:val="ListParagraph"/>
        <w:numPr>
          <w:ilvl w:val="0"/>
          <w:numId w:val="2"/>
        </w:numPr>
        <w:spacing w:after="80"/>
      </w:pPr>
      <w:r>
        <w:rPr>
          <w:color w:val="222222"/>
          <w:sz w:val="22"/>
          <w:szCs w:val="22"/>
        </w:rPr>
        <w:t xml:space="preserve">Skipping timed practice, then running out of time on exam day</w:t>
      </w:r>
    </w:p>
    <w:p>
      <w:pPr>
        <w:pStyle w:val="ListParagraph"/>
        <w:numPr>
          <w:ilvl w:val="0"/>
          <w:numId w:val="2"/>
        </w:numPr>
        <w:spacing w:after="80"/>
      </w:pPr>
      <w:r>
        <w:rPr>
          <w:color w:val="222222"/>
          <w:sz w:val="22"/>
          <w:szCs w:val="22"/>
        </w:rPr>
        <w:t xml:space="preserve">Treating the OSCE like a memorization test instead of practicing it out loud, on a real body</w:t>
      </w:r>
    </w:p>
    <w:p>
      <w:pPr>
        <w:pStyle w:val="ListParagraph"/>
        <w:numPr>
          <w:ilvl w:val="0"/>
          <w:numId w:val="2"/>
        </w:numPr>
        <w:spacing w:after="80"/>
      </w:pPr>
      <w:r>
        <w:rPr>
          <w:color w:val="222222"/>
          <w:sz w:val="22"/>
          <w:szCs w:val="22"/>
        </w:rPr>
        <w:t xml:space="preserve">Ignoring jurisprudence and ethics content because it feels less “technical”</w:t>
      </w:r>
    </w:p>
    <w:p>
      <w:pPr>
        <w:pStyle w:val="ListParagraph"/>
        <w:numPr>
          <w:ilvl w:val="0"/>
          <w:numId w:val="2"/>
        </w:numPr>
        <w:spacing w:after="80"/>
      </w:pPr>
      <w:r>
        <w:rPr>
          <w:color w:val="222222"/>
          <w:sz w:val="22"/>
          <w:szCs w:val="22"/>
        </w:rPr>
        <w:t xml:space="preserve">Reviewing only the questions they got wrong, instead of reviewing every question — right or wrong — to reinforce why the correct answer is correct</w:t>
      </w:r>
    </w:p>
    <w:p>
      <w:pPr>
        <w:pStyle w:val="Heading1"/>
        <w:spacing w:after="200" w:before="400"/>
      </w:pPr>
      <w:r>
        <w:rPr>
          <w:b/>
          <w:bCs/>
          <w:color w:val="1B2A4A"/>
          <w:sz w:val="32"/>
          <w:szCs w:val="32"/>
        </w:rPr>
        <w:t xml:space="preserve">Try it yourself: 5 practice questions</w:t>
      </w:r>
    </w:p>
    <w:p>
      <w:pPr>
        <w:spacing w:after="150"/>
      </w:pPr>
      <w:r>
        <w:rPr>
          <w:color w:val="222222"/>
          <w:sz w:val="22"/>
          <w:szCs w:val="22"/>
        </w:rPr>
        <w:t xml:space="preserve">Here's a small taste of the kind of clinical reasoning both exams demand.</w:t>
      </w:r>
    </w:p>
    <w:p>
      <w:pPr>
        <w:spacing w:after="150"/>
      </w:pPr>
      <w:r>
        <w:rPr>
          <w:b/>
          <w:bCs/>
          <w:color w:val="222222"/>
          <w:sz w:val="22"/>
          <w:szCs w:val="22"/>
        </w:rPr>
        <w:t xml:space="preserve">1. A client presents with pain and reduced range of motion when raising their arm overhead, worse between 60–120 degrees of abduction. This pattern is most consistent with:</w:t>
      </w:r>
    </w:p>
    <w:p>
      <w:pPr>
        <w:spacing w:after="150"/>
      </w:pPr>
      <w:r>
        <w:rPr>
          <w:color w:val="222222"/>
          <w:sz w:val="22"/>
          <w:szCs w:val="22"/>
        </w:rPr>
        <w:t xml:space="preserve">A) Rotator cuff tendinopathy with a painful arc      B) Cervical radiculopathy      C) Thoracic outlet syndrome      D) Bicipital tendinopathy</w:t>
      </w:r>
    </w:p>
    <w:p>
      <w:pPr>
        <w:spacing w:after="150"/>
      </w:pPr>
      <w:r>
        <w:rPr>
          <w:i/>
          <w:iCs/>
          <w:color w:val="555555"/>
          <w:sz w:val="20"/>
          <w:szCs w:val="20"/>
        </w:rPr>
        <w:t xml:space="preserve">Answer: A — A painful arc between roughly 60 and 120 degrees of abduction is a classic finding for subacromial/rotator cuff involvement.</w:t>
      </w:r>
    </w:p>
    <w:p>
      <w:pPr>
        <w:spacing w:after="150"/>
      </w:pPr>
      <w:r>
        <w:rPr>
          <w:b/>
          <w:bCs/>
          <w:color w:val="222222"/>
          <w:sz w:val="22"/>
          <w:szCs w:val="22"/>
        </w:rPr>
        <w:t xml:space="preserve">2. Under CMTO's Standards of Practice, draping during treatment primarily serves to:</w:t>
      </w:r>
    </w:p>
    <w:p>
      <w:pPr>
        <w:spacing w:after="150"/>
      </w:pPr>
      <w:r>
        <w:rPr>
          <w:color w:val="222222"/>
          <w:sz w:val="22"/>
          <w:szCs w:val="22"/>
        </w:rPr>
        <w:t xml:space="preserve">A) Keep the treatment room temperature stable      B) Protect client dignity, comfort, and consent      C) Prevent linen costs from increasing      D) Speed up the treatment</w:t>
      </w:r>
    </w:p>
    <w:p>
      <w:pPr>
        <w:spacing w:after="150"/>
      </w:pPr>
      <w:r>
        <w:rPr>
          <w:i/>
          <w:iCs/>
          <w:color w:val="555555"/>
          <w:sz w:val="20"/>
          <w:szCs w:val="20"/>
        </w:rPr>
        <w:t xml:space="preserve">Answer: B — Draping is a professional and ethical obligation tied to client dignity and informed consent, not a comfort convenience.</w:t>
      </w:r>
    </w:p>
    <w:p>
      <w:pPr>
        <w:spacing w:after="150"/>
      </w:pPr>
      <w:r>
        <w:rPr>
          <w:b/>
          <w:bCs/>
          <w:color w:val="222222"/>
          <w:sz w:val="22"/>
          <w:szCs w:val="22"/>
        </w:rPr>
        <w:t xml:space="preserve">3. A new client discloses a medical condition partway through the intake interview that may affect treatment safety. The best next step is to:</w:t>
      </w:r>
    </w:p>
    <w:p>
      <w:pPr>
        <w:spacing w:after="150"/>
      </w:pPr>
      <w:r>
        <w:rPr>
          <w:color w:val="222222"/>
          <w:sz w:val="22"/>
          <w:szCs w:val="22"/>
        </w:rPr>
        <w:t xml:space="preserve">A) Proceed as planned to avoid seeming unprepared      B) Pause and reassess the treatment plan with the client, adjusting or referring as needed      C) End the session immediately      D) Ignore it unless the client brings it up again</w:t>
      </w:r>
    </w:p>
    <w:p>
      <w:pPr>
        <w:spacing w:after="150"/>
      </w:pPr>
      <w:r>
        <w:rPr>
          <w:i/>
          <w:iCs/>
          <w:color w:val="555555"/>
          <w:sz w:val="20"/>
          <w:szCs w:val="20"/>
        </w:rPr>
        <w:t xml:space="preserve">Answer: B — Client safety and informed consent require reassessing the plan whenever new relevant information comes up.</w:t>
      </w:r>
    </w:p>
    <w:p>
      <w:pPr>
        <w:pBdr>
          <w:bottom w:val="single" w:color="B08D2B" w:sz="6" w:space="1"/>
        </w:pBdr>
        <w:spacing w:after="200" w:before="200"/>
      </w:pPr>
    </w:p>
    <w:p>
      <w:pPr>
        <w:pStyle w:val="Heading1"/>
        <w:spacing w:after="200" w:before="400"/>
      </w:pPr>
      <w:r>
        <w:rPr>
          <w:b/>
          <w:bCs/>
          <w:color w:val="1B2A4A"/>
          <w:sz w:val="32"/>
          <w:szCs w:val="32"/>
        </w:rPr>
        <w:t xml:space="preserve">Where to go from here</w:t>
      </w:r>
    </w:p>
    <w:p>
      <w:pPr>
        <w:spacing w:after="150"/>
      </w:pPr>
      <w:r>
        <w:rPr>
          <w:color w:val="222222"/>
          <w:sz w:val="22"/>
          <w:szCs w:val="22"/>
        </w:rPr>
        <w:t xml:space="preserve">This guide covers the shape of the exams — but passing them takes repetition: hundreds of practice questions, timed mock exams, and OSCE station drills with real feedback.</w:t>
      </w:r>
    </w:p>
    <w:p>
      <w:pPr>
        <w:spacing w:after="150"/>
      </w:pPr>
      <w:r>
        <w:rPr>
          <w:b/>
          <w:bCs/>
          <w:color w:val="222222"/>
          <w:sz w:val="22"/>
          <w:szCs w:val="22"/>
        </w:rPr>
        <w:t xml:space="preserve">That's exactly what we built RMT Ontario Prep for.</w:t>
      </w:r>
    </w:p>
    <w:p>
      <w:pPr>
        <w:pBdr>
          <w:top w:val="single" w:color="B08D2B" w:sz="4"/>
          <w:bottom w:val="single" w:color="B08D2B" w:sz="4"/>
          <w:left w:val="single" w:color="B08D2B" w:sz="4"/>
          <w:right w:val="single" w:color="B08D2B" w:sz="4"/>
        </w:pBdr>
        <w:shd w:fill="F4EFE0" w:color="auto" w:val="clear"/>
        <w:spacing w:after="100" w:before="200"/>
      </w:pPr>
      <w:r>
        <w:rPr>
          <w:b/>
          <w:bCs/>
          <w:color w:val="1B2A4A"/>
          <w:sz w:val="22"/>
          <w:szCs w:val="22"/>
        </w:rPr>
        <w:t xml:space="preserve">  Subscribe at rmtontarioprep.com for full-length MCQ practice sets, OSCE station walkthroughs, and progress tracking built specifically for the CMTO exam blueprint.</w:t>
      </w:r>
    </w:p>
    <w:p>
      <w:pPr>
        <w:spacing w:before="300"/>
      </w:pPr>
      <w:r>
        <w:rPr>
          <w:b/>
          <w:bCs/>
          <w:color w:val="B08D2B"/>
          <w:sz w:val="24"/>
          <w:szCs w:val="24"/>
        </w:rPr>
        <w:t xml:space="preserve">rmtontarioprep.com</w:t>
      </w:r>
    </w:p>
    <w:sectPr>
      <w:pgSz w:w="12240" w:h="15840"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2026-07-10T02:37:35.839Z</dcterms:created>
  <dcterms:modified xsi:type="dcterms:W3CDTF">2026-07-10T02:37:35.859Z</dcterms:modified>
</cp:coreProperties>
</file>

<file path=docProps/custom.xml><?xml version="1.0" encoding="utf-8"?>
<Properties xmlns="http://schemas.openxmlformats.org/officeDocument/2006/custom-properties" xmlns:vt="http://schemas.openxmlformats.org/officeDocument/2006/docPropsVTypes"/>
</file>