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240"/>
        <w:jc w:val="center"/>
      </w:pPr>
      <w:r>
        <w:rPr>
          <w:rFonts w:ascii="Calibri" w:hAnsi="Calibri"/>
          <w:b/>
          <w:color w:val="F58026"/>
          <w:sz w:val="24"/>
        </w:rPr>
        <w:t>AI SHARED PRACTICE</w:t>
      </w:r>
    </w:p>
    <w:p>
      <w:pPr>
        <w:spacing w:after="240"/>
        <w:jc w:val="center"/>
      </w:pPr>
      <w:r>
        <w:rPr>
          <w:rFonts w:ascii="Calibri" w:hAnsi="Calibri"/>
          <w:b/>
          <w:color w:val="0B2545"/>
          <w:sz w:val="60"/>
        </w:rPr>
        <w:t>Solution Intake &amp;</w:t>
        <w:br/>
        <w:t>Routing Operating Model</w:t>
      </w:r>
    </w:p>
    <w:p>
      <w:pPr>
        <w:spacing w:after="440"/>
        <w:jc w:val="center"/>
      </w:pPr>
      <w:r>
        <w:rPr>
          <w:rFonts w:ascii="Calibri" w:hAnsi="Calibri"/>
          <w:b w:val="0"/>
          <w:color w:val="5C6670"/>
          <w:sz w:val="28"/>
        </w:rPr>
        <w:t>A scalable, auditable operating system for qualifying, routing, solutioning and measuring enterprise AI opportunities</w:t>
      </w:r>
    </w:p>
    <w:p>
      <w:pPr>
        <w:pBdr>
          <w:bottom w:val="single" w:sz="18" w:space="4" w:color="F58026"/>
        </w:pBdr>
      </w:pPr>
    </w:p>
    <w:p/>
    <w:p/>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RECOMMENDED OPERATING PRINCIPLE  </w:t>
            </w:r>
            <w:r>
              <w:rPr>
                <w:rFonts w:ascii="Calibri" w:hAnsi="Calibri"/>
                <w:b/>
                <w:color w:val="0B2545"/>
                <w:sz w:val="20"/>
              </w:rPr>
              <w:t>AI Shared Practice owns the intelligence layer. The domain practice owns the platform or transformation when that capability carries the dominant delivery and commercial scope.</w:t>
            </w:r>
          </w:p>
        </w:tc>
      </w:tr>
    </w:tbl>
    <w:p>
      <w:pPr>
        <w:spacing w:after="20"/>
      </w:pPr>
    </w:p>
    <w:p/>
    <w:p/>
    <w:p>
      <w:pPr>
        <w:jc w:val="center"/>
      </w:pPr>
      <w:r>
        <w:rPr>
          <w:rFonts w:ascii="Calibri" w:hAnsi="Calibri"/>
          <w:b/>
          <w:color w:val="0B2545"/>
          <w:sz w:val="22"/>
        </w:rPr>
        <w:t>Prepared for Jeff Joseph and Armando Franco</w:t>
      </w:r>
    </w:p>
    <w:p>
      <w:pPr>
        <w:jc w:val="center"/>
      </w:pPr>
      <w:r>
        <w:rPr>
          <w:rFonts w:ascii="Calibri" w:hAnsi="Calibri"/>
          <w:b w:val="0"/>
          <w:color w:val="5C6670"/>
          <w:sz w:val="19"/>
        </w:rPr>
        <w:t>Prepared by Jory Pai, Solution Executive  |  September 2026  |  Version 1.0</w:t>
      </w:r>
    </w:p>
    <w:p>
      <w:r>
        <w:br w:type="page"/>
      </w:r>
    </w:p>
    <w:p>
      <w:pPr>
        <w:pStyle w:val="Heading1"/>
        <w:pageBreakBefore w:val="0"/>
      </w:pPr>
      <w:r>
        <w:t>Executive Summary</w:t>
      </w:r>
    </w:p>
    <w:p>
      <w:pPr>
        <w:spacing w:after="100" w:line="283" w:lineRule="auto"/>
        <w:jc w:val="left"/>
      </w:pPr>
      <w:r>
        <w:rPr>
          <w:rFonts w:ascii="Calibri" w:hAnsi="Calibri"/>
          <w:b w:val="0"/>
          <w:i w:val="0"/>
          <w:color w:val="18212B"/>
          <w:sz w:val="20"/>
        </w:rPr>
        <w:t>The AI Shared Practice needs more than an intake form. It needs a consistent decision system that tells sellers and solution teams whether an opportunity is truly AI-led, which practice is accountable, who must participate, what evidence is required, and how the decision is recorded.</w:t>
      </w:r>
    </w:p>
    <w:p>
      <w:pPr>
        <w:spacing w:after="100" w:line="283" w:lineRule="auto"/>
        <w:jc w:val="left"/>
      </w:pPr>
      <w:r>
        <w:rPr>
          <w:rFonts w:ascii="Calibri" w:hAnsi="Calibri"/>
          <w:b w:val="0"/>
          <w:i w:val="0"/>
          <w:color w:val="18212B"/>
          <w:sz w:val="20"/>
        </w:rPr>
        <w:t>This operating model establishes one front door for AI-related opportunities while preserving the delivery strength and commercial ownership of GCP, AWS, Azure, Red Hat, Application Modernization, Data, Integration, Security and other domain practices. It is designed to be simple enough to launch with existing enterprise tools and disciplined enough to scale without becoming a political or administrative bottleneck.</w:t>
      </w:r>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DECISION REQUESTED  </w:t>
            </w:r>
            <w:r>
              <w:rPr>
                <w:rFonts w:ascii="Calibri" w:hAnsi="Calibri"/>
                <w:b/>
                <w:color w:val="0B2545"/>
                <w:sz w:val="20"/>
              </w:rPr>
              <w:t>Approve a 60-day MVP using Salesforce as the authoritative record, Teams as the collaboration surface, and named Shared AI triage leadership with published SLAs and decision rights.</w:t>
            </w:r>
          </w:p>
        </w:tc>
      </w:tr>
    </w:tbl>
    <w:p>
      <w:pPr>
        <w:spacing w:after="20"/>
      </w:pPr>
    </w:p>
    <w:p>
      <w:pPr>
        <w:pStyle w:val="Heading2"/>
      </w:pPr>
      <w:r>
        <w:t>What changes</w:t>
      </w:r>
    </w:p>
    <w:p>
      <w:pPr>
        <w:pStyle w:val="ListBullet"/>
        <w:spacing w:after="80" w:line="283" w:lineRule="auto"/>
      </w:pPr>
      <w:r>
        <w:rPr>
          <w:rFonts w:ascii="Calibri" w:hAnsi="Calibri"/>
          <w:b/>
          <w:color w:val="18212B"/>
          <w:sz w:val="20"/>
        </w:rPr>
        <w:t xml:space="preserve"> One intake:</w:t>
      </w:r>
      <w:r>
        <w:rPr>
          <w:rFonts w:ascii="Calibri" w:hAnsi="Calibri"/>
          <w:b w:val="0"/>
          <w:color w:val="18212B"/>
          <w:sz w:val="20"/>
        </w:rPr>
        <w:t xml:space="preserve"> Sellers submit a short minimum viable intake connected to the Salesforce Opportunity.</w:t>
      </w:r>
    </w:p>
    <w:p>
      <w:pPr>
        <w:pStyle w:val="ListBullet"/>
        <w:spacing w:after="80" w:line="283" w:lineRule="auto"/>
      </w:pPr>
      <w:r>
        <w:rPr>
          <w:rFonts w:ascii="Calibri" w:hAnsi="Calibri"/>
          <w:b/>
          <w:color w:val="18212B"/>
          <w:sz w:val="20"/>
        </w:rPr>
        <w:t xml:space="preserve"> Two-stage qualification:</w:t>
      </w:r>
      <w:r>
        <w:rPr>
          <w:rFonts w:ascii="Calibri" w:hAnsi="Calibri"/>
          <w:b w:val="0"/>
          <w:color w:val="18212B"/>
          <w:sz w:val="20"/>
        </w:rPr>
        <w:t xml:space="preserve"> Fast triage first; deeper architecture and delivery qualification only when warranted.</w:t>
      </w:r>
    </w:p>
    <w:p>
      <w:pPr>
        <w:pStyle w:val="ListBullet"/>
        <w:spacing w:after="80" w:line="283" w:lineRule="auto"/>
      </w:pPr>
      <w:r>
        <w:rPr>
          <w:rFonts w:ascii="Calibri" w:hAnsi="Calibri"/>
          <w:b/>
          <w:color w:val="18212B"/>
          <w:sz w:val="20"/>
        </w:rPr>
        <w:t xml:space="preserve"> Explicit engagement model:</w:t>
      </w:r>
      <w:r>
        <w:rPr>
          <w:rFonts w:ascii="Calibri" w:hAnsi="Calibri"/>
          <w:b w:val="0"/>
          <w:color w:val="18212B"/>
          <w:sz w:val="20"/>
        </w:rPr>
        <w:t xml:space="preserve"> Every intake becomes OWN, CO-SOLUTION, CONSULT or HANDOFF.</w:t>
      </w:r>
    </w:p>
    <w:p>
      <w:pPr>
        <w:pStyle w:val="ListBullet"/>
        <w:spacing w:after="80" w:line="283" w:lineRule="auto"/>
      </w:pPr>
      <w:r>
        <w:rPr>
          <w:rFonts w:ascii="Calibri" w:hAnsi="Calibri"/>
          <w:b/>
          <w:color w:val="18212B"/>
          <w:sz w:val="20"/>
        </w:rPr>
        <w:t xml:space="preserve"> Evidence-based routing:</w:t>
      </w:r>
      <w:r>
        <w:rPr>
          <w:rFonts w:ascii="Calibri" w:hAnsi="Calibri"/>
          <w:b w:val="0"/>
          <w:color w:val="18212B"/>
          <w:sz w:val="20"/>
        </w:rPr>
        <w:t xml:space="preserve"> AI criticality, platform gravity, delivery composition, commercial scope and risk determine accountability.</w:t>
      </w:r>
    </w:p>
    <w:p>
      <w:pPr>
        <w:pStyle w:val="ListBullet"/>
        <w:spacing w:after="80" w:line="283" w:lineRule="auto"/>
      </w:pPr>
      <w:r>
        <w:rPr>
          <w:rFonts w:ascii="Calibri" w:hAnsi="Calibri"/>
          <w:b/>
          <w:color w:val="18212B"/>
          <w:sz w:val="20"/>
        </w:rPr>
        <w:t xml:space="preserve"> Human decision rights:</w:t>
      </w:r>
      <w:r>
        <w:rPr>
          <w:rFonts w:ascii="Calibri" w:hAnsi="Calibri"/>
          <w:b w:val="0"/>
          <w:color w:val="18212B"/>
          <w:sz w:val="20"/>
        </w:rPr>
        <w:t xml:space="preserve"> AI tools can summarize and challenge; designated leaders approve routing and solution release.</w:t>
      </w:r>
    </w:p>
    <w:p>
      <w:pPr>
        <w:pStyle w:val="ListBullet"/>
        <w:spacing w:after="80" w:line="283" w:lineRule="auto"/>
      </w:pPr>
      <w:r>
        <w:rPr>
          <w:rFonts w:ascii="Calibri" w:hAnsi="Calibri"/>
          <w:b/>
          <w:color w:val="18212B"/>
          <w:sz w:val="20"/>
        </w:rPr>
        <w:t xml:space="preserve"> Closed-loop measurement:</w:t>
      </w:r>
      <w:r>
        <w:rPr>
          <w:rFonts w:ascii="Calibri" w:hAnsi="Calibri"/>
          <w:b w:val="0"/>
          <w:color w:val="18212B"/>
          <w:sz w:val="20"/>
        </w:rPr>
        <w:t xml:space="preserve"> The practice tracks owned, influenced and routed pipeline, solutioning effort, conversion and reusable IP.</w:t>
      </w:r>
    </w:p>
    <w:p>
      <w:pPr>
        <w:pStyle w:val="Heading2"/>
      </w:pPr>
      <w:r>
        <w:t>Target outcomes for the first 90 days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100"/>
        <w:gridCol w:w="1500"/>
        <w:gridCol w:w="5760"/>
      </w:tblGrid>
      <w:tr>
        <w:trPr>
          <w:tblHeader w:val="true"/>
          <w:cantSplit/>
        </w:trPr>
        <w:tc>
          <w:tcPr>
            <w:tcW w:type="dxa" w:w="2100"/>
            <w:shd w:fill="E8EEF5"/>
            <w:tcMar>
              <w:top w:w="80" w:type="dxa"/>
              <w:start w:w="120" w:type="dxa"/>
              <w:bottom w:w="80" w:type="dxa"/>
              <w:end w:w="120" w:type="dxa"/>
            </w:tcMar>
            <w:vAlign w:val="center"/>
          </w:tcPr>
          <w:p>
            <w:pPr>
              <w:spacing w:after="0"/>
            </w:pPr>
            <w:r>
              <w:rPr>
                <w:rFonts w:ascii="Calibri" w:hAnsi="Calibri"/>
                <w:b/>
                <w:color w:val="0B2545"/>
                <w:sz w:val="18"/>
              </w:rPr>
              <w:t>Outcome</w:t>
            </w:r>
          </w:p>
        </w:tc>
        <w:tc>
          <w:tcPr>
            <w:tcW w:type="dxa" w:w="1500"/>
            <w:shd w:fill="E8EEF5"/>
            <w:tcMar>
              <w:top w:w="80" w:type="dxa"/>
              <w:start w:w="120" w:type="dxa"/>
              <w:bottom w:w="80" w:type="dxa"/>
              <w:end w:w="120" w:type="dxa"/>
            </w:tcMar>
            <w:vAlign w:val="center"/>
          </w:tcPr>
          <w:p>
            <w:pPr>
              <w:spacing w:after="0"/>
            </w:pPr>
            <w:r>
              <w:rPr>
                <w:rFonts w:ascii="Calibri" w:hAnsi="Calibri"/>
                <w:b/>
                <w:color w:val="0B2545"/>
                <w:sz w:val="18"/>
              </w:rPr>
              <w:t>Target</w:t>
            </w:r>
          </w:p>
        </w:tc>
        <w:tc>
          <w:tcPr>
            <w:tcW w:type="dxa" w:w="5760"/>
            <w:shd w:fill="E8EEF5"/>
            <w:tcMar>
              <w:top w:w="80" w:type="dxa"/>
              <w:start w:w="120" w:type="dxa"/>
              <w:bottom w:w="80" w:type="dxa"/>
              <w:end w:w="120" w:type="dxa"/>
            </w:tcMar>
            <w:vAlign w:val="center"/>
          </w:tcPr>
          <w:p>
            <w:pPr>
              <w:spacing w:after="0"/>
            </w:pPr>
            <w:r>
              <w:rPr>
                <w:rFonts w:ascii="Calibri" w:hAnsi="Calibri"/>
                <w:b/>
                <w:color w:val="0B2545"/>
                <w:sz w:val="18"/>
              </w:rPr>
              <w:t>Why it matters</w:t>
            </w:r>
          </w:p>
        </w:tc>
      </w:tr>
      <w:tr>
        <w:trPr>
          <w:cantSplit/>
        </w:trPr>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Triage speed</w:t>
            </w:r>
          </w:p>
        </w:tc>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8"/>
              </w:rPr>
              <w:t>≥ 90% routed within 3 business days</w:t>
            </w:r>
          </w:p>
        </w:tc>
        <w:tc>
          <w:tcPr>
            <w:tcW w:type="dxa" w:w="5760"/>
            <w:tcMar>
              <w:top w:w="80" w:type="dxa"/>
              <w:start w:w="120" w:type="dxa"/>
              <w:bottom w:w="80" w:type="dxa"/>
              <w:end w:w="120" w:type="dxa"/>
            </w:tcMar>
            <w:vAlign w:val="center"/>
          </w:tcPr>
          <w:p>
            <w:pPr>
              <w:spacing w:after="0" w:line="259" w:lineRule="auto"/>
            </w:pPr>
            <w:r>
              <w:rPr>
                <w:rFonts w:ascii="Calibri" w:hAnsi="Calibri"/>
                <w:b w:val="0"/>
                <w:color w:val="18212B"/>
                <w:sz w:val="18"/>
              </w:rPr>
              <w:t>Sellers know where to go and opportunities stop stalling.</w:t>
            </w:r>
          </w:p>
        </w:tc>
      </w:tr>
      <w:tr>
        <w:trPr>
          <w:cantSplit/>
        </w:trPr>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Intake quality</w:t>
            </w:r>
          </w:p>
        </w:tc>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 85% complete at first review</w:t>
            </w:r>
          </w:p>
        </w:tc>
        <w:tc>
          <w:tcPr>
            <w:tcW w:type="dxa" w:w="5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Architect time is spent solving, not chasing basics.</w:t>
            </w:r>
          </w:p>
        </w:tc>
      </w:tr>
      <w:tr>
        <w:trPr>
          <w:cantSplit/>
        </w:trPr>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Decision traceability</w:t>
            </w:r>
          </w:p>
        </w:tc>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8"/>
              </w:rPr>
              <w:t>100% with owner, rationale and timestamp</w:t>
            </w:r>
          </w:p>
        </w:tc>
        <w:tc>
          <w:tcPr>
            <w:tcW w:type="dxa" w:w="5760"/>
            <w:tcMar>
              <w:top w:w="80" w:type="dxa"/>
              <w:start w:w="120" w:type="dxa"/>
              <w:bottom w:w="80" w:type="dxa"/>
              <w:end w:w="120" w:type="dxa"/>
            </w:tcMar>
            <w:vAlign w:val="center"/>
          </w:tcPr>
          <w:p>
            <w:pPr>
              <w:spacing w:after="0" w:line="259" w:lineRule="auto"/>
            </w:pPr>
            <w:r>
              <w:rPr>
                <w:rFonts w:ascii="Calibri" w:hAnsi="Calibri"/>
                <w:b w:val="0"/>
                <w:color w:val="18212B"/>
                <w:sz w:val="18"/>
              </w:rPr>
              <w:t>Routing is defensible and auditable.</w:t>
            </w:r>
          </w:p>
        </w:tc>
      </w:tr>
      <w:tr>
        <w:trPr>
          <w:cantSplit/>
        </w:trPr>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Cross-practice alignment</w:t>
            </w:r>
          </w:p>
        </w:tc>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&lt; 10% escalated for ownership dispute</w:t>
            </w:r>
          </w:p>
        </w:tc>
        <w:tc>
          <w:tcPr>
            <w:tcW w:type="dxa" w:w="5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Rules resolve routine cases; leaders handle true exceptions.</w:t>
            </w:r>
          </w:p>
        </w:tc>
      </w:tr>
      <w:tr>
        <w:trPr>
          <w:cantSplit/>
        </w:trPr>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Value visibility</w:t>
            </w:r>
          </w:p>
        </w:tc>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8"/>
              </w:rPr>
              <w:t>Owned + influenced + routed pipeline reported monthly</w:t>
            </w:r>
          </w:p>
        </w:tc>
        <w:tc>
          <w:tcPr>
            <w:tcW w:type="dxa" w:w="5760"/>
            <w:tcMar>
              <w:top w:w="80" w:type="dxa"/>
              <w:start w:w="120" w:type="dxa"/>
              <w:bottom w:w="80" w:type="dxa"/>
              <w:end w:w="120" w:type="dxa"/>
            </w:tcMar>
            <w:vAlign w:val="center"/>
          </w:tcPr>
          <w:p>
            <w:pPr>
              <w:spacing w:after="0" w:line="259" w:lineRule="auto"/>
            </w:pPr>
            <w:r>
              <w:rPr>
                <w:rFonts w:ascii="Calibri" w:hAnsi="Calibri"/>
                <w:b w:val="0"/>
                <w:color w:val="18212B"/>
                <w:sz w:val="18"/>
              </w:rPr>
              <w:t>Shared Practice contribution is measurable.</w:t>
            </w:r>
          </w:p>
        </w:tc>
      </w:tr>
    </w:tbl>
    <w:p>
      <w:pPr>
        <w:spacing w:after="20"/>
      </w:pPr>
    </w:p>
    <w:p>
      <w:pPr>
        <w:pStyle w:val="Heading2"/>
      </w:pPr>
      <w:r>
        <w:t>Document map</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700"/>
        <w:gridCol w:w="7660"/>
      </w:tblGrid>
      <w:tr>
        <w:trPr>
          <w:tblHeader w:val="true"/>
          <w:cantSplit/>
        </w:trPr>
        <w:tc>
          <w:tcPr>
            <w:tcW w:type="dxa" w:w="1700"/>
            <w:shd w:fill="E8EEF5"/>
            <w:tcMar>
              <w:top w:w="80" w:type="dxa"/>
              <w:start w:w="120" w:type="dxa"/>
              <w:bottom w:w="80" w:type="dxa"/>
              <w:end w:w="120" w:type="dxa"/>
            </w:tcMar>
            <w:vAlign w:val="center"/>
          </w:tcPr>
          <w:p>
            <w:pPr>
              <w:spacing w:after="0"/>
            </w:pPr>
            <w:r>
              <w:rPr>
                <w:rFonts w:ascii="Calibri" w:hAnsi="Calibri"/>
                <w:b/>
                <w:color w:val="0B2545"/>
                <w:sz w:val="18"/>
              </w:rPr>
              <w:t>Section</w:t>
            </w:r>
          </w:p>
        </w:tc>
        <w:tc>
          <w:tcPr>
            <w:tcW w:type="dxa" w:w="7660"/>
            <w:shd w:fill="E8EEF5"/>
            <w:tcMar>
              <w:top w:w="80" w:type="dxa"/>
              <w:start w:w="120" w:type="dxa"/>
              <w:bottom w:w="80" w:type="dxa"/>
              <w:end w:w="120" w:type="dxa"/>
            </w:tcMar>
            <w:vAlign w:val="center"/>
          </w:tcPr>
          <w:p>
            <w:pPr>
              <w:spacing w:after="0"/>
            </w:pPr>
            <w:r>
              <w:rPr>
                <w:rFonts w:ascii="Calibri" w:hAnsi="Calibri"/>
                <w:b/>
                <w:color w:val="0B2545"/>
                <w:sz w:val="18"/>
              </w:rPr>
              <w:t>Purpose</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1</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Charter and design principles</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2</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Governance and engagement models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3</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End-to-end intake lifecycle</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4</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Qualification gates and scoring</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5</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Practice routing rules</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6</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Decision rights, RACI and SLAs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7</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Tool architecture and controls</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8</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Implementation roadmap and measures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Appendix A</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Complete intake form</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Appendix B</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Scoring rubric</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8"/>
              </w:rPr>
              <w:t>Appendix C</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8"/>
              </w:rPr>
              <w:t>Routing scenarios</w:t>
            </w:r>
          </w:p>
        </w:tc>
      </w:tr>
    </w:tbl>
    <w:p>
      <w:pPr>
        <w:spacing w:after="20"/>
      </w:pPr>
    </w:p>
    <w:p>
      <w:pPr>
        <w:pStyle w:val="Heading1"/>
        <w:pageBreakBefore w:val="0"/>
      </w:pPr>
      <w:r>
        <w:t>1. Charter and Design Principles</w:t>
      </w:r>
    </w:p>
    <w:p>
      <w:pPr>
        <w:pStyle w:val="Heading2"/>
      </w:pPr>
      <w:r>
        <w:t>Proposed charter</w:t>
      </w:r>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CHARTER  </w:t>
            </w:r>
            <w:r>
              <w:rPr>
                <w:rFonts w:ascii="Calibri" w:hAnsi="Calibri"/>
                <w:b/>
                <w:color w:val="0B2545"/>
                <w:sz w:val="20"/>
              </w:rPr>
              <w:t>The AI Shared Practice is the enterprise center of gravity for AI qualification, architecture, governance and AI-specific solutioning. It connects cloud, application, data, integration, security and platform practices. Opportunity accountability follows the dominant business outcome, delivery capability, commercial scope and risk—not the mere presence of AI terminology.</w:t>
            </w:r>
          </w:p>
        </w:tc>
      </w:tr>
    </w:tbl>
    <w:p>
      <w:pPr>
        <w:spacing w:after="20"/>
      </w:pPr>
    </w:p>
    <w:p>
      <w:pPr>
        <w:pStyle w:val="Heading2"/>
      </w:pPr>
      <w:r>
        <w:t>The five questions every intake must answer</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200"/>
        <w:gridCol w:w="7160"/>
      </w:tblGrid>
      <w:tr>
        <w:trPr>
          <w:tblHeader w:val="true"/>
          <w:cantSplit/>
        </w:trPr>
        <w:tc>
          <w:tcPr>
            <w:tcW w:type="dxa" w:w="2200"/>
            <w:shd w:fill="E8EEF5"/>
            <w:tcMar>
              <w:top w:w="80" w:type="dxa"/>
              <w:start w:w="120" w:type="dxa"/>
              <w:bottom w:w="80" w:type="dxa"/>
              <w:end w:w="120" w:type="dxa"/>
            </w:tcMar>
            <w:vAlign w:val="center"/>
          </w:tcPr>
          <w:p>
            <w:pPr>
              <w:spacing w:after="0"/>
            </w:pPr>
            <w:r>
              <w:rPr>
                <w:rFonts w:ascii="Calibri" w:hAnsi="Calibri"/>
                <w:b/>
                <w:color w:val="0B2545"/>
                <w:sz w:val="18"/>
              </w:rPr>
              <w:t>Dimension</w:t>
            </w:r>
          </w:p>
        </w:tc>
        <w:tc>
          <w:tcPr>
            <w:tcW w:type="dxa" w:w="7160"/>
            <w:shd w:fill="E8EEF5"/>
            <w:tcMar>
              <w:top w:w="80" w:type="dxa"/>
              <w:start w:w="120" w:type="dxa"/>
              <w:bottom w:w="80" w:type="dxa"/>
              <w:end w:w="120" w:type="dxa"/>
            </w:tcMar>
            <w:vAlign w:val="center"/>
          </w:tcPr>
          <w:p>
            <w:pPr>
              <w:spacing w:after="0"/>
            </w:pPr>
            <w:r>
              <w:rPr>
                <w:rFonts w:ascii="Calibri" w:hAnsi="Calibri"/>
                <w:b/>
                <w:color w:val="0B2545"/>
                <w:sz w:val="18"/>
              </w:rPr>
              <w:t>Decision question</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Business outcome</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What measurable client problem is being solved?</w:t>
            </w:r>
          </w:p>
        </w:tc>
      </w:tr>
      <w:tr>
        <w:trPr>
          <w:cantSplit/>
        </w:trPr>
        <w:tc>
          <w:tcPr>
            <w:tcW w:type="dxa" w:w="2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AI gravity</w:t>
            </w:r>
          </w:p>
        </w:tc>
        <w:tc>
          <w:tcPr>
            <w:tcW w:type="dxa" w:w="71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Is AI incidental, helpful, significant or fundamental to the outcome?</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Platform gravity</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Where does the workload live and which platform capabilities dominate?</w:t>
            </w:r>
          </w:p>
        </w:tc>
      </w:tr>
      <w:tr>
        <w:trPr>
          <w:cantSplit/>
        </w:trPr>
        <w:tc>
          <w:tcPr>
            <w:tcW w:type="dxa" w:w="2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Delivery gravity</w:t>
            </w:r>
          </w:p>
        </w:tc>
        <w:tc>
          <w:tcPr>
            <w:tcW w:type="dxa" w:w="71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Which skills make up most of the work and delivery risk?</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Commercial gravity</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Where is most of the SOW value, margin, accountability and exposure?</w:t>
            </w:r>
          </w:p>
        </w:tc>
      </w:tr>
    </w:tbl>
    <w:p>
      <w:pPr>
        <w:spacing w:after="20"/>
      </w:pPr>
    </w:p>
    <w:p>
      <w:pPr>
        <w:pStyle w:val="Heading2"/>
      </w:pPr>
      <w:r>
        <w:t>Design principles</w:t>
      </w:r>
    </w:p>
    <w:p>
      <w:pPr>
        <w:pStyle w:val="ListBullet"/>
        <w:spacing w:after="80" w:line="283" w:lineRule="auto"/>
      </w:pPr>
      <w:r>
        <w:rPr>
          <w:rFonts w:ascii="Calibri" w:hAnsi="Calibri"/>
          <w:b/>
          <w:color w:val="18212B"/>
          <w:sz w:val="20"/>
        </w:rPr>
        <w:t xml:space="preserve"> One front door, many destinations:</w:t>
      </w:r>
      <w:r>
        <w:rPr>
          <w:rFonts w:ascii="Calibri" w:hAnsi="Calibri"/>
          <w:b w:val="0"/>
          <w:color w:val="18212B"/>
          <w:sz w:val="20"/>
        </w:rPr>
        <w:t xml:space="preserve"> Users should not need to understand the org chart before asking for help.</w:t>
      </w:r>
    </w:p>
    <w:p>
      <w:pPr>
        <w:pStyle w:val="ListBullet"/>
        <w:spacing w:after="80" w:line="283" w:lineRule="auto"/>
      </w:pPr>
      <w:r>
        <w:rPr>
          <w:rFonts w:ascii="Calibri" w:hAnsi="Calibri"/>
          <w:b/>
          <w:color w:val="18212B"/>
          <w:sz w:val="20"/>
        </w:rPr>
        <w:t xml:space="preserve"> Progressive disclosure:</w:t>
      </w:r>
      <w:r>
        <w:rPr>
          <w:rFonts w:ascii="Calibri" w:hAnsi="Calibri"/>
          <w:b w:val="0"/>
          <w:color w:val="18212B"/>
          <w:sz w:val="20"/>
        </w:rPr>
        <w:t xml:space="preserve"> The initial form stays short; conditional questions open only when needed.</w:t>
      </w:r>
    </w:p>
    <w:p>
      <w:pPr>
        <w:pStyle w:val="ListBullet"/>
        <w:spacing w:after="80" w:line="283" w:lineRule="auto"/>
      </w:pPr>
      <w:r>
        <w:rPr>
          <w:rFonts w:ascii="Calibri" w:hAnsi="Calibri"/>
          <w:b/>
          <w:color w:val="18212B"/>
          <w:sz w:val="20"/>
        </w:rPr>
        <w:t xml:space="preserve"> Rules before personalities:</w:t>
      </w:r>
      <w:r>
        <w:rPr>
          <w:rFonts w:ascii="Calibri" w:hAnsi="Calibri"/>
          <w:b w:val="0"/>
          <w:color w:val="18212B"/>
          <w:sz w:val="20"/>
        </w:rPr>
        <w:t xml:space="preserve"> Documented criteria handle common cases and reduce ownership debates.</w:t>
      </w:r>
    </w:p>
    <w:p>
      <w:pPr>
        <w:pStyle w:val="ListBullet"/>
        <w:spacing w:after="80" w:line="283" w:lineRule="auto"/>
      </w:pPr>
      <w:r>
        <w:rPr>
          <w:rFonts w:ascii="Calibri" w:hAnsi="Calibri"/>
          <w:b/>
          <w:color w:val="18212B"/>
          <w:sz w:val="20"/>
        </w:rPr>
        <w:t xml:space="preserve"> AI is not the workflow engine:</w:t>
      </w:r>
      <w:r>
        <w:rPr>
          <w:rFonts w:ascii="Calibri" w:hAnsi="Calibri"/>
          <w:b w:val="0"/>
          <w:color w:val="18212B"/>
          <w:sz w:val="20"/>
        </w:rPr>
        <w:t xml:space="preserve"> AI improves speed and quality, but deterministic workflow and human approvals remain authoritative.</w:t>
      </w:r>
    </w:p>
    <w:p>
      <w:pPr>
        <w:pStyle w:val="ListBullet"/>
        <w:spacing w:after="80" w:line="283" w:lineRule="auto"/>
      </w:pPr>
      <w:r>
        <w:rPr>
          <w:rFonts w:ascii="Calibri" w:hAnsi="Calibri"/>
          <w:b/>
          <w:color w:val="18212B"/>
          <w:sz w:val="20"/>
        </w:rPr>
        <w:t xml:space="preserve"> No orphaned handoffs:</w:t>
      </w:r>
      <w:r>
        <w:rPr>
          <w:rFonts w:ascii="Calibri" w:hAnsi="Calibri"/>
          <w:b w:val="0"/>
          <w:color w:val="18212B"/>
          <w:sz w:val="20"/>
        </w:rPr>
        <w:t xml:space="preserve"> A receiving owner must accept before the originating team exits.</w:t>
      </w:r>
    </w:p>
    <w:p>
      <w:pPr>
        <w:pStyle w:val="ListBullet"/>
        <w:spacing w:after="80" w:line="283" w:lineRule="auto"/>
      </w:pPr>
      <w:r>
        <w:rPr>
          <w:rFonts w:ascii="Calibri" w:hAnsi="Calibri"/>
          <w:b/>
          <w:color w:val="18212B"/>
          <w:sz w:val="20"/>
        </w:rPr>
        <w:t xml:space="preserve"> Minimum necessary data:</w:t>
      </w:r>
      <w:r>
        <w:rPr>
          <w:rFonts w:ascii="Calibri" w:hAnsi="Calibri"/>
          <w:b w:val="0"/>
          <w:color w:val="18212B"/>
          <w:sz w:val="20"/>
        </w:rPr>
        <w:t xml:space="preserve"> Do not paste client confidential data into AI tools unless the approved data-handling path explicitly permits it.</w:t>
      </w:r>
    </w:p>
    <w:p>
      <w:pPr>
        <w:pStyle w:val="ListBullet"/>
        <w:spacing w:after="80" w:line="283" w:lineRule="auto"/>
      </w:pPr>
      <w:r>
        <w:rPr>
          <w:rFonts w:ascii="Calibri" w:hAnsi="Calibri"/>
          <w:b/>
          <w:color w:val="18212B"/>
          <w:sz w:val="20"/>
        </w:rPr>
        <w:t xml:space="preserve"> Measure contribution, not just ownership:</w:t>
      </w:r>
      <w:r>
        <w:rPr>
          <w:rFonts w:ascii="Calibri" w:hAnsi="Calibri"/>
          <w:b w:val="0"/>
          <w:color w:val="18212B"/>
          <w:sz w:val="20"/>
        </w:rPr>
        <w:t xml:space="preserve"> Credit sourced, owned, influenced and routed revenue separately.</w:t>
      </w:r>
    </w:p>
    <w:p>
      <w:pPr>
        <w:pStyle w:val="ListBullet"/>
        <w:spacing w:after="80" w:line="283" w:lineRule="auto"/>
      </w:pPr>
      <w:r>
        <w:rPr>
          <w:rFonts w:ascii="Calibri" w:hAnsi="Calibri"/>
          <w:b/>
          <w:color w:val="18212B"/>
          <w:sz w:val="20"/>
        </w:rPr>
        <w:t xml:space="preserve"> Learn from every decision:</w:t>
      </w:r>
      <w:r>
        <w:rPr>
          <w:rFonts w:ascii="Calibri" w:hAnsi="Calibri"/>
          <w:b w:val="0"/>
          <w:color w:val="18212B"/>
          <w:sz w:val="20"/>
        </w:rPr>
        <w:t xml:space="preserve"> Overrides and outcomes tune the rubric and create reusable patterns.</w:t>
      </w:r>
    </w:p>
    <w:p>
      <w:pPr>
        <w:pStyle w:val="Heading1"/>
        <w:pageBreakBefore w:val="0"/>
      </w:pPr>
      <w:r>
        <w:t>2. Governance and Engagement Models</w:t>
      </w:r>
    </w:p>
    <w:p>
      <w:pPr>
        <w:pStyle w:val="Heading2"/>
      </w:pPr>
      <w:r>
        <w:t>Four engagement models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100"/>
        <w:gridCol w:w="1500"/>
        <w:gridCol w:w="3500"/>
        <w:gridCol w:w="3260"/>
      </w:tblGrid>
      <w:tr>
        <w:trPr>
          <w:tblHeader w:val="true"/>
          <w:cantSplit/>
        </w:trPr>
        <w:tc>
          <w:tcPr>
            <w:tcW w:type="dxa" w:w="1100"/>
            <w:shd w:fill="E8EEF5"/>
            <w:tcMar>
              <w:top w:w="80" w:type="dxa"/>
              <w:start w:w="120" w:type="dxa"/>
              <w:bottom w:w="80" w:type="dxa"/>
              <w:end w:w="120" w:type="dxa"/>
            </w:tcMar>
            <w:vAlign w:val="center"/>
          </w:tcPr>
          <w:p>
            <w:pPr>
              <w:spacing w:after="0"/>
            </w:pPr>
            <w:r>
              <w:rPr>
                <w:rFonts w:ascii="Calibri" w:hAnsi="Calibri"/>
                <w:b/>
                <w:color w:val="0B2545"/>
                <w:sz w:val="17"/>
              </w:rPr>
              <w:t>Model</w:t>
            </w:r>
          </w:p>
        </w:tc>
        <w:tc>
          <w:tcPr>
            <w:tcW w:type="dxa" w:w="1500"/>
            <w:shd w:fill="E8EEF5"/>
            <w:tcMar>
              <w:top w:w="80" w:type="dxa"/>
              <w:start w:w="120" w:type="dxa"/>
              <w:bottom w:w="80" w:type="dxa"/>
              <w:end w:w="120" w:type="dxa"/>
            </w:tcMar>
            <w:vAlign w:val="center"/>
          </w:tcPr>
          <w:p>
            <w:pPr>
              <w:spacing w:after="0"/>
            </w:pPr>
            <w:r>
              <w:rPr>
                <w:rFonts w:ascii="Calibri" w:hAnsi="Calibri"/>
                <w:b/>
                <w:color w:val="0B2545"/>
                <w:sz w:val="17"/>
              </w:rPr>
              <w:t>Primary owner</w:t>
            </w:r>
          </w:p>
        </w:tc>
        <w:tc>
          <w:tcPr>
            <w:tcW w:type="dxa" w:w="3500"/>
            <w:shd w:fill="E8EEF5"/>
            <w:tcMar>
              <w:top w:w="80" w:type="dxa"/>
              <w:start w:w="120" w:type="dxa"/>
              <w:bottom w:w="80" w:type="dxa"/>
              <w:end w:w="120" w:type="dxa"/>
            </w:tcMar>
            <w:vAlign w:val="center"/>
          </w:tcPr>
          <w:p>
            <w:pPr>
              <w:spacing w:after="0"/>
            </w:pPr>
            <w:r>
              <w:rPr>
                <w:rFonts w:ascii="Calibri" w:hAnsi="Calibri"/>
                <w:b/>
                <w:color w:val="0B2545"/>
                <w:sz w:val="17"/>
              </w:rPr>
              <w:t>Use when</w:t>
            </w:r>
          </w:p>
        </w:tc>
        <w:tc>
          <w:tcPr>
            <w:tcW w:type="dxa" w:w="3260"/>
            <w:shd w:fill="E8EEF5"/>
            <w:tcMar>
              <w:top w:w="80" w:type="dxa"/>
              <w:start w:w="120" w:type="dxa"/>
              <w:bottom w:w="80" w:type="dxa"/>
              <w:end w:w="120" w:type="dxa"/>
            </w:tcMar>
            <w:vAlign w:val="center"/>
          </w:tcPr>
          <w:p>
            <w:pPr>
              <w:spacing w:after="0"/>
            </w:pPr>
            <w:r>
              <w:rPr>
                <w:rFonts w:ascii="Calibri" w:hAnsi="Calibri"/>
                <w:b/>
                <w:color w:val="0B2545"/>
                <w:sz w:val="17"/>
              </w:rPr>
              <w:t>Control</w:t>
            </w:r>
          </w:p>
        </w:tc>
      </w:tr>
      <w:tr>
        <w:trPr>
          <w:cantSplit/>
        </w:trPr>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7"/>
              </w:rPr>
              <w:t>OWN</w:t>
            </w:r>
          </w:p>
        </w:tc>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7"/>
              </w:rPr>
              <w:t>AI Shared Practice</w:t>
            </w:r>
          </w:p>
        </w:tc>
        <w:tc>
          <w:tcPr>
            <w:tcW w:type="dxa" w:w="3500"/>
            <w:tcMar>
              <w:top w:w="80" w:type="dxa"/>
              <w:start w:w="120" w:type="dxa"/>
              <w:bottom w:w="80" w:type="dxa"/>
              <w:end w:w="120" w:type="dxa"/>
            </w:tcMar>
            <w:vAlign w:val="center"/>
          </w:tcPr>
          <w:p>
            <w:pPr>
              <w:spacing w:after="0" w:line="259" w:lineRule="auto"/>
            </w:pPr>
            <w:r>
              <w:rPr>
                <w:rFonts w:ascii="Calibri" w:hAnsi="Calibri"/>
                <w:b w:val="0"/>
                <w:color w:val="18212B"/>
                <w:sz w:val="17"/>
              </w:rPr>
              <w:t>AI is the solution; AI-specific architecture, engineering and risk dominate.</w:t>
            </w:r>
          </w:p>
        </w:tc>
        <w:tc>
          <w:tcPr>
            <w:tcW w:type="dxa" w:w="3260"/>
            <w:tcMar>
              <w:top w:w="80" w:type="dxa"/>
              <w:start w:w="120" w:type="dxa"/>
              <w:bottom w:w="80" w:type="dxa"/>
              <w:end w:w="120" w:type="dxa"/>
            </w:tcMar>
            <w:vAlign w:val="center"/>
          </w:tcPr>
          <w:p>
            <w:pPr>
              <w:spacing w:after="0" w:line="259" w:lineRule="auto"/>
            </w:pPr>
            <w:r>
              <w:rPr>
                <w:rFonts w:ascii="Calibri" w:hAnsi="Calibri"/>
                <w:b w:val="0"/>
                <w:color w:val="18212B"/>
                <w:sz w:val="17"/>
              </w:rPr>
              <w:t>AI lead is accountable; domain practices support.</w:t>
            </w:r>
          </w:p>
        </w:tc>
      </w:tr>
      <w:tr>
        <w:trPr>
          <w:cantSplit/>
        </w:trPr>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CO-SOLUTION</w:t>
            </w:r>
          </w:p>
        </w:tc>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Joint</w:t>
            </w:r>
          </w:p>
        </w:tc>
        <w:tc>
          <w:tcPr>
            <w:tcW w:type="dxa" w:w="3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AI and another platform/transformation are both material.</w:t>
            </w:r>
          </w:p>
        </w:tc>
        <w:tc>
          <w:tcPr>
            <w:tcW w:type="dxa" w:w="32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One accountable practice is named; both approve architecture.</w:t>
            </w:r>
          </w:p>
        </w:tc>
      </w:tr>
      <w:tr>
        <w:trPr>
          <w:cantSplit/>
        </w:trPr>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7"/>
              </w:rPr>
              <w:t>CONSULT</w:t>
            </w:r>
          </w:p>
        </w:tc>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7"/>
              </w:rPr>
              <w:t>Domain practice</w:t>
            </w:r>
          </w:p>
        </w:tc>
        <w:tc>
          <w:tcPr>
            <w:tcW w:type="dxa" w:w="3500"/>
            <w:tcMar>
              <w:top w:w="80" w:type="dxa"/>
              <w:start w:w="120" w:type="dxa"/>
              <w:bottom w:w="80" w:type="dxa"/>
              <w:end w:w="120" w:type="dxa"/>
            </w:tcMar>
            <w:vAlign w:val="center"/>
          </w:tcPr>
          <w:p>
            <w:pPr>
              <w:spacing w:after="0" w:line="259" w:lineRule="auto"/>
            </w:pPr>
            <w:r>
              <w:rPr>
                <w:rFonts w:ascii="Calibri" w:hAnsi="Calibri"/>
                <w:b w:val="0"/>
                <w:color w:val="18212B"/>
                <w:sz w:val="17"/>
              </w:rPr>
              <w:t>AI expertise is useful but not material to ownership.</w:t>
            </w:r>
          </w:p>
        </w:tc>
        <w:tc>
          <w:tcPr>
            <w:tcW w:type="dxa" w:w="3260"/>
            <w:tcMar>
              <w:top w:w="80" w:type="dxa"/>
              <w:start w:w="120" w:type="dxa"/>
              <w:bottom w:w="80" w:type="dxa"/>
              <w:end w:w="120" w:type="dxa"/>
            </w:tcMar>
            <w:vAlign w:val="center"/>
          </w:tcPr>
          <w:p>
            <w:pPr>
              <w:spacing w:after="0" w:line="259" w:lineRule="auto"/>
            </w:pPr>
            <w:r>
              <w:rPr>
                <w:rFonts w:ascii="Calibri" w:hAnsi="Calibri"/>
                <w:b w:val="0"/>
                <w:color w:val="18212B"/>
                <w:sz w:val="17"/>
              </w:rPr>
              <w:t>AI provides bounded review, advisory or quality gate.</w:t>
            </w:r>
          </w:p>
        </w:tc>
      </w:tr>
      <w:tr>
        <w:trPr>
          <w:cantSplit/>
        </w:trPr>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HANDOFF</w:t>
            </w:r>
          </w:p>
        </w:tc>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Domain practice</w:t>
            </w:r>
          </w:p>
        </w:tc>
        <w:tc>
          <w:tcPr>
            <w:tcW w:type="dxa" w:w="3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AI is incidental, future-state or marketing language.</w:t>
            </w:r>
          </w:p>
        </w:tc>
        <w:tc>
          <w:tcPr>
            <w:tcW w:type="dxa" w:w="32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Receiving practice accepts record; AI closes its action.</w:t>
            </w:r>
          </w:p>
        </w:tc>
      </w:tr>
    </w:tbl>
    <w:p>
      <w:pPr>
        <w:spacing w:after="20"/>
      </w:pPr>
    </w:p>
    <w:p>
      <w:pPr>
        <w:pStyle w:val="Heading2"/>
      </w:pPr>
      <w:r>
        <w:t>Governance forums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900"/>
        <w:gridCol w:w="2250"/>
        <w:gridCol w:w="4110"/>
        <w:gridCol w:w="1100"/>
      </w:tblGrid>
      <w:tr>
        <w:trPr>
          <w:tblHeader w:val="true"/>
          <w:cantSplit/>
        </w:trPr>
        <w:tc>
          <w:tcPr>
            <w:tcW w:type="dxa" w:w="1900"/>
            <w:shd w:fill="E8EEF5"/>
            <w:tcMar>
              <w:top w:w="80" w:type="dxa"/>
              <w:start w:w="120" w:type="dxa"/>
              <w:bottom w:w="80" w:type="dxa"/>
              <w:end w:w="120" w:type="dxa"/>
            </w:tcMar>
            <w:vAlign w:val="center"/>
          </w:tcPr>
          <w:p>
            <w:pPr>
              <w:spacing w:after="0"/>
            </w:pPr>
            <w:r>
              <w:rPr>
                <w:rFonts w:ascii="Calibri" w:hAnsi="Calibri"/>
                <w:b/>
                <w:color w:val="0B2545"/>
                <w:sz w:val="16"/>
              </w:rPr>
              <w:t>Forum</w:t>
            </w:r>
          </w:p>
        </w:tc>
        <w:tc>
          <w:tcPr>
            <w:tcW w:type="dxa" w:w="2250"/>
            <w:shd w:fill="E8EEF5"/>
            <w:tcMar>
              <w:top w:w="80" w:type="dxa"/>
              <w:start w:w="120" w:type="dxa"/>
              <w:bottom w:w="80" w:type="dxa"/>
              <w:end w:w="120" w:type="dxa"/>
            </w:tcMar>
            <w:vAlign w:val="center"/>
          </w:tcPr>
          <w:p>
            <w:pPr>
              <w:spacing w:after="0"/>
            </w:pPr>
            <w:r>
              <w:rPr>
                <w:rFonts w:ascii="Calibri" w:hAnsi="Calibri"/>
                <w:b/>
                <w:color w:val="0B2545"/>
                <w:sz w:val="16"/>
              </w:rPr>
              <w:t>Core participants</w:t>
            </w:r>
          </w:p>
        </w:tc>
        <w:tc>
          <w:tcPr>
            <w:tcW w:type="dxa" w:w="4110"/>
            <w:shd w:fill="E8EEF5"/>
            <w:tcMar>
              <w:top w:w="80" w:type="dxa"/>
              <w:start w:w="120" w:type="dxa"/>
              <w:bottom w:w="80" w:type="dxa"/>
              <w:end w:w="120" w:type="dxa"/>
            </w:tcMar>
            <w:vAlign w:val="center"/>
          </w:tcPr>
          <w:p>
            <w:pPr>
              <w:spacing w:after="0"/>
            </w:pPr>
            <w:r>
              <w:rPr>
                <w:rFonts w:ascii="Calibri" w:hAnsi="Calibri"/>
                <w:b/>
                <w:color w:val="0B2545"/>
                <w:sz w:val="16"/>
              </w:rPr>
              <w:t>Purpose</w:t>
            </w:r>
          </w:p>
        </w:tc>
        <w:tc>
          <w:tcPr>
            <w:tcW w:type="dxa" w:w="1100"/>
            <w:shd w:fill="E8EEF5"/>
            <w:tcMar>
              <w:top w:w="80" w:type="dxa"/>
              <w:start w:w="120" w:type="dxa"/>
              <w:bottom w:w="80" w:type="dxa"/>
              <w:end w:w="120" w:type="dxa"/>
            </w:tcMar>
            <w:vAlign w:val="center"/>
          </w:tcPr>
          <w:p>
            <w:pPr>
              <w:spacing w:after="0"/>
            </w:pPr>
            <w:r>
              <w:rPr>
                <w:rFonts w:ascii="Calibri" w:hAnsi="Calibri"/>
                <w:b/>
                <w:color w:val="0B2545"/>
                <w:sz w:val="16"/>
              </w:rPr>
              <w:t>Cadence</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6"/>
              </w:rPr>
              <w:t>Daily/async intake queue</w:t>
            </w:r>
          </w:p>
        </w:tc>
        <w:tc>
          <w:tcPr>
            <w:tcW w:type="dxa" w:w="2250"/>
            <w:tcMar>
              <w:top w:w="80" w:type="dxa"/>
              <w:start w:w="120" w:type="dxa"/>
              <w:bottom w:w="80" w:type="dxa"/>
              <w:end w:w="120" w:type="dxa"/>
            </w:tcMar>
            <w:vAlign w:val="center"/>
          </w:tcPr>
          <w:p>
            <w:pPr>
              <w:spacing w:after="0" w:line="259" w:lineRule="auto"/>
            </w:pPr>
            <w:r>
              <w:rPr>
                <w:rFonts w:ascii="Calibri" w:hAnsi="Calibri"/>
                <w:b w:val="0"/>
                <w:color w:val="18212B"/>
                <w:sz w:val="16"/>
              </w:rPr>
              <w:t>Shared AI SE or intake manager</w:t>
            </w:r>
          </w:p>
        </w:tc>
        <w:tc>
          <w:tcPr>
            <w:tcW w:type="dxa" w:w="4110"/>
            <w:tcMar>
              <w:top w:w="80" w:type="dxa"/>
              <w:start w:w="120" w:type="dxa"/>
              <w:bottom w:w="80" w:type="dxa"/>
              <w:end w:w="120" w:type="dxa"/>
            </w:tcMar>
            <w:vAlign w:val="center"/>
          </w:tcPr>
          <w:p>
            <w:pPr>
              <w:spacing w:after="0" w:line="259" w:lineRule="auto"/>
            </w:pPr>
            <w:r>
              <w:rPr>
                <w:rFonts w:ascii="Calibri" w:hAnsi="Calibri"/>
                <w:b w:val="0"/>
                <w:color w:val="18212B"/>
                <w:sz w:val="16"/>
              </w:rPr>
              <w:t>Validate completeness; assign triage owner; stop duplicate requests.</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6"/>
              </w:rPr>
              <w:t>15 min / async</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Twice-weekly triage</w:t>
            </w:r>
          </w:p>
        </w:tc>
        <w:tc>
          <w:tcPr>
            <w:tcW w:type="dxa" w:w="22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Shared AI SE + rotating AI architect</w:t>
            </w:r>
          </w:p>
        </w:tc>
        <w:tc>
          <w:tcPr>
            <w:tcW w:type="dxa" w:w="411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Score, route, classify urgency, request missing evidence.</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30 min</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6"/>
              </w:rPr>
              <w:t>Weekly solution council</w:t>
            </w:r>
          </w:p>
        </w:tc>
        <w:tc>
          <w:tcPr>
            <w:tcW w:type="dxa" w:w="2250"/>
            <w:tcMar>
              <w:top w:w="80" w:type="dxa"/>
              <w:start w:w="120" w:type="dxa"/>
              <w:bottom w:w="80" w:type="dxa"/>
              <w:end w:w="120" w:type="dxa"/>
            </w:tcMar>
            <w:vAlign w:val="center"/>
          </w:tcPr>
          <w:p>
            <w:pPr>
              <w:spacing w:after="0" w:line="259" w:lineRule="auto"/>
            </w:pPr>
            <w:r>
              <w:rPr>
                <w:rFonts w:ascii="Calibri" w:hAnsi="Calibri"/>
                <w:b w:val="0"/>
                <w:color w:val="18212B"/>
                <w:sz w:val="16"/>
              </w:rPr>
              <w:t>AI, cloud, app, data, integration, security leads as needed</w:t>
            </w:r>
          </w:p>
        </w:tc>
        <w:tc>
          <w:tcPr>
            <w:tcW w:type="dxa" w:w="4110"/>
            <w:tcMar>
              <w:top w:w="80" w:type="dxa"/>
              <w:start w:w="120" w:type="dxa"/>
              <w:bottom w:w="80" w:type="dxa"/>
              <w:end w:w="120" w:type="dxa"/>
            </w:tcMar>
            <w:vAlign w:val="center"/>
          </w:tcPr>
          <w:p>
            <w:pPr>
              <w:spacing w:after="0" w:line="259" w:lineRule="auto"/>
            </w:pPr>
            <w:r>
              <w:rPr>
                <w:rFonts w:ascii="Calibri" w:hAnsi="Calibri"/>
                <w:b w:val="0"/>
                <w:color w:val="18212B"/>
                <w:sz w:val="16"/>
              </w:rPr>
              <w:t>Resolve complex ownership, approve solution shape and exceptions.</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6"/>
              </w:rPr>
              <w:t>45 min</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Monthly portfolio review</w:t>
            </w:r>
          </w:p>
        </w:tc>
        <w:tc>
          <w:tcPr>
            <w:tcW w:type="dxa" w:w="22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Practice leaders + sales leadership</w:t>
            </w:r>
          </w:p>
        </w:tc>
        <w:tc>
          <w:tcPr>
            <w:tcW w:type="dxa" w:w="411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Pipeline, conversion, capacity, disputes, wins/losses, rubric calibration.</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60 min</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6"/>
              </w:rPr>
              <w:t>Quarterly operating-model review</w:t>
            </w:r>
          </w:p>
        </w:tc>
        <w:tc>
          <w:tcPr>
            <w:tcW w:type="dxa" w:w="2250"/>
            <w:tcMar>
              <w:top w:w="80" w:type="dxa"/>
              <w:start w:w="120" w:type="dxa"/>
              <w:bottom w:w="80" w:type="dxa"/>
              <w:end w:w="120" w:type="dxa"/>
            </w:tcMar>
            <w:vAlign w:val="center"/>
          </w:tcPr>
          <w:p>
            <w:pPr>
              <w:spacing w:after="0" w:line="259" w:lineRule="auto"/>
            </w:pPr>
            <w:r>
              <w:rPr>
                <w:rFonts w:ascii="Calibri" w:hAnsi="Calibri"/>
                <w:b w:val="0"/>
                <w:color w:val="18212B"/>
                <w:sz w:val="16"/>
              </w:rPr>
              <w:t>Executive sponsor + practice leadership</w:t>
            </w:r>
          </w:p>
        </w:tc>
        <w:tc>
          <w:tcPr>
            <w:tcW w:type="dxa" w:w="4110"/>
            <w:tcMar>
              <w:top w:w="80" w:type="dxa"/>
              <w:start w:w="120" w:type="dxa"/>
              <w:bottom w:w="80" w:type="dxa"/>
              <w:end w:w="120" w:type="dxa"/>
            </w:tcMar>
            <w:vAlign w:val="center"/>
          </w:tcPr>
          <w:p>
            <w:pPr>
              <w:spacing w:after="0" w:line="259" w:lineRule="auto"/>
            </w:pPr>
            <w:r>
              <w:rPr>
                <w:rFonts w:ascii="Calibri" w:hAnsi="Calibri"/>
                <w:b w:val="0"/>
                <w:color w:val="18212B"/>
                <w:sz w:val="16"/>
              </w:rPr>
              <w:t>Approve thresholds, SLAs, controls and investment changes.</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6"/>
              </w:rPr>
              <w:t>90 min</w:t>
            </w:r>
          </w:p>
        </w:tc>
      </w:tr>
    </w:tbl>
    <w:p>
      <w:pPr>
        <w:spacing w:after="20"/>
      </w:pPr>
    </w:p>
    <w:p>
      <w:pPr>
        <w:pStyle w:val="Heading2"/>
      </w:pPr>
      <w:r>
        <w:t>Non-negotiable ownership rules</w:t>
      </w:r>
    </w:p>
    <w:p>
      <w:pPr>
        <w:pStyle w:val="ListBullet"/>
        <w:spacing w:after="80" w:line="283" w:lineRule="auto"/>
      </w:pPr>
      <w:r>
        <w:rPr>
          <w:rFonts w:ascii="Calibri" w:hAnsi="Calibri"/>
          <w:b w:val="0"/>
          <w:color w:val="18212B"/>
          <w:sz w:val="20"/>
        </w:rPr>
        <w:t xml:space="preserve"> Every record has one accountable Practice of Record, even when several practices share delivery.</w:t>
      </w:r>
    </w:p>
    <w:p>
      <w:pPr>
        <w:pStyle w:val="ListBullet"/>
        <w:spacing w:after="80" w:line="283" w:lineRule="auto"/>
      </w:pPr>
      <w:r>
        <w:rPr>
          <w:rFonts w:ascii="Calibri" w:hAnsi="Calibri"/>
          <w:b w:val="0"/>
          <w:color w:val="18212B"/>
          <w:sz w:val="20"/>
        </w:rPr>
        <w:t xml:space="preserve"> AI Shared participation and opportunity ownership are separate decisions.</w:t>
      </w:r>
    </w:p>
    <w:p>
      <w:pPr>
        <w:pStyle w:val="ListBullet"/>
        <w:spacing w:after="80" w:line="283" w:lineRule="auto"/>
      </w:pPr>
      <w:r>
        <w:rPr>
          <w:rFonts w:ascii="Calibri" w:hAnsi="Calibri"/>
          <w:b w:val="0"/>
          <w:color w:val="18212B"/>
          <w:sz w:val="20"/>
        </w:rPr>
        <w:t xml:space="preserve"> A handoff is not complete until the receiving practice accepts ownership in Salesforce.</w:t>
      </w:r>
    </w:p>
    <w:p>
      <w:pPr>
        <w:pStyle w:val="ListBullet"/>
        <w:spacing w:after="80" w:line="283" w:lineRule="auto"/>
      </w:pPr>
      <w:r>
        <w:rPr>
          <w:rFonts w:ascii="Calibri" w:hAnsi="Calibri"/>
          <w:b w:val="0"/>
          <w:color w:val="18212B"/>
          <w:sz w:val="20"/>
        </w:rPr>
        <w:t xml:space="preserve"> The accountable practice owns the final SOW, estimate, assumptions, delivery model and commercial risk.</w:t>
      </w:r>
    </w:p>
    <w:p>
      <w:pPr>
        <w:pStyle w:val="ListBullet"/>
        <w:spacing w:after="80" w:line="283" w:lineRule="auto"/>
      </w:pPr>
      <w:r>
        <w:rPr>
          <w:rFonts w:ascii="Calibri" w:hAnsi="Calibri"/>
          <w:b w:val="0"/>
          <w:color w:val="18212B"/>
          <w:sz w:val="20"/>
        </w:rPr>
        <w:t xml:space="preserve"> AI architecture cannot be released without an AI-qualified reviewer when AI is rated significant or fundamental.</w:t>
      </w:r>
    </w:p>
    <w:p>
      <w:pPr>
        <w:pStyle w:val="ListBullet"/>
        <w:spacing w:after="80" w:line="283" w:lineRule="auto"/>
      </w:pPr>
      <w:r>
        <w:rPr>
          <w:rFonts w:ascii="Calibri" w:hAnsi="Calibri"/>
          <w:b w:val="0"/>
          <w:color w:val="18212B"/>
          <w:sz w:val="20"/>
        </w:rPr>
        <w:t xml:space="preserve"> Overrides require the approver, reason, affected score and expiration/review date.</w:t>
      </w:r>
    </w:p>
    <w:p>
      <w:pPr>
        <w:pStyle w:val="Heading1"/>
        <w:pageBreakBefore w:val="0"/>
      </w:pPr>
      <w:r>
        <w:t>3. End-to-End Intake Lifecycle</w:t>
      </w:r>
    </w:p>
    <w:p>
      <w:pPr>
        <w:spacing w:after="160"/>
        <w:jc w:val="center"/>
      </w:pPr>
      <w:r>
        <w:drawing>
          <wp:inline xmlns:a="http://schemas.openxmlformats.org/drawingml/2006/main" xmlns:pic="http://schemas.openxmlformats.org/drawingml/2006/picture">
            <wp:extent cx="5989320" cy="2395728"/>
            <wp:docPr id="1" name="Picture 1" descr="Six-stage AI opportunity intake lifecycle: submit, validate, triage, solution, approve and learn."/>
            <wp:cNvGraphicFramePr>
              <a:graphicFrameLocks noChangeAspect="1"/>
            </wp:cNvGraphicFramePr>
            <a:graphic>
              <a:graphicData uri="http://schemas.openxmlformats.org/drawingml/2006/picture">
                <pic:pic>
                  <pic:nvPicPr>
                    <pic:cNvPr id="0" name="lifecycle.png"/>
                    <pic:cNvPicPr/>
                  </pic:nvPicPr>
                  <pic:blipFill>
                    <a:blip r:embed="rId11"/>
                    <a:stretch>
                      <a:fillRect/>
                    </a:stretch>
                  </pic:blipFill>
                  <pic:spPr>
                    <a:xfrm>
                      <a:off x="0" y="0"/>
                      <a:ext cx="5989320" cy="2395728"/>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200"/>
        <w:gridCol w:w="1650"/>
        <w:gridCol w:w="3200"/>
        <w:gridCol w:w="3310"/>
      </w:tblGrid>
      <w:tr>
        <w:trPr>
          <w:tblHeader w:val="true"/>
          <w:cantSplit/>
        </w:trPr>
        <w:tc>
          <w:tcPr>
            <w:tcW w:type="dxa" w:w="1200"/>
            <w:shd w:fill="E8EEF5"/>
            <w:tcMar>
              <w:top w:w="80" w:type="dxa"/>
              <w:start w:w="120" w:type="dxa"/>
              <w:bottom w:w="80" w:type="dxa"/>
              <w:end w:w="120" w:type="dxa"/>
            </w:tcMar>
            <w:vAlign w:val="center"/>
          </w:tcPr>
          <w:p>
            <w:pPr>
              <w:spacing w:after="0"/>
            </w:pPr>
            <w:r>
              <w:rPr>
                <w:rFonts w:ascii="Calibri" w:hAnsi="Calibri"/>
                <w:b/>
                <w:color w:val="0B2545"/>
                <w:sz w:val="16"/>
              </w:rPr>
              <w:t>Stage</w:t>
            </w:r>
          </w:p>
        </w:tc>
        <w:tc>
          <w:tcPr>
            <w:tcW w:type="dxa" w:w="1650"/>
            <w:shd w:fill="E8EEF5"/>
            <w:tcMar>
              <w:top w:w="80" w:type="dxa"/>
              <w:start w:w="120" w:type="dxa"/>
              <w:bottom w:w="80" w:type="dxa"/>
              <w:end w:w="120" w:type="dxa"/>
            </w:tcMar>
            <w:vAlign w:val="center"/>
          </w:tcPr>
          <w:p>
            <w:pPr>
              <w:spacing w:after="0"/>
            </w:pPr>
            <w:r>
              <w:rPr>
                <w:rFonts w:ascii="Calibri" w:hAnsi="Calibri"/>
                <w:b/>
                <w:color w:val="0B2545"/>
                <w:sz w:val="16"/>
              </w:rPr>
              <w:t>Accountable role</w:t>
            </w:r>
          </w:p>
        </w:tc>
        <w:tc>
          <w:tcPr>
            <w:tcW w:type="dxa" w:w="3200"/>
            <w:shd w:fill="E8EEF5"/>
            <w:tcMar>
              <w:top w:w="80" w:type="dxa"/>
              <w:start w:w="120" w:type="dxa"/>
              <w:bottom w:w="80" w:type="dxa"/>
              <w:end w:w="120" w:type="dxa"/>
            </w:tcMar>
            <w:vAlign w:val="center"/>
          </w:tcPr>
          <w:p>
            <w:pPr>
              <w:spacing w:after="0"/>
            </w:pPr>
            <w:r>
              <w:rPr>
                <w:rFonts w:ascii="Calibri" w:hAnsi="Calibri"/>
                <w:b/>
                <w:color w:val="0B2545"/>
                <w:sz w:val="16"/>
              </w:rPr>
              <w:t>Core activity</w:t>
            </w:r>
          </w:p>
        </w:tc>
        <w:tc>
          <w:tcPr>
            <w:tcW w:type="dxa" w:w="3310"/>
            <w:shd w:fill="E8EEF5"/>
            <w:tcMar>
              <w:top w:w="80" w:type="dxa"/>
              <w:start w:w="120" w:type="dxa"/>
              <w:bottom w:w="80" w:type="dxa"/>
              <w:end w:w="120" w:type="dxa"/>
            </w:tcMar>
            <w:vAlign w:val="center"/>
          </w:tcPr>
          <w:p>
            <w:pPr>
              <w:spacing w:after="0"/>
            </w:pPr>
            <w:r>
              <w:rPr>
                <w:rFonts w:ascii="Calibri" w:hAnsi="Calibri"/>
                <w:b/>
                <w:color w:val="0B2545"/>
                <w:sz w:val="16"/>
              </w:rPr>
              <w:t>Exit evidence</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6"/>
              </w:rPr>
              <w:t>0. Pre-intake</w:t>
            </w:r>
          </w:p>
        </w:tc>
        <w:tc>
          <w:tcPr>
            <w:tcW w:type="dxa" w:w="1650"/>
            <w:tcMar>
              <w:top w:w="80" w:type="dxa"/>
              <w:start w:w="120" w:type="dxa"/>
              <w:bottom w:w="80" w:type="dxa"/>
              <w:end w:w="120" w:type="dxa"/>
            </w:tcMar>
            <w:vAlign w:val="center"/>
          </w:tcPr>
          <w:p>
            <w:pPr>
              <w:spacing w:after="0" w:line="259" w:lineRule="auto"/>
            </w:pPr>
            <w:r>
              <w:rPr>
                <w:rFonts w:ascii="Calibri" w:hAnsi="Calibri"/>
                <w:b w:val="0"/>
                <w:color w:val="18212B"/>
                <w:sz w:val="16"/>
              </w:rPr>
              <w:t>Seller / account team</w:t>
            </w:r>
          </w:p>
        </w:tc>
        <w:tc>
          <w:tcPr>
            <w:tcW w:type="dxa" w:w="3200"/>
            <w:tcMar>
              <w:top w:w="80" w:type="dxa"/>
              <w:start w:w="120" w:type="dxa"/>
              <w:bottom w:w="80" w:type="dxa"/>
              <w:end w:w="120" w:type="dxa"/>
            </w:tcMar>
            <w:vAlign w:val="center"/>
          </w:tcPr>
          <w:p>
            <w:pPr>
              <w:spacing w:after="0" w:line="259" w:lineRule="auto"/>
            </w:pPr>
            <w:r>
              <w:rPr>
                <w:rFonts w:ascii="Calibri" w:hAnsi="Calibri"/>
                <w:b w:val="0"/>
                <w:color w:val="18212B"/>
                <w:sz w:val="16"/>
              </w:rPr>
              <w:t>Confirm Salesforce Opportunity exists; avoid duplicate intake.</w:t>
            </w:r>
          </w:p>
        </w:tc>
        <w:tc>
          <w:tcPr>
            <w:tcW w:type="dxa" w:w="3310"/>
            <w:tcMar>
              <w:top w:w="80" w:type="dxa"/>
              <w:start w:w="120" w:type="dxa"/>
              <w:bottom w:w="80" w:type="dxa"/>
              <w:end w:w="120" w:type="dxa"/>
            </w:tcMar>
            <w:vAlign w:val="center"/>
          </w:tcPr>
          <w:p>
            <w:pPr>
              <w:spacing w:after="0" w:line="259" w:lineRule="auto"/>
            </w:pPr>
            <w:r>
              <w:rPr>
                <w:rFonts w:ascii="Calibri" w:hAnsi="Calibri"/>
                <w:b w:val="0"/>
                <w:color w:val="18212B"/>
                <w:sz w:val="16"/>
              </w:rPr>
              <w:t>Opportunity ID; business problem; client contact.</w:t>
            </w:r>
          </w:p>
        </w:tc>
      </w:tr>
      <w:tr>
        <w:trPr>
          <w:cantSplit/>
        </w:trPr>
        <w:tc>
          <w:tcPr>
            <w:tcW w:type="dxa" w:w="1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1. Submit</w:t>
            </w:r>
          </w:p>
        </w:tc>
        <w:tc>
          <w:tcPr>
            <w:tcW w:type="dxa" w:w="16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Seller / SE</w:t>
            </w:r>
          </w:p>
        </w:tc>
        <w:tc>
          <w:tcPr>
            <w:tcW w:type="dxa" w:w="3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Complete minimum viable intake in 8–10 minutes.</w:t>
            </w:r>
          </w:p>
        </w:tc>
        <w:tc>
          <w:tcPr>
            <w:tcW w:type="dxa" w:w="331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New Intake ID; status = Submitted.</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6"/>
              </w:rPr>
              <w:t>2. Validate</w:t>
            </w:r>
          </w:p>
        </w:tc>
        <w:tc>
          <w:tcPr>
            <w:tcW w:type="dxa" w:w="1650"/>
            <w:tcMar>
              <w:top w:w="80" w:type="dxa"/>
              <w:start w:w="120" w:type="dxa"/>
              <w:bottom w:w="80" w:type="dxa"/>
              <w:end w:w="120" w:type="dxa"/>
            </w:tcMar>
            <w:vAlign w:val="center"/>
          </w:tcPr>
          <w:p>
            <w:pPr>
              <w:spacing w:after="0" w:line="259" w:lineRule="auto"/>
            </w:pPr>
            <w:r>
              <w:rPr>
                <w:rFonts w:ascii="Calibri" w:hAnsi="Calibri"/>
                <w:b w:val="0"/>
                <w:color w:val="18212B"/>
                <w:sz w:val="16"/>
              </w:rPr>
              <w:t>Intake coordinator</w:t>
            </w:r>
          </w:p>
        </w:tc>
        <w:tc>
          <w:tcPr>
            <w:tcW w:type="dxa" w:w="3200"/>
            <w:tcMar>
              <w:top w:w="80" w:type="dxa"/>
              <w:start w:w="120" w:type="dxa"/>
              <w:bottom w:w="80" w:type="dxa"/>
              <w:end w:w="120" w:type="dxa"/>
            </w:tcMar>
            <w:vAlign w:val="center"/>
          </w:tcPr>
          <w:p>
            <w:pPr>
              <w:spacing w:after="0" w:line="259" w:lineRule="auto"/>
            </w:pPr>
            <w:r>
              <w:rPr>
                <w:rFonts w:ascii="Calibri" w:hAnsi="Calibri"/>
                <w:b w:val="0"/>
                <w:color w:val="18212B"/>
                <w:sz w:val="16"/>
              </w:rPr>
              <w:t>Check required fields, duplicates, urgency and data sensitivity.</w:t>
            </w:r>
          </w:p>
        </w:tc>
        <w:tc>
          <w:tcPr>
            <w:tcW w:type="dxa" w:w="3310"/>
            <w:tcMar>
              <w:top w:w="80" w:type="dxa"/>
              <w:start w:w="120" w:type="dxa"/>
              <w:bottom w:w="80" w:type="dxa"/>
              <w:end w:w="120" w:type="dxa"/>
            </w:tcMar>
            <w:vAlign w:val="center"/>
          </w:tcPr>
          <w:p>
            <w:pPr>
              <w:spacing w:after="0" w:line="259" w:lineRule="auto"/>
            </w:pPr>
            <w:r>
              <w:rPr>
                <w:rFonts w:ascii="Calibri" w:hAnsi="Calibri"/>
                <w:b w:val="0"/>
                <w:color w:val="18212B"/>
                <w:sz w:val="16"/>
              </w:rPr>
              <w:t>Accepted or Returned for Information.</w:t>
            </w:r>
          </w:p>
        </w:tc>
      </w:tr>
      <w:tr>
        <w:trPr>
          <w:cantSplit/>
        </w:trPr>
        <w:tc>
          <w:tcPr>
            <w:tcW w:type="dxa" w:w="1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3. Triage</w:t>
            </w:r>
          </w:p>
        </w:tc>
        <w:tc>
          <w:tcPr>
            <w:tcW w:type="dxa" w:w="16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Shared AI SE + AI architect</w:t>
            </w:r>
          </w:p>
        </w:tc>
        <w:tc>
          <w:tcPr>
            <w:tcW w:type="dxa" w:w="3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Apply gates, score AI/platform gravity, assign engagement model.</w:t>
            </w:r>
          </w:p>
        </w:tc>
        <w:tc>
          <w:tcPr>
            <w:tcW w:type="dxa" w:w="331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Practice of Record; supporting practices; rationale.</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6"/>
              </w:rPr>
              <w:t>4. Solution</w:t>
            </w:r>
          </w:p>
        </w:tc>
        <w:tc>
          <w:tcPr>
            <w:tcW w:type="dxa" w:w="1650"/>
            <w:tcMar>
              <w:top w:w="80" w:type="dxa"/>
              <w:start w:w="120" w:type="dxa"/>
              <w:bottom w:w="80" w:type="dxa"/>
              <w:end w:w="120" w:type="dxa"/>
            </w:tcMar>
            <w:vAlign w:val="center"/>
          </w:tcPr>
          <w:p>
            <w:pPr>
              <w:spacing w:after="0" w:line="259" w:lineRule="auto"/>
            </w:pPr>
            <w:r>
              <w:rPr>
                <w:rFonts w:ascii="Calibri" w:hAnsi="Calibri"/>
                <w:b w:val="0"/>
                <w:color w:val="18212B"/>
                <w:sz w:val="16"/>
              </w:rPr>
              <w:t>Named solution team</w:t>
            </w:r>
          </w:p>
        </w:tc>
        <w:tc>
          <w:tcPr>
            <w:tcW w:type="dxa" w:w="3200"/>
            <w:tcMar>
              <w:top w:w="80" w:type="dxa"/>
              <w:start w:w="120" w:type="dxa"/>
              <w:bottom w:w="80" w:type="dxa"/>
              <w:end w:w="120" w:type="dxa"/>
            </w:tcMar>
            <w:vAlign w:val="center"/>
          </w:tcPr>
          <w:p>
            <w:pPr>
              <w:spacing w:after="0" w:line="259" w:lineRule="auto"/>
            </w:pPr>
            <w:r>
              <w:rPr>
                <w:rFonts w:ascii="Calibri" w:hAnsi="Calibri"/>
                <w:b w:val="0"/>
                <w:color w:val="18212B"/>
                <w:sz w:val="16"/>
              </w:rPr>
              <w:t>Run discovery, architecture, estimate, risk and commercial reviews.</w:t>
            </w:r>
          </w:p>
        </w:tc>
        <w:tc>
          <w:tcPr>
            <w:tcW w:type="dxa" w:w="3310"/>
            <w:tcMar>
              <w:top w:w="80" w:type="dxa"/>
              <w:start w:w="120" w:type="dxa"/>
              <w:bottom w:w="80" w:type="dxa"/>
              <w:end w:w="120" w:type="dxa"/>
            </w:tcMar>
            <w:vAlign w:val="center"/>
          </w:tcPr>
          <w:p>
            <w:pPr>
              <w:spacing w:after="0" w:line="259" w:lineRule="auto"/>
            </w:pPr>
            <w:r>
              <w:rPr>
                <w:rFonts w:ascii="Calibri" w:hAnsi="Calibri"/>
                <w:b w:val="0"/>
                <w:color w:val="18212B"/>
                <w:sz w:val="16"/>
              </w:rPr>
              <w:t>Solution artifacts; assumptions; estimate; SOW inputs.</w:t>
            </w:r>
          </w:p>
        </w:tc>
      </w:tr>
      <w:tr>
        <w:trPr>
          <w:cantSplit/>
        </w:trPr>
        <w:tc>
          <w:tcPr>
            <w:tcW w:type="dxa" w:w="1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5. Approve</w:t>
            </w:r>
          </w:p>
        </w:tc>
        <w:tc>
          <w:tcPr>
            <w:tcW w:type="dxa" w:w="16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Accountable practice leadership</w:t>
            </w:r>
          </w:p>
        </w:tc>
        <w:tc>
          <w:tcPr>
            <w:tcW w:type="dxa" w:w="320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Approve solution release and exception disposition.</w:t>
            </w:r>
          </w:p>
        </w:tc>
        <w:tc>
          <w:tcPr>
            <w:tcW w:type="dxa" w:w="331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Approved decision with named approvers.</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6"/>
              </w:rPr>
              <w:t>6. Learn</w:t>
            </w:r>
          </w:p>
        </w:tc>
        <w:tc>
          <w:tcPr>
            <w:tcW w:type="dxa" w:w="1650"/>
            <w:tcMar>
              <w:top w:w="80" w:type="dxa"/>
              <w:start w:w="120" w:type="dxa"/>
              <w:bottom w:w="80" w:type="dxa"/>
              <w:end w:w="120" w:type="dxa"/>
            </w:tcMar>
            <w:vAlign w:val="center"/>
          </w:tcPr>
          <w:p>
            <w:pPr>
              <w:spacing w:after="0" w:line="259" w:lineRule="auto"/>
            </w:pPr>
            <w:r>
              <w:rPr>
                <w:rFonts w:ascii="Calibri" w:hAnsi="Calibri"/>
                <w:b w:val="0"/>
                <w:color w:val="18212B"/>
                <w:sz w:val="16"/>
              </w:rPr>
              <w:t>Practice operations</w:t>
            </w:r>
          </w:p>
        </w:tc>
        <w:tc>
          <w:tcPr>
            <w:tcW w:type="dxa" w:w="3200"/>
            <w:tcMar>
              <w:top w:w="80" w:type="dxa"/>
              <w:start w:w="120" w:type="dxa"/>
              <w:bottom w:w="80" w:type="dxa"/>
              <w:end w:w="120" w:type="dxa"/>
            </w:tcMar>
            <w:vAlign w:val="center"/>
          </w:tcPr>
          <w:p>
            <w:pPr>
              <w:spacing w:after="0" w:line="259" w:lineRule="auto"/>
            </w:pPr>
            <w:r>
              <w:rPr>
                <w:rFonts w:ascii="Calibri" w:hAnsi="Calibri"/>
                <w:b w:val="0"/>
                <w:color w:val="18212B"/>
                <w:sz w:val="16"/>
              </w:rPr>
              <w:t>Capture outcome, influence, reuse, win/loss and actual effort.</w:t>
            </w:r>
          </w:p>
        </w:tc>
        <w:tc>
          <w:tcPr>
            <w:tcW w:type="dxa" w:w="3310"/>
            <w:tcMar>
              <w:top w:w="80" w:type="dxa"/>
              <w:start w:w="120" w:type="dxa"/>
              <w:bottom w:w="80" w:type="dxa"/>
              <w:end w:w="120" w:type="dxa"/>
            </w:tcMar>
            <w:vAlign w:val="center"/>
          </w:tcPr>
          <w:p>
            <w:pPr>
              <w:spacing w:after="0" w:line="259" w:lineRule="auto"/>
            </w:pPr>
            <w:r>
              <w:rPr>
                <w:rFonts w:ascii="Calibri" w:hAnsi="Calibri"/>
                <w:b w:val="0"/>
                <w:color w:val="18212B"/>
                <w:sz w:val="16"/>
              </w:rPr>
              <w:t>Closed-loop metrics and rubric updates.</w:t>
            </w:r>
          </w:p>
        </w:tc>
      </w:tr>
    </w:tbl>
    <w:p>
      <w:pPr>
        <w:spacing w:after="20"/>
      </w:pPr>
    </w:p>
    <w:p>
      <w:pPr>
        <w:pStyle w:val="Heading2"/>
      </w:pPr>
      <w:r>
        <w:t>Status model</w:t>
      </w:r>
    </w:p>
    <w:p>
      <w:pPr>
        <w:spacing w:after="100" w:line="283" w:lineRule="auto"/>
        <w:jc w:val="left"/>
      </w:pPr>
      <w:r>
        <w:rPr>
          <w:rFonts w:ascii="Calibri" w:hAnsi="Calibri"/>
          <w:b w:val="0"/>
          <w:i w:val="0"/>
          <w:color w:val="18212B"/>
          <w:sz w:val="20"/>
        </w:rPr>
        <w:t>Use a small, explicit status set: Draft → Submitted → Validation → Awaiting Information → Triage → Routed → Solutioning → Pending Approval → Approved → Closed/Won/Lost/No Pursuit. A status transition should be automated only when its entry and exit conditions are deterministic.</w:t>
      </w:r>
    </w:p>
    <w:p>
      <w:pPr>
        <w:pStyle w:val="Heading2"/>
      </w:pPr>
      <w:r>
        <w:t>Priority classes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800"/>
        <w:gridCol w:w="5400"/>
        <w:gridCol w:w="2160"/>
      </w:tblGrid>
      <w:tr>
        <w:trPr>
          <w:tblHeader w:val="true"/>
          <w:cantSplit/>
        </w:trPr>
        <w:tc>
          <w:tcPr>
            <w:tcW w:type="dxa" w:w="1800"/>
            <w:shd w:fill="E8EEF5"/>
            <w:tcMar>
              <w:top w:w="80" w:type="dxa"/>
              <w:start w:w="120" w:type="dxa"/>
              <w:bottom w:w="80" w:type="dxa"/>
              <w:end w:w="120" w:type="dxa"/>
            </w:tcMar>
            <w:vAlign w:val="center"/>
          </w:tcPr>
          <w:p>
            <w:pPr>
              <w:spacing w:after="0"/>
            </w:pPr>
            <w:r>
              <w:rPr>
                <w:rFonts w:ascii="Calibri" w:hAnsi="Calibri"/>
                <w:b/>
                <w:color w:val="0B2545"/>
                <w:sz w:val="17"/>
              </w:rPr>
              <w:t>Class</w:t>
            </w:r>
          </w:p>
        </w:tc>
        <w:tc>
          <w:tcPr>
            <w:tcW w:type="dxa" w:w="5400"/>
            <w:shd w:fill="E8EEF5"/>
            <w:tcMar>
              <w:top w:w="80" w:type="dxa"/>
              <w:start w:w="120" w:type="dxa"/>
              <w:bottom w:w="80" w:type="dxa"/>
              <w:end w:w="120" w:type="dxa"/>
            </w:tcMar>
            <w:vAlign w:val="center"/>
          </w:tcPr>
          <w:p>
            <w:pPr>
              <w:spacing w:after="0"/>
            </w:pPr>
            <w:r>
              <w:rPr>
                <w:rFonts w:ascii="Calibri" w:hAnsi="Calibri"/>
                <w:b/>
                <w:color w:val="0B2545"/>
                <w:sz w:val="17"/>
              </w:rPr>
              <w:t>Definition</w:t>
            </w:r>
          </w:p>
        </w:tc>
        <w:tc>
          <w:tcPr>
            <w:tcW w:type="dxa" w:w="2160"/>
            <w:shd w:fill="E8EEF5"/>
            <w:tcMar>
              <w:top w:w="80" w:type="dxa"/>
              <w:start w:w="120" w:type="dxa"/>
              <w:bottom w:w="80" w:type="dxa"/>
              <w:end w:w="120" w:type="dxa"/>
            </w:tcMar>
            <w:vAlign w:val="center"/>
          </w:tcPr>
          <w:p>
            <w:pPr>
              <w:spacing w:after="0"/>
            </w:pPr>
            <w:r>
              <w:rPr>
                <w:rFonts w:ascii="Calibri" w:hAnsi="Calibri"/>
                <w:b/>
                <w:color w:val="0B2545"/>
                <w:sz w:val="17"/>
              </w:rPr>
              <w:t>Target response</w:t>
            </w:r>
          </w:p>
        </w:tc>
      </w:tr>
      <w:tr>
        <w:trPr>
          <w:cantSplit/>
        </w:trPr>
        <w:tc>
          <w:tcPr>
            <w:tcW w:type="dxa" w:w="1800"/>
            <w:tcMar>
              <w:top w:w="80" w:type="dxa"/>
              <w:start w:w="120" w:type="dxa"/>
              <w:bottom w:w="80" w:type="dxa"/>
              <w:end w:w="120" w:type="dxa"/>
            </w:tcMar>
            <w:vAlign w:val="center"/>
          </w:tcPr>
          <w:p>
            <w:pPr>
              <w:spacing w:after="0" w:line="259" w:lineRule="auto"/>
            </w:pPr>
            <w:r>
              <w:rPr>
                <w:rFonts w:ascii="Calibri" w:hAnsi="Calibri"/>
                <w:b w:val="0"/>
                <w:color w:val="18212B"/>
                <w:sz w:val="17"/>
              </w:rPr>
              <w:t>P0 – Executive / active incident</w:t>
            </w:r>
          </w:p>
        </w:tc>
        <w:tc>
          <w:tcPr>
            <w:tcW w:type="dxa" w:w="5400"/>
            <w:tcMar>
              <w:top w:w="80" w:type="dxa"/>
              <w:start w:w="120" w:type="dxa"/>
              <w:bottom w:w="80" w:type="dxa"/>
              <w:end w:w="120" w:type="dxa"/>
            </w:tcMar>
            <w:vAlign w:val="center"/>
          </w:tcPr>
          <w:p>
            <w:pPr>
              <w:spacing w:after="0" w:line="259" w:lineRule="auto"/>
            </w:pPr>
            <w:r>
              <w:rPr>
                <w:rFonts w:ascii="Calibri" w:hAnsi="Calibri"/>
                <w:b w:val="0"/>
                <w:color w:val="18212B"/>
                <w:sz w:val="17"/>
              </w:rPr>
              <w:t>Named executive request or material production risk; leadership confirms exception.</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7"/>
              </w:rPr>
              <w:t>Same business day</w:t>
            </w:r>
          </w:p>
        </w:tc>
      </w:tr>
      <w:tr>
        <w:trPr>
          <w:cantSplit/>
        </w:trPr>
        <w:tc>
          <w:tcPr>
            <w:tcW w:type="dxa" w:w="1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P1 – Time-bound pursuit</w:t>
            </w:r>
          </w:p>
        </w:tc>
        <w:tc>
          <w:tcPr>
            <w:tcW w:type="dxa" w:w="54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Client event, RFP, renewal or proposal milestone within 10 business days.</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1 business day</w:t>
            </w:r>
          </w:p>
        </w:tc>
      </w:tr>
      <w:tr>
        <w:trPr>
          <w:cantSplit/>
        </w:trPr>
        <w:tc>
          <w:tcPr>
            <w:tcW w:type="dxa" w:w="1800"/>
            <w:tcMar>
              <w:top w:w="80" w:type="dxa"/>
              <w:start w:w="120" w:type="dxa"/>
              <w:bottom w:w="80" w:type="dxa"/>
              <w:end w:w="120" w:type="dxa"/>
            </w:tcMar>
            <w:vAlign w:val="center"/>
          </w:tcPr>
          <w:p>
            <w:pPr>
              <w:spacing w:after="0" w:line="259" w:lineRule="auto"/>
            </w:pPr>
            <w:r>
              <w:rPr>
                <w:rFonts w:ascii="Calibri" w:hAnsi="Calibri"/>
                <w:b w:val="0"/>
                <w:color w:val="18212B"/>
                <w:sz w:val="17"/>
              </w:rPr>
              <w:t>P2 – Standard qualified pursuit</w:t>
            </w:r>
          </w:p>
        </w:tc>
        <w:tc>
          <w:tcPr>
            <w:tcW w:type="dxa" w:w="5400"/>
            <w:tcMar>
              <w:top w:w="80" w:type="dxa"/>
              <w:start w:w="120" w:type="dxa"/>
              <w:bottom w:w="80" w:type="dxa"/>
              <w:end w:w="120" w:type="dxa"/>
            </w:tcMar>
            <w:vAlign w:val="center"/>
          </w:tcPr>
          <w:p>
            <w:pPr>
              <w:spacing w:after="0" w:line="259" w:lineRule="auto"/>
            </w:pPr>
            <w:r>
              <w:rPr>
                <w:rFonts w:ascii="Calibri" w:hAnsi="Calibri"/>
                <w:b w:val="0"/>
                <w:color w:val="18212B"/>
                <w:sz w:val="17"/>
              </w:rPr>
              <w:t>Real opportunity with sponsor, outcome and plausible timing.</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7"/>
              </w:rPr>
              <w:t>3 business days</w:t>
            </w:r>
          </w:p>
        </w:tc>
      </w:tr>
      <w:tr>
        <w:trPr>
          <w:cantSplit/>
        </w:trPr>
        <w:tc>
          <w:tcPr>
            <w:tcW w:type="dxa" w:w="1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P3 – Explore / nurture</w:t>
            </w:r>
          </w:p>
        </w:tc>
        <w:tc>
          <w:tcPr>
            <w:tcW w:type="dxa" w:w="54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Early idea, no confirmed sponsor or funding, future roadmap.</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5 business days or office hours</w:t>
            </w:r>
          </w:p>
        </w:tc>
      </w:tr>
    </w:tbl>
    <w:p>
      <w:pPr>
        <w:spacing w:after="20"/>
      </w:pPr>
    </w:p>
    <w:p>
      <w:pPr>
        <w:pStyle w:val="Heading1"/>
        <w:pageBreakBefore w:val="0"/>
      </w:pPr>
      <w:r>
        <w:t>4. Qualification Gates and Scoring</w:t>
      </w:r>
    </w:p>
    <w:p>
      <w:pPr>
        <w:pStyle w:val="Heading2"/>
      </w:pPr>
      <w:r>
        <w:t>Gate sequence</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100"/>
        <w:gridCol w:w="5200"/>
        <w:gridCol w:w="2060"/>
      </w:tblGrid>
      <w:tr>
        <w:trPr>
          <w:tblHeader w:val="true"/>
          <w:cantSplit/>
        </w:trPr>
        <w:tc>
          <w:tcPr>
            <w:tcW w:type="dxa" w:w="2100"/>
            <w:shd w:fill="E8EEF5"/>
            <w:tcMar>
              <w:top w:w="80" w:type="dxa"/>
              <w:start w:w="120" w:type="dxa"/>
              <w:bottom w:w="80" w:type="dxa"/>
              <w:end w:w="120" w:type="dxa"/>
            </w:tcMar>
            <w:vAlign w:val="center"/>
          </w:tcPr>
          <w:p>
            <w:pPr>
              <w:spacing w:after="0"/>
            </w:pPr>
            <w:r>
              <w:rPr>
                <w:rFonts w:ascii="Calibri" w:hAnsi="Calibri"/>
                <w:b/>
                <w:color w:val="0B2545"/>
                <w:sz w:val="18"/>
              </w:rPr>
              <w:t>Gate</w:t>
            </w:r>
          </w:p>
        </w:tc>
        <w:tc>
          <w:tcPr>
            <w:tcW w:type="dxa" w:w="5200"/>
            <w:shd w:fill="E8EEF5"/>
            <w:tcMar>
              <w:top w:w="80" w:type="dxa"/>
              <w:start w:w="120" w:type="dxa"/>
              <w:bottom w:w="80" w:type="dxa"/>
              <w:end w:w="120" w:type="dxa"/>
            </w:tcMar>
            <w:vAlign w:val="center"/>
          </w:tcPr>
          <w:p>
            <w:pPr>
              <w:spacing w:after="0"/>
            </w:pPr>
            <w:r>
              <w:rPr>
                <w:rFonts w:ascii="Calibri" w:hAnsi="Calibri"/>
                <w:b/>
                <w:color w:val="0B2545"/>
                <w:sz w:val="18"/>
              </w:rPr>
              <w:t>Question</w:t>
            </w:r>
          </w:p>
        </w:tc>
        <w:tc>
          <w:tcPr>
            <w:tcW w:type="dxa" w:w="2060"/>
            <w:shd w:fill="E8EEF5"/>
            <w:tcMar>
              <w:top w:w="80" w:type="dxa"/>
              <w:start w:w="120" w:type="dxa"/>
              <w:bottom w:w="80" w:type="dxa"/>
              <w:end w:w="120" w:type="dxa"/>
            </w:tcMar>
            <w:vAlign w:val="center"/>
          </w:tcPr>
          <w:p>
            <w:pPr>
              <w:spacing w:after="0"/>
            </w:pPr>
            <w:r>
              <w:rPr>
                <w:rFonts w:ascii="Calibri" w:hAnsi="Calibri"/>
                <w:b/>
                <w:color w:val="0B2545"/>
                <w:sz w:val="18"/>
              </w:rPr>
              <w:t>Disposition</w:t>
            </w:r>
          </w:p>
        </w:tc>
      </w:tr>
      <w:tr>
        <w:trPr>
          <w:cantSplit/>
        </w:trPr>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Gate 1 — Business qualification</w:t>
            </w:r>
          </w:p>
        </w:tc>
        <w:tc>
          <w:tcPr>
            <w:tcW w:type="dxa" w:w="5200"/>
            <w:tcMar>
              <w:top w:w="80" w:type="dxa"/>
              <w:start w:w="120" w:type="dxa"/>
              <w:bottom w:w="80" w:type="dxa"/>
              <w:end w:w="120" w:type="dxa"/>
            </w:tcMar>
            <w:vAlign w:val="center"/>
          </w:tcPr>
          <w:p>
            <w:pPr>
              <w:spacing w:after="0" w:line="259" w:lineRule="auto"/>
            </w:pPr>
            <w:r>
              <w:rPr>
                <w:rFonts w:ascii="Calibri" w:hAnsi="Calibri"/>
                <w:b w:val="0"/>
                <w:color w:val="18212B"/>
                <w:sz w:val="18"/>
              </w:rPr>
              <w:t>Is there a defined problem, sponsor, outcome, urgency, buying path and plausible funding?</w:t>
            </w:r>
          </w:p>
        </w:tc>
        <w:tc>
          <w:tcPr>
            <w:tcW w:type="dxa" w:w="2060"/>
            <w:tcMar>
              <w:top w:w="80" w:type="dxa"/>
              <w:start w:w="120" w:type="dxa"/>
              <w:bottom w:w="80" w:type="dxa"/>
              <w:end w:w="120" w:type="dxa"/>
            </w:tcMar>
            <w:vAlign w:val="center"/>
          </w:tcPr>
          <w:p>
            <w:pPr>
              <w:spacing w:after="0" w:line="259" w:lineRule="auto"/>
            </w:pPr>
            <w:r>
              <w:rPr>
                <w:rFonts w:ascii="Calibri" w:hAnsi="Calibri"/>
                <w:b w:val="0"/>
                <w:color w:val="18212B"/>
                <w:sz w:val="18"/>
              </w:rPr>
              <w:t>Advance / nurture / reject</w:t>
            </w:r>
          </w:p>
        </w:tc>
      </w:tr>
      <w:tr>
        <w:trPr>
          <w:cantSplit/>
        </w:trPr>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Gate 2 — AI suitability</w:t>
            </w:r>
          </w:p>
        </w:tc>
        <w:tc>
          <w:tcPr>
            <w:tcW w:type="dxa" w:w="5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Would AI outperform a simpler workflow, rules engine, search or analytics approach?</w:t>
            </w:r>
          </w:p>
        </w:tc>
        <w:tc>
          <w:tcPr>
            <w:tcW w:type="dxa" w:w="20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AI fit / non-AI route / discovery required</w:t>
            </w:r>
          </w:p>
        </w:tc>
      </w:tr>
      <w:tr>
        <w:trPr>
          <w:cantSplit/>
        </w:trPr>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Gate 3 — Technical feasibility</w:t>
            </w:r>
          </w:p>
        </w:tc>
        <w:tc>
          <w:tcPr>
            <w:tcW w:type="dxa" w:w="5200"/>
            <w:tcMar>
              <w:top w:w="80" w:type="dxa"/>
              <w:start w:w="120" w:type="dxa"/>
              <w:bottom w:w="80" w:type="dxa"/>
              <w:end w:w="120" w:type="dxa"/>
            </w:tcMar>
            <w:vAlign w:val="center"/>
          </w:tcPr>
          <w:p>
            <w:pPr>
              <w:spacing w:after="0" w:line="259" w:lineRule="auto"/>
            </w:pPr>
            <w:r>
              <w:rPr>
                <w:rFonts w:ascii="Calibri" w:hAnsi="Calibri"/>
                <w:b w:val="0"/>
                <w:color w:val="18212B"/>
                <w:sz w:val="18"/>
              </w:rPr>
              <w:t>Are data, model, integration, security, hosting, performance and governance constraints understood?</w:t>
            </w:r>
          </w:p>
        </w:tc>
        <w:tc>
          <w:tcPr>
            <w:tcW w:type="dxa" w:w="2060"/>
            <w:tcMar>
              <w:top w:w="80" w:type="dxa"/>
              <w:start w:w="120" w:type="dxa"/>
              <w:bottom w:w="80" w:type="dxa"/>
              <w:end w:w="120" w:type="dxa"/>
            </w:tcMar>
            <w:vAlign w:val="center"/>
          </w:tcPr>
          <w:p>
            <w:pPr>
              <w:spacing w:after="0" w:line="259" w:lineRule="auto"/>
            </w:pPr>
            <w:r>
              <w:rPr>
                <w:rFonts w:ascii="Calibri" w:hAnsi="Calibri"/>
                <w:b w:val="0"/>
                <w:color w:val="18212B"/>
                <w:sz w:val="18"/>
              </w:rPr>
              <w:t>Feasible / conditional / blocked</w:t>
            </w:r>
          </w:p>
        </w:tc>
      </w:tr>
      <w:tr>
        <w:trPr>
          <w:cantSplit/>
        </w:trPr>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Gate 4 — Delivery feasibility</w:t>
            </w:r>
          </w:p>
        </w:tc>
        <w:tc>
          <w:tcPr>
            <w:tcW w:type="dxa" w:w="5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Can TGS staff, govern and commercially stand behind the solution?</w:t>
            </w:r>
          </w:p>
        </w:tc>
        <w:tc>
          <w:tcPr>
            <w:tcW w:type="dxa" w:w="20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Deliver / partner / no-bid / validate</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POWER QUESTION  </w:t>
            </w:r>
            <w:r>
              <w:rPr>
                <w:rFonts w:ascii="Calibri" w:hAnsi="Calibri"/>
                <w:b/>
                <w:color w:val="0B2545"/>
                <w:sz w:val="20"/>
              </w:rPr>
              <w:t>If AI were removed, would the client still pursue essentially the same initiative? “Yes, almost unchanged” suggests another practice; “yes, but reduced” suggests co-solutioning; “probably not” or “absolutely not” suggests AI-led ownership.</w:t>
            </w:r>
          </w:p>
        </w:tc>
      </w:tr>
    </w:tbl>
    <w:p>
      <w:pPr>
        <w:spacing w:after="20"/>
      </w:pPr>
    </w:p>
    <w:p>
      <w:pPr>
        <w:pStyle w:val="Heading2"/>
      </w:pPr>
      <w:r>
        <w:t>AI Ownership Score — 0 to 24</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400"/>
        <w:gridCol w:w="1740"/>
        <w:gridCol w:w="1740"/>
        <w:gridCol w:w="1740"/>
        <w:gridCol w:w="1740"/>
      </w:tblGrid>
      <w:tr>
        <w:trPr>
          <w:tblHeader w:val="true"/>
          <w:cantSplit/>
        </w:trPr>
        <w:tc>
          <w:tcPr>
            <w:tcW w:type="dxa" w:w="2400"/>
            <w:shd w:fill="E8EEF5"/>
            <w:tcMar>
              <w:top w:w="80" w:type="dxa"/>
              <w:start w:w="120" w:type="dxa"/>
              <w:bottom w:w="80" w:type="dxa"/>
              <w:end w:w="120" w:type="dxa"/>
            </w:tcMar>
            <w:vAlign w:val="center"/>
          </w:tcPr>
          <w:p>
            <w:pPr>
              <w:spacing w:after="0"/>
            </w:pPr>
            <w:r>
              <w:rPr>
                <w:rFonts w:ascii="Calibri" w:hAnsi="Calibri"/>
                <w:b/>
                <w:color w:val="0B2545"/>
                <w:sz w:val="15"/>
              </w:rPr>
              <w:t>Factor</w:t>
            </w:r>
          </w:p>
        </w:tc>
        <w:tc>
          <w:tcPr>
            <w:tcW w:type="dxa" w:w="1740"/>
            <w:shd w:fill="E8EEF5"/>
            <w:tcMar>
              <w:top w:w="80" w:type="dxa"/>
              <w:start w:w="120" w:type="dxa"/>
              <w:bottom w:w="80" w:type="dxa"/>
              <w:end w:w="120" w:type="dxa"/>
            </w:tcMar>
            <w:vAlign w:val="center"/>
          </w:tcPr>
          <w:p>
            <w:pPr>
              <w:spacing w:after="0"/>
            </w:pPr>
            <w:r>
              <w:rPr>
                <w:rFonts w:ascii="Calibri" w:hAnsi="Calibri"/>
                <w:b/>
                <w:color w:val="0B2545"/>
                <w:sz w:val="15"/>
              </w:rPr>
              <w:t>0</w:t>
            </w:r>
          </w:p>
        </w:tc>
        <w:tc>
          <w:tcPr>
            <w:tcW w:type="dxa" w:w="1740"/>
            <w:shd w:fill="E8EEF5"/>
            <w:tcMar>
              <w:top w:w="80" w:type="dxa"/>
              <w:start w:w="120" w:type="dxa"/>
              <w:bottom w:w="80" w:type="dxa"/>
              <w:end w:w="120" w:type="dxa"/>
            </w:tcMar>
            <w:vAlign w:val="center"/>
          </w:tcPr>
          <w:p>
            <w:pPr>
              <w:spacing w:after="0"/>
            </w:pPr>
            <w:r>
              <w:rPr>
                <w:rFonts w:ascii="Calibri" w:hAnsi="Calibri"/>
                <w:b/>
                <w:color w:val="0B2545"/>
                <w:sz w:val="15"/>
              </w:rPr>
              <w:t>1</w:t>
            </w:r>
          </w:p>
        </w:tc>
        <w:tc>
          <w:tcPr>
            <w:tcW w:type="dxa" w:w="1740"/>
            <w:shd w:fill="E8EEF5"/>
            <w:tcMar>
              <w:top w:w="80" w:type="dxa"/>
              <w:start w:w="120" w:type="dxa"/>
              <w:bottom w:w="80" w:type="dxa"/>
              <w:end w:w="120" w:type="dxa"/>
            </w:tcMar>
            <w:vAlign w:val="center"/>
          </w:tcPr>
          <w:p>
            <w:pPr>
              <w:spacing w:after="0"/>
            </w:pPr>
            <w:r>
              <w:rPr>
                <w:rFonts w:ascii="Calibri" w:hAnsi="Calibri"/>
                <w:b/>
                <w:color w:val="0B2545"/>
                <w:sz w:val="15"/>
              </w:rPr>
              <w:t>2</w:t>
            </w:r>
          </w:p>
        </w:tc>
        <w:tc>
          <w:tcPr>
            <w:tcW w:type="dxa" w:w="1740"/>
            <w:shd w:fill="E8EEF5"/>
            <w:tcMar>
              <w:top w:w="80" w:type="dxa"/>
              <w:start w:w="120" w:type="dxa"/>
              <w:bottom w:w="80" w:type="dxa"/>
              <w:end w:w="120" w:type="dxa"/>
            </w:tcMar>
            <w:vAlign w:val="center"/>
          </w:tcPr>
          <w:p>
            <w:pPr>
              <w:spacing w:after="0"/>
            </w:pPr>
            <w:r>
              <w:rPr>
                <w:rFonts w:ascii="Calibri" w:hAnsi="Calibri"/>
                <w:b/>
                <w:color w:val="0B2545"/>
                <w:sz w:val="15"/>
              </w:rPr>
              <w:t>3</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AI criticality</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Incidental</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Helpful</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Significant</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Essential</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engineering complexity</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None/trivial</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Configured</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Custom components</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Advanced/custom platform</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Model / LLM architecture</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None</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Single standard model</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Routing/evaluation</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Multi-model/customized</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Agentic architecture</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None</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Single assistant</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Multi-step agent</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Enterprise multi-agent</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Governance requirement</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None</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Existing controls</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Control extensions</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New enterprise framework</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Integration complexity</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Minimal</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1–2 interfaces</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Multiple systems</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Enterprise / event-driven</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AI delivery effort</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&lt;10%</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10–30%</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30–50%</w:t>
            </w:r>
          </w:p>
        </w:tc>
        <w:tc>
          <w:tcPr>
            <w:tcW w:type="dxa" w:w="1740"/>
            <w:tcMar>
              <w:top w:w="80" w:type="dxa"/>
              <w:start w:w="120" w:type="dxa"/>
              <w:bottom w:w="80" w:type="dxa"/>
              <w:end w:w="120" w:type="dxa"/>
            </w:tcMar>
            <w:vAlign w:val="center"/>
          </w:tcPr>
          <w:p>
            <w:pPr>
              <w:spacing w:after="0" w:line="259" w:lineRule="auto"/>
            </w:pPr>
            <w:r>
              <w:rPr>
                <w:rFonts w:ascii="Calibri" w:hAnsi="Calibri"/>
                <w:b w:val="0"/>
                <w:color w:val="18212B"/>
                <w:sz w:val="15"/>
              </w:rPr>
              <w:t>&gt;50%</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risk / materiality</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Low</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Moderate</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High</w:t>
            </w:r>
          </w:p>
        </w:tc>
        <w:tc>
          <w:tcPr>
            <w:tcW w:type="dxa" w:w="174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Mission-critical / regulated</w:t>
            </w:r>
          </w:p>
        </w:tc>
      </w:tr>
    </w:tbl>
    <w:p>
      <w:pPr>
        <w:spacing w:after="20"/>
      </w:pPr>
    </w:p>
    <w:p>
      <w:pPr>
        <w:pStyle w:val="Heading2"/>
      </w:pPr>
      <w:r>
        <w:t>AI engagement thresholds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200"/>
        <w:gridCol w:w="2100"/>
        <w:gridCol w:w="6060"/>
      </w:tblGrid>
      <w:tr>
        <w:trPr>
          <w:tblHeader w:val="true"/>
          <w:cantSplit/>
        </w:trPr>
        <w:tc>
          <w:tcPr>
            <w:tcW w:type="dxa" w:w="1200"/>
            <w:shd w:fill="E8EEF5"/>
            <w:tcMar>
              <w:top w:w="80" w:type="dxa"/>
              <w:start w:w="120" w:type="dxa"/>
              <w:bottom w:w="80" w:type="dxa"/>
              <w:end w:w="120" w:type="dxa"/>
            </w:tcMar>
            <w:vAlign w:val="center"/>
          </w:tcPr>
          <w:p>
            <w:pPr>
              <w:spacing w:after="0"/>
            </w:pPr>
            <w:r>
              <w:rPr>
                <w:rFonts w:ascii="Calibri" w:hAnsi="Calibri"/>
                <w:b/>
                <w:color w:val="0B2545"/>
                <w:sz w:val="18"/>
              </w:rPr>
              <w:t>Score</w:t>
            </w:r>
          </w:p>
        </w:tc>
        <w:tc>
          <w:tcPr>
            <w:tcW w:type="dxa" w:w="2100"/>
            <w:shd w:fill="E8EEF5"/>
            <w:tcMar>
              <w:top w:w="80" w:type="dxa"/>
              <w:start w:w="120" w:type="dxa"/>
              <w:bottom w:w="80" w:type="dxa"/>
              <w:end w:w="120" w:type="dxa"/>
            </w:tcMar>
            <w:vAlign w:val="center"/>
          </w:tcPr>
          <w:p>
            <w:pPr>
              <w:spacing w:after="0"/>
            </w:pPr>
            <w:r>
              <w:rPr>
                <w:rFonts w:ascii="Calibri" w:hAnsi="Calibri"/>
                <w:b/>
                <w:color w:val="0B2545"/>
                <w:sz w:val="18"/>
              </w:rPr>
              <w:t>Default result</w:t>
            </w:r>
          </w:p>
        </w:tc>
        <w:tc>
          <w:tcPr>
            <w:tcW w:type="dxa" w:w="6060"/>
            <w:shd w:fill="E8EEF5"/>
            <w:tcMar>
              <w:top w:w="80" w:type="dxa"/>
              <w:start w:w="120" w:type="dxa"/>
              <w:bottom w:w="80" w:type="dxa"/>
              <w:end w:w="120" w:type="dxa"/>
            </w:tcMar>
            <w:vAlign w:val="center"/>
          </w:tcPr>
          <w:p>
            <w:pPr>
              <w:spacing w:after="0"/>
            </w:pPr>
            <w:r>
              <w:rPr>
                <w:rFonts w:ascii="Calibri" w:hAnsi="Calibri"/>
                <w:b/>
                <w:color w:val="0B2545"/>
                <w:sz w:val="18"/>
              </w:rPr>
              <w:t>Required participation</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8"/>
              </w:rPr>
              <w:t>0–6</w:t>
            </w:r>
          </w:p>
        </w:tc>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HANDOFF or CONSULT</w:t>
            </w:r>
          </w:p>
        </w:tc>
        <w:tc>
          <w:tcPr>
            <w:tcW w:type="dxa" w:w="6060"/>
            <w:tcMar>
              <w:top w:w="80" w:type="dxa"/>
              <w:start w:w="120" w:type="dxa"/>
              <w:bottom w:w="80" w:type="dxa"/>
              <w:end w:w="120" w:type="dxa"/>
            </w:tcMar>
            <w:vAlign w:val="center"/>
          </w:tcPr>
          <w:p>
            <w:pPr>
              <w:spacing w:after="0" w:line="259" w:lineRule="auto"/>
            </w:pPr>
            <w:r>
              <w:rPr>
                <w:rFonts w:ascii="Calibri" w:hAnsi="Calibri"/>
                <w:b w:val="0"/>
                <w:color w:val="18212B"/>
                <w:sz w:val="18"/>
              </w:rPr>
              <w:t>AI reviewer optional unless risk trigger applies.</w:t>
            </w:r>
          </w:p>
        </w:tc>
      </w:tr>
      <w:tr>
        <w:trPr>
          <w:cantSplit/>
        </w:trPr>
        <w:tc>
          <w:tcPr>
            <w:tcW w:type="dxa" w:w="1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7–13</w:t>
            </w:r>
          </w:p>
        </w:tc>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CO-SOLUTION</w:t>
            </w:r>
          </w:p>
        </w:tc>
        <w:tc>
          <w:tcPr>
            <w:tcW w:type="dxa" w:w="60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AI architect or qualified AI SE joins discovery and review.</w:t>
            </w:r>
          </w:p>
        </w:tc>
      </w:tr>
      <w:tr>
        <w:trPr>
          <w:cantSplit/>
        </w:trPr>
        <w:tc>
          <w:tcPr>
            <w:tcW w:type="dxa" w:w="1200"/>
            <w:tcMar>
              <w:top w:w="80" w:type="dxa"/>
              <w:start w:w="120" w:type="dxa"/>
              <w:bottom w:w="80" w:type="dxa"/>
              <w:end w:w="120" w:type="dxa"/>
            </w:tcMar>
            <w:vAlign w:val="center"/>
          </w:tcPr>
          <w:p>
            <w:pPr>
              <w:spacing w:after="0" w:line="259" w:lineRule="auto"/>
            </w:pPr>
            <w:r>
              <w:rPr>
                <w:rFonts w:ascii="Calibri" w:hAnsi="Calibri"/>
                <w:b w:val="0"/>
                <w:color w:val="18212B"/>
                <w:sz w:val="18"/>
              </w:rPr>
              <w:t>14–18</w:t>
            </w:r>
          </w:p>
        </w:tc>
        <w:tc>
          <w:tcPr>
            <w:tcW w:type="dxa" w:w="2100"/>
            <w:tcMar>
              <w:top w:w="80" w:type="dxa"/>
              <w:start w:w="120" w:type="dxa"/>
              <w:bottom w:w="80" w:type="dxa"/>
              <w:end w:w="120" w:type="dxa"/>
            </w:tcMar>
            <w:vAlign w:val="center"/>
          </w:tcPr>
          <w:p>
            <w:pPr>
              <w:spacing w:after="0" w:line="259" w:lineRule="auto"/>
            </w:pPr>
            <w:r>
              <w:rPr>
                <w:rFonts w:ascii="Calibri" w:hAnsi="Calibri"/>
                <w:b w:val="0"/>
                <w:color w:val="18212B"/>
                <w:sz w:val="18"/>
              </w:rPr>
              <w:t>AI-LED</w:t>
            </w:r>
          </w:p>
        </w:tc>
        <w:tc>
          <w:tcPr>
            <w:tcW w:type="dxa" w:w="6060"/>
            <w:tcMar>
              <w:top w:w="80" w:type="dxa"/>
              <w:start w:w="120" w:type="dxa"/>
              <w:bottom w:w="80" w:type="dxa"/>
              <w:end w:w="120" w:type="dxa"/>
            </w:tcMar>
            <w:vAlign w:val="center"/>
          </w:tcPr>
          <w:p>
            <w:pPr>
              <w:spacing w:after="0" w:line="259" w:lineRule="auto"/>
            </w:pPr>
            <w:r>
              <w:rPr>
                <w:rFonts w:ascii="Calibri" w:hAnsi="Calibri"/>
                <w:b w:val="0"/>
                <w:color w:val="18212B"/>
                <w:sz w:val="18"/>
              </w:rPr>
              <w:t>AI Shared is presumptive Practice of Record; platform practice supports.</w:t>
            </w:r>
          </w:p>
        </w:tc>
      </w:tr>
      <w:tr>
        <w:trPr>
          <w:cantSplit/>
        </w:trPr>
        <w:tc>
          <w:tcPr>
            <w:tcW w:type="dxa" w:w="1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19–24</w:t>
            </w:r>
          </w:p>
        </w:tc>
        <w:tc>
          <w:tcPr>
            <w:tcW w:type="dxa" w:w="21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STRATEGIC AI</w:t>
            </w:r>
          </w:p>
        </w:tc>
        <w:tc>
          <w:tcPr>
            <w:tcW w:type="dxa" w:w="60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AI Shared leadership review; governance/security review mandatory.</w:t>
            </w:r>
          </w:p>
        </w:tc>
      </w:tr>
    </w:tbl>
    <w:p>
      <w:pPr>
        <w:spacing w:after="20"/>
      </w:pPr>
    </w:p>
    <w:p>
      <w:pPr>
        <w:spacing w:after="100" w:line="283" w:lineRule="auto"/>
        <w:jc w:val="left"/>
      </w:pPr>
      <w:r>
        <w:rPr>
          <w:rFonts w:ascii="Calibri" w:hAnsi="Calibri"/>
          <w:b w:val="0"/>
          <w:i w:val="0"/>
          <w:color w:val="18212B"/>
          <w:sz w:val="20"/>
        </w:rPr>
        <w:t>Thresholds are starting defaults, not immutable truth. Regulated data, client-mandated platform ownership, material delivery risk or a dominant non-AI SOW may override the score—but only through a recorded exception.</w:t>
      </w:r>
    </w:p>
    <w:p>
      <w:pPr>
        <w:pStyle w:val="Heading2"/>
      </w:pPr>
      <w:r>
        <w:t>Platform, delivery and commercial gravity</w:t>
      </w:r>
    </w:p>
    <w:p>
      <w:pPr>
        <w:spacing w:after="160"/>
        <w:jc w:val="center"/>
      </w:pPr>
      <w:r>
        <w:drawing>
          <wp:inline xmlns:a="http://schemas.openxmlformats.org/drawingml/2006/main" xmlns:pic="http://schemas.openxmlformats.org/drawingml/2006/picture">
            <wp:extent cx="5303520" cy="3606394"/>
            <wp:docPr id="2" name="Picture 2" descr="Two-by-two routing matrix comparing AI gravity with platform gravity."/>
            <wp:cNvGraphicFramePr>
              <a:graphicFrameLocks noChangeAspect="1"/>
            </wp:cNvGraphicFramePr>
            <a:graphic>
              <a:graphicData uri="http://schemas.openxmlformats.org/drawingml/2006/picture">
                <pic:pic>
                  <pic:nvPicPr>
                    <pic:cNvPr id="0" name="ownership_matrix.png"/>
                    <pic:cNvPicPr/>
                  </pic:nvPicPr>
                  <pic:blipFill>
                    <a:blip r:embed="rId12"/>
                    <a:stretch>
                      <a:fillRect/>
                    </a:stretch>
                  </pic:blipFill>
                  <pic:spPr>
                    <a:xfrm>
                      <a:off x="0" y="0"/>
                      <a:ext cx="5303520" cy="3606394"/>
                    </a:xfrm>
                    <a:prstGeom prst="rect"/>
                  </pic:spPr>
                </pic:pic>
              </a:graphicData>
            </a:graphic>
          </wp:inline>
        </w:drawing>
      </w:r>
    </w:p>
    <w:p>
      <w:pPr>
        <w:pStyle w:val="ListBullet"/>
        <w:spacing w:after="80" w:line="283" w:lineRule="auto"/>
      </w:pPr>
      <w:r>
        <w:rPr>
          <w:rFonts w:ascii="Calibri" w:hAnsi="Calibri"/>
          <w:b/>
          <w:color w:val="18212B"/>
          <w:sz w:val="20"/>
        </w:rPr>
        <w:t xml:space="preserve"> Platform Gravity:</w:t>
      </w:r>
      <w:r>
        <w:rPr>
          <w:rFonts w:ascii="Calibri" w:hAnsi="Calibri"/>
          <w:b w:val="0"/>
          <w:color w:val="18212B"/>
          <w:sz w:val="20"/>
        </w:rPr>
        <w:t xml:space="preserve"> percentage of scope dedicated to cloud, platform, data platform or OpenShift services plus the architectural dependency on that platform.</w:t>
      </w:r>
    </w:p>
    <w:p>
      <w:pPr>
        <w:pStyle w:val="ListBullet"/>
        <w:spacing w:after="80" w:line="283" w:lineRule="auto"/>
      </w:pPr>
      <w:r>
        <w:rPr>
          <w:rFonts w:ascii="Calibri" w:hAnsi="Calibri"/>
          <w:b/>
          <w:color w:val="18212B"/>
          <w:sz w:val="20"/>
        </w:rPr>
        <w:t xml:space="preserve"> Delivery Gravity:</w:t>
      </w:r>
      <w:r>
        <w:rPr>
          <w:rFonts w:ascii="Calibri" w:hAnsi="Calibri"/>
          <w:b w:val="0"/>
          <w:color w:val="18212B"/>
          <w:sz w:val="20"/>
        </w:rPr>
        <w:t xml:space="preserve"> estimated work-effort mix across AI/ML, applications, data, cloud, integration, DevSecOps, security and change/adoption.</w:t>
      </w:r>
    </w:p>
    <w:p>
      <w:pPr>
        <w:pStyle w:val="ListBullet"/>
        <w:spacing w:after="80" w:line="283" w:lineRule="auto"/>
      </w:pPr>
      <w:r>
        <w:rPr>
          <w:rFonts w:ascii="Calibri" w:hAnsi="Calibri"/>
          <w:b/>
          <w:color w:val="18212B"/>
          <w:sz w:val="20"/>
        </w:rPr>
        <w:t xml:space="preserve"> Commercial Gravity:</w:t>
      </w:r>
      <w:r>
        <w:rPr>
          <w:rFonts w:ascii="Calibri" w:hAnsi="Calibri"/>
          <w:b w:val="0"/>
          <w:color w:val="18212B"/>
          <w:sz w:val="20"/>
        </w:rPr>
        <w:t xml:space="preserve"> share of services revenue, margin, contractual accountability and delivery exposure attributable to each practice.</w:t>
      </w:r>
    </w:p>
    <w:p>
      <w:pPr>
        <w:pStyle w:val="Heading2"/>
      </w:pPr>
      <w:r>
        <w:t>Recommended routing algorithm</w:t>
      </w:r>
    </w:p>
    <w:p>
      <w:pPr>
        <w:pStyle w:val="ListNumber"/>
        <w:spacing w:after="100" w:line="283" w:lineRule="auto"/>
      </w:pPr>
      <w:r>
        <w:rPr>
          <w:rFonts w:ascii="Calibri" w:hAnsi="Calibri"/>
          <w:b w:val="0"/>
          <w:color w:val="18212B"/>
          <w:sz w:val="20"/>
        </w:rPr>
        <w:t>Apply the four qualification gates. Stop or nurture records that do not pass business qualification.</w:t>
      </w:r>
    </w:p>
    <w:p>
      <w:pPr>
        <w:pStyle w:val="ListNumber"/>
        <w:spacing w:after="100" w:line="283" w:lineRule="auto"/>
      </w:pPr>
      <w:r>
        <w:rPr>
          <w:rFonts w:ascii="Calibri" w:hAnsi="Calibri"/>
          <w:b w:val="0"/>
          <w:color w:val="18212B"/>
          <w:sz w:val="20"/>
        </w:rPr>
        <w:t>Calculate AI Ownership Score and identify any mandatory risk triggers.</w:t>
      </w:r>
    </w:p>
    <w:p>
      <w:pPr>
        <w:pStyle w:val="ListNumber"/>
        <w:spacing w:after="100" w:line="283" w:lineRule="auto"/>
      </w:pPr>
      <w:r>
        <w:rPr>
          <w:rFonts w:ascii="Calibri" w:hAnsi="Calibri"/>
          <w:b w:val="0"/>
          <w:color w:val="18212B"/>
          <w:sz w:val="20"/>
        </w:rPr>
        <w:t>Estimate platform, delivery and commercial gravity using percentages that total 100% within each category.</w:t>
      </w:r>
    </w:p>
    <w:p>
      <w:pPr>
        <w:pStyle w:val="ListNumber"/>
        <w:spacing w:after="100" w:line="283" w:lineRule="auto"/>
      </w:pPr>
      <w:r>
        <w:rPr>
          <w:rFonts w:ascii="Calibri" w:hAnsi="Calibri"/>
          <w:b w:val="0"/>
          <w:color w:val="18212B"/>
          <w:sz w:val="20"/>
        </w:rPr>
        <w:t>Assign a provisional engagement model: OWN, CO-SOLUTION, CONSULT or HANDOFF.</w:t>
      </w:r>
    </w:p>
    <w:p>
      <w:pPr>
        <w:pStyle w:val="ListNumber"/>
        <w:spacing w:after="100" w:line="283" w:lineRule="auto"/>
      </w:pPr>
      <w:r>
        <w:rPr>
          <w:rFonts w:ascii="Calibri" w:hAnsi="Calibri"/>
          <w:b w:val="0"/>
          <w:color w:val="18212B"/>
          <w:sz w:val="20"/>
        </w:rPr>
        <w:t>Name the Practice of Record using the dominant business outcome, then use delivery and commercial gravity as tie-breakers.</w:t>
      </w:r>
    </w:p>
    <w:p>
      <w:pPr>
        <w:pStyle w:val="ListNumber"/>
        <w:spacing w:after="100" w:line="283" w:lineRule="auto"/>
      </w:pPr>
      <w:r>
        <w:rPr>
          <w:rFonts w:ascii="Calibri" w:hAnsi="Calibri"/>
          <w:b w:val="0"/>
          <w:color w:val="18212B"/>
          <w:sz w:val="20"/>
        </w:rPr>
        <w:t>Identify supporting practices and required reviewers.</w:t>
      </w:r>
    </w:p>
    <w:p>
      <w:pPr>
        <w:pStyle w:val="ListNumber"/>
        <w:spacing w:after="100" w:line="283" w:lineRule="auto"/>
      </w:pPr>
      <w:r>
        <w:rPr>
          <w:rFonts w:ascii="Calibri" w:hAnsi="Calibri"/>
          <w:b w:val="0"/>
          <w:color w:val="18212B"/>
          <w:sz w:val="20"/>
        </w:rPr>
        <w:t>Record decision, rationale, approver and acceptance timestamp in Salesforce.</w:t>
      </w:r>
    </w:p>
    <w:p>
      <w:pPr>
        <w:pStyle w:val="ListNumber"/>
        <w:spacing w:after="100" w:line="283" w:lineRule="auto"/>
      </w:pPr>
      <w:r>
        <w:rPr>
          <w:rFonts w:ascii="Calibri" w:hAnsi="Calibri"/>
          <w:b w:val="0"/>
          <w:color w:val="18212B"/>
          <w:sz w:val="20"/>
        </w:rPr>
        <w:t>Escalate only ties, exceptions, strategic pursuits or material-risk cases to the Solution Council.</w:t>
      </w:r>
    </w:p>
    <w:p>
      <w:pPr>
        <w:pStyle w:val="Heading1"/>
        <w:pageBreakBefore w:val="0"/>
      </w:pPr>
      <w:r>
        <w:t>5. Practice Routing Rules</w:t>
      </w:r>
    </w:p>
    <w:p>
      <w:pPr>
        <w:pStyle w:val="Heading2"/>
      </w:pPr>
      <w:r>
        <w:t>AI Shared Practice — primary ownership indicators</w:t>
      </w:r>
    </w:p>
    <w:p>
      <w:pPr>
        <w:pStyle w:val="ListBullet"/>
        <w:spacing w:after="80" w:line="283" w:lineRule="auto"/>
      </w:pPr>
      <w:r>
        <w:rPr>
          <w:rFonts w:ascii="Calibri" w:hAnsi="Calibri"/>
          <w:b w:val="0"/>
          <w:color w:val="18212B"/>
          <w:sz w:val="20"/>
        </w:rPr>
        <w:t xml:space="preserve"> Enterprise GenAI or agent platform</w:t>
      </w:r>
    </w:p>
    <w:p>
      <w:pPr>
        <w:pStyle w:val="ListBullet"/>
        <w:spacing w:after="80" w:line="283" w:lineRule="auto"/>
      </w:pPr>
      <w:r>
        <w:rPr>
          <w:rFonts w:ascii="Calibri" w:hAnsi="Calibri"/>
          <w:b w:val="0"/>
          <w:color w:val="18212B"/>
          <w:sz w:val="20"/>
        </w:rPr>
        <w:t xml:space="preserve"> Custom RAG or enterprise knowledge intelligence</w:t>
      </w:r>
    </w:p>
    <w:p>
      <w:pPr>
        <w:pStyle w:val="ListBullet"/>
        <w:spacing w:after="80" w:line="283" w:lineRule="auto"/>
      </w:pPr>
      <w:r>
        <w:rPr>
          <w:rFonts w:ascii="Calibri" w:hAnsi="Calibri"/>
          <w:b w:val="0"/>
          <w:color w:val="18212B"/>
          <w:sz w:val="20"/>
        </w:rPr>
        <w:t xml:space="preserve"> Multi-agent orchestration</w:t>
      </w:r>
    </w:p>
    <w:p>
      <w:pPr>
        <w:pStyle w:val="ListBullet"/>
        <w:spacing w:after="80" w:line="283" w:lineRule="auto"/>
      </w:pPr>
      <w:r>
        <w:rPr>
          <w:rFonts w:ascii="Calibri" w:hAnsi="Calibri"/>
          <w:b w:val="0"/>
          <w:color w:val="18212B"/>
          <w:sz w:val="20"/>
        </w:rPr>
        <w:t xml:space="preserve"> Model selection, routing, evaluation or fine-tuning</w:t>
      </w:r>
    </w:p>
    <w:p>
      <w:pPr>
        <w:pStyle w:val="ListBullet"/>
        <w:spacing w:after="80" w:line="283" w:lineRule="auto"/>
      </w:pPr>
      <w:r>
        <w:rPr>
          <w:rFonts w:ascii="Calibri" w:hAnsi="Calibri"/>
          <w:b w:val="0"/>
          <w:color w:val="18212B"/>
          <w:sz w:val="20"/>
        </w:rPr>
        <w:t xml:space="preserve"> AI governance, guardrails, observability or responsible AI</w:t>
      </w:r>
    </w:p>
    <w:p>
      <w:pPr>
        <w:pStyle w:val="ListBullet"/>
        <w:spacing w:after="80" w:line="283" w:lineRule="auto"/>
      </w:pPr>
      <w:r>
        <w:rPr>
          <w:rFonts w:ascii="Calibri" w:hAnsi="Calibri"/>
          <w:b w:val="0"/>
          <w:color w:val="18212B"/>
          <w:sz w:val="20"/>
        </w:rPr>
        <w:t xml:space="preserve"> Intelligent document or conversational AI where AI provides the principal value</w:t>
      </w:r>
    </w:p>
    <w:p>
      <w:pPr>
        <w:pStyle w:val="ListBullet"/>
        <w:spacing w:after="80" w:line="283" w:lineRule="auto"/>
      </w:pPr>
      <w:r>
        <w:rPr>
          <w:rFonts w:ascii="Calibri" w:hAnsi="Calibri"/>
          <w:b w:val="0"/>
          <w:color w:val="18212B"/>
          <w:sz w:val="20"/>
        </w:rPr>
        <w:t xml:space="preserve"> Custom AI application where more than half of delivery effort and risk is AI-specific</w:t>
      </w:r>
    </w:p>
    <w:p>
      <w:pPr>
        <w:pStyle w:val="Heading2"/>
      </w:pPr>
      <w:r>
        <w:t>Domain-practice presumptive ownership</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550"/>
        <w:gridCol w:w="4420"/>
        <w:gridCol w:w="3390"/>
      </w:tblGrid>
      <w:tr>
        <w:trPr>
          <w:tblHeader w:val="true"/>
          <w:cantSplit/>
        </w:trPr>
        <w:tc>
          <w:tcPr>
            <w:tcW w:type="dxa" w:w="1550"/>
            <w:shd w:fill="E8EEF5"/>
            <w:tcMar>
              <w:top w:w="80" w:type="dxa"/>
              <w:start w:w="120" w:type="dxa"/>
              <w:bottom w:w="80" w:type="dxa"/>
              <w:end w:w="120" w:type="dxa"/>
            </w:tcMar>
            <w:vAlign w:val="center"/>
          </w:tcPr>
          <w:p>
            <w:pPr>
              <w:spacing w:after="0"/>
            </w:pPr>
            <w:r>
              <w:rPr>
                <w:rFonts w:ascii="Calibri" w:hAnsi="Calibri"/>
                <w:b/>
                <w:color w:val="0B2545"/>
                <w:sz w:val="16"/>
              </w:rPr>
              <w:t>Practice</w:t>
            </w:r>
          </w:p>
        </w:tc>
        <w:tc>
          <w:tcPr>
            <w:tcW w:type="dxa" w:w="4420"/>
            <w:shd w:fill="E8EEF5"/>
            <w:tcMar>
              <w:top w:w="80" w:type="dxa"/>
              <w:start w:w="120" w:type="dxa"/>
              <w:bottom w:w="80" w:type="dxa"/>
              <w:end w:w="120" w:type="dxa"/>
            </w:tcMar>
            <w:vAlign w:val="center"/>
          </w:tcPr>
          <w:p>
            <w:pPr>
              <w:spacing w:after="0"/>
            </w:pPr>
            <w:r>
              <w:rPr>
                <w:rFonts w:ascii="Calibri" w:hAnsi="Calibri"/>
                <w:b/>
                <w:color w:val="0B2545"/>
                <w:sz w:val="16"/>
              </w:rPr>
              <w:t>Route there when</w:t>
            </w:r>
          </w:p>
        </w:tc>
        <w:tc>
          <w:tcPr>
            <w:tcW w:type="dxa" w:w="3390"/>
            <w:shd w:fill="E8EEF5"/>
            <w:tcMar>
              <w:top w:w="80" w:type="dxa"/>
              <w:start w:w="120" w:type="dxa"/>
              <w:bottom w:w="80" w:type="dxa"/>
              <w:end w:w="120" w:type="dxa"/>
            </w:tcMar>
            <w:vAlign w:val="center"/>
          </w:tcPr>
          <w:p>
            <w:pPr>
              <w:spacing w:after="0"/>
            </w:pPr>
            <w:r>
              <w:rPr>
                <w:rFonts w:ascii="Calibri" w:hAnsi="Calibri"/>
                <w:b/>
                <w:color w:val="0B2545"/>
                <w:sz w:val="16"/>
              </w:rPr>
              <w:t>Keep AI engaged when</w:t>
            </w:r>
          </w:p>
        </w:tc>
      </w:tr>
      <w:tr>
        <w:trPr>
          <w:cantSplit/>
        </w:trPr>
        <w:tc>
          <w:tcPr>
            <w:tcW w:type="dxa" w:w="1550"/>
            <w:tcMar>
              <w:top w:w="80" w:type="dxa"/>
              <w:start w:w="120" w:type="dxa"/>
              <w:bottom w:w="80" w:type="dxa"/>
              <w:end w:w="120" w:type="dxa"/>
            </w:tcMar>
            <w:vAlign w:val="center"/>
          </w:tcPr>
          <w:p>
            <w:pPr>
              <w:spacing w:after="0" w:line="259" w:lineRule="auto"/>
            </w:pPr>
            <w:r>
              <w:rPr>
                <w:rFonts w:ascii="Calibri" w:hAnsi="Calibri"/>
                <w:b w:val="0"/>
                <w:color w:val="18212B"/>
                <w:sz w:val="16"/>
              </w:rPr>
              <w:t>GCP</w:t>
            </w:r>
          </w:p>
        </w:tc>
        <w:tc>
          <w:tcPr>
            <w:tcW w:type="dxa" w:w="4420"/>
            <w:tcMar>
              <w:top w:w="80" w:type="dxa"/>
              <w:start w:w="120" w:type="dxa"/>
              <w:bottom w:w="80" w:type="dxa"/>
              <w:end w:w="120" w:type="dxa"/>
            </w:tcMar>
            <w:vAlign w:val="center"/>
          </w:tcPr>
          <w:p>
            <w:pPr>
              <w:spacing w:after="0" w:line="259" w:lineRule="auto"/>
            </w:pPr>
            <w:r>
              <w:rPr>
                <w:rFonts w:ascii="Calibri" w:hAnsi="Calibri"/>
                <w:b w:val="0"/>
                <w:color w:val="18212B"/>
                <w:sz w:val="16"/>
              </w:rPr>
              <w:t>GCP adoption/migration, GKE, BigQuery, Apigee or platform engineering dominates. Gemini/Vertex alone does not make it AI-owned.</w:t>
            </w:r>
          </w:p>
        </w:tc>
        <w:tc>
          <w:tcPr>
            <w:tcW w:type="dxa" w:w="3390"/>
            <w:tcMar>
              <w:top w:w="80" w:type="dxa"/>
              <w:start w:w="120" w:type="dxa"/>
              <w:bottom w:w="80" w:type="dxa"/>
              <w:end w:w="120" w:type="dxa"/>
            </w:tcMar>
            <w:vAlign w:val="center"/>
          </w:tcPr>
          <w:p>
            <w:pPr>
              <w:spacing w:after="0" w:line="259" w:lineRule="auto"/>
            </w:pPr>
            <w:r>
              <w:rPr>
                <w:rFonts w:ascii="Calibri" w:hAnsi="Calibri"/>
                <w:b w:val="0"/>
                <w:color w:val="18212B"/>
                <w:sz w:val="16"/>
              </w:rPr>
              <w:t>AI architecture, evaluation, agents or governance is material.</w:t>
            </w:r>
          </w:p>
        </w:tc>
      </w:tr>
      <w:tr>
        <w:trPr>
          <w:cantSplit/>
        </w:trPr>
        <w:tc>
          <w:tcPr>
            <w:tcW w:type="dxa" w:w="15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AWS</w:t>
            </w:r>
          </w:p>
        </w:tc>
        <w:tc>
          <w:tcPr>
            <w:tcW w:type="dxa" w:w="442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Landing zone, migration, EKS, serverless or AWS data platform dominates. Bedrock is one component of the broader transformation.</w:t>
            </w:r>
          </w:p>
        </w:tc>
        <w:tc>
          <w:tcPr>
            <w:tcW w:type="dxa" w:w="339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Bedrock/LLM solution is complex or AI delivery exceeds threshold.</w:t>
            </w:r>
          </w:p>
        </w:tc>
      </w:tr>
      <w:tr>
        <w:trPr>
          <w:cantSplit/>
        </w:trPr>
        <w:tc>
          <w:tcPr>
            <w:tcW w:type="dxa" w:w="1550"/>
            <w:tcMar>
              <w:top w:w="80" w:type="dxa"/>
              <w:start w:w="120" w:type="dxa"/>
              <w:bottom w:w="80" w:type="dxa"/>
              <w:end w:w="120" w:type="dxa"/>
            </w:tcMar>
            <w:vAlign w:val="center"/>
          </w:tcPr>
          <w:p>
            <w:pPr>
              <w:spacing w:after="0" w:line="259" w:lineRule="auto"/>
            </w:pPr>
            <w:r>
              <w:rPr>
                <w:rFonts w:ascii="Calibri" w:hAnsi="Calibri"/>
                <w:b w:val="0"/>
                <w:color w:val="18212B"/>
                <w:sz w:val="16"/>
              </w:rPr>
              <w:t>Azure / Microsoft</w:t>
            </w:r>
          </w:p>
        </w:tc>
        <w:tc>
          <w:tcPr>
            <w:tcW w:type="dxa" w:w="4420"/>
            <w:tcMar>
              <w:top w:w="80" w:type="dxa"/>
              <w:start w:w="120" w:type="dxa"/>
              <w:bottom w:w="80" w:type="dxa"/>
              <w:end w:w="120" w:type="dxa"/>
            </w:tcMar>
            <w:vAlign w:val="center"/>
          </w:tcPr>
          <w:p>
            <w:pPr>
              <w:spacing w:after="0" w:line="259" w:lineRule="auto"/>
            </w:pPr>
            <w:r>
              <w:rPr>
                <w:rFonts w:ascii="Calibri" w:hAnsi="Calibri"/>
                <w:b w:val="0"/>
                <w:color w:val="18212B"/>
                <w:sz w:val="16"/>
              </w:rPr>
              <w:t>Azure migration, M365/Copilot adoption, Fabric, Power Platform or Microsoft platform engineering dominates.</w:t>
            </w:r>
          </w:p>
        </w:tc>
        <w:tc>
          <w:tcPr>
            <w:tcW w:type="dxa" w:w="3390"/>
            <w:tcMar>
              <w:top w:w="80" w:type="dxa"/>
              <w:start w:w="120" w:type="dxa"/>
              <w:bottom w:w="80" w:type="dxa"/>
              <w:end w:w="120" w:type="dxa"/>
            </w:tcMar>
            <w:vAlign w:val="center"/>
          </w:tcPr>
          <w:p>
            <w:pPr>
              <w:spacing w:after="0" w:line="259" w:lineRule="auto"/>
            </w:pPr>
            <w:r>
              <w:rPr>
                <w:rFonts w:ascii="Calibri" w:hAnsi="Calibri"/>
                <w:b w:val="0"/>
                <w:color w:val="18212B"/>
                <w:sz w:val="16"/>
              </w:rPr>
              <w:t>Custom Azure OpenAI, RAG, agents or model orchestration is material.</w:t>
            </w:r>
          </w:p>
        </w:tc>
      </w:tr>
      <w:tr>
        <w:trPr>
          <w:cantSplit/>
        </w:trPr>
        <w:tc>
          <w:tcPr>
            <w:tcW w:type="dxa" w:w="15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Red Hat</w:t>
            </w:r>
          </w:p>
        </w:tc>
        <w:tc>
          <w:tcPr>
            <w:tcW w:type="dxa" w:w="442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OpenShift, hybrid cloud, Kubernetes platform, RHEL or Ansible is the principal work—even if the platform will host AI.</w:t>
            </w:r>
          </w:p>
        </w:tc>
        <w:tc>
          <w:tcPr>
            <w:tcW w:type="dxa" w:w="339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AI application or model platform design is a material parallel scope.</w:t>
            </w:r>
          </w:p>
        </w:tc>
      </w:tr>
      <w:tr>
        <w:trPr>
          <w:cantSplit/>
        </w:trPr>
        <w:tc>
          <w:tcPr>
            <w:tcW w:type="dxa" w:w="1550"/>
            <w:tcMar>
              <w:top w:w="80" w:type="dxa"/>
              <w:start w:w="120" w:type="dxa"/>
              <w:bottom w:w="80" w:type="dxa"/>
              <w:end w:w="120" w:type="dxa"/>
            </w:tcMar>
            <w:vAlign w:val="center"/>
          </w:tcPr>
          <w:p>
            <w:pPr>
              <w:spacing w:after="0" w:line="259" w:lineRule="auto"/>
            </w:pPr>
            <w:r>
              <w:rPr>
                <w:rFonts w:ascii="Calibri" w:hAnsi="Calibri"/>
                <w:b w:val="0"/>
                <w:color w:val="18212B"/>
                <w:sz w:val="16"/>
              </w:rPr>
              <w:t>Application Modernization</w:t>
            </w:r>
          </w:p>
        </w:tc>
        <w:tc>
          <w:tcPr>
            <w:tcW w:type="dxa" w:w="4420"/>
            <w:tcMar>
              <w:top w:w="80" w:type="dxa"/>
              <w:start w:w="120" w:type="dxa"/>
              <w:bottom w:w="80" w:type="dxa"/>
              <w:end w:w="120" w:type="dxa"/>
            </w:tcMar>
            <w:vAlign w:val="center"/>
          </w:tcPr>
          <w:p>
            <w:pPr>
              <w:spacing w:after="0" w:line="259" w:lineRule="auto"/>
            </w:pPr>
            <w:r>
              <w:rPr>
                <w:rFonts w:ascii="Calibri" w:hAnsi="Calibri"/>
                <w:b w:val="0"/>
                <w:color w:val="18212B"/>
                <w:sz w:val="16"/>
              </w:rPr>
              <w:t>Legacy modernization, Java/.NET, APIs, microservices, application decomposition or SDLC transformation dominates.</w:t>
            </w:r>
          </w:p>
        </w:tc>
        <w:tc>
          <w:tcPr>
            <w:tcW w:type="dxa" w:w="3390"/>
            <w:tcMar>
              <w:top w:w="80" w:type="dxa"/>
              <w:start w:w="120" w:type="dxa"/>
              <w:bottom w:w="80" w:type="dxa"/>
              <w:end w:w="120" w:type="dxa"/>
            </w:tcMar>
            <w:vAlign w:val="center"/>
          </w:tcPr>
          <w:p>
            <w:pPr>
              <w:spacing w:after="0" w:line="259" w:lineRule="auto"/>
            </w:pPr>
            <w:r>
              <w:rPr>
                <w:rFonts w:ascii="Calibri" w:hAnsi="Calibri"/>
                <w:b w:val="0"/>
                <w:color w:val="18212B"/>
                <w:sz w:val="16"/>
              </w:rPr>
              <w:t>AI creates the principal product value or an autonomous engineering platform is in scope.</w:t>
            </w:r>
          </w:p>
        </w:tc>
      </w:tr>
      <w:tr>
        <w:trPr>
          <w:cantSplit/>
        </w:trPr>
        <w:tc>
          <w:tcPr>
            <w:tcW w:type="dxa" w:w="15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Data &amp; Analytics</w:t>
            </w:r>
          </w:p>
        </w:tc>
        <w:tc>
          <w:tcPr>
            <w:tcW w:type="dxa" w:w="442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Lakehouse, pipelines, MDM, data quality, semantic layer or data governance is the hardest and largest work.</w:t>
            </w:r>
          </w:p>
        </w:tc>
        <w:tc>
          <w:tcPr>
            <w:tcW w:type="dxa" w:w="339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Model/agent behavior, AI evaluation or responsible AI is significant.</w:t>
            </w:r>
          </w:p>
        </w:tc>
      </w:tr>
      <w:tr>
        <w:trPr>
          <w:cantSplit/>
        </w:trPr>
        <w:tc>
          <w:tcPr>
            <w:tcW w:type="dxa" w:w="1550"/>
            <w:tcMar>
              <w:top w:w="80" w:type="dxa"/>
              <w:start w:w="120" w:type="dxa"/>
              <w:bottom w:w="80" w:type="dxa"/>
              <w:end w:w="120" w:type="dxa"/>
            </w:tcMar>
            <w:vAlign w:val="center"/>
          </w:tcPr>
          <w:p>
            <w:pPr>
              <w:spacing w:after="0" w:line="259" w:lineRule="auto"/>
            </w:pPr>
            <w:r>
              <w:rPr>
                <w:rFonts w:ascii="Calibri" w:hAnsi="Calibri"/>
                <w:b w:val="0"/>
                <w:color w:val="18212B"/>
                <w:sz w:val="16"/>
              </w:rPr>
              <w:t>Integration</w:t>
            </w:r>
          </w:p>
        </w:tc>
        <w:tc>
          <w:tcPr>
            <w:tcW w:type="dxa" w:w="4420"/>
            <w:tcMar>
              <w:top w:w="80" w:type="dxa"/>
              <w:start w:w="120" w:type="dxa"/>
              <w:bottom w:w="80" w:type="dxa"/>
              <w:end w:w="120" w:type="dxa"/>
            </w:tcMar>
            <w:vAlign w:val="center"/>
          </w:tcPr>
          <w:p>
            <w:pPr>
              <w:spacing w:after="0" w:line="259" w:lineRule="auto"/>
            </w:pPr>
            <w:r>
              <w:rPr>
                <w:rFonts w:ascii="Calibri" w:hAnsi="Calibri"/>
                <w:b w:val="0"/>
                <w:color w:val="18212B"/>
                <w:sz w:val="16"/>
              </w:rPr>
              <w:t>API management, eventing, middleware, iPaaS or enterprise integration backbone dominates.</w:t>
            </w:r>
          </w:p>
        </w:tc>
        <w:tc>
          <w:tcPr>
            <w:tcW w:type="dxa" w:w="3390"/>
            <w:tcMar>
              <w:top w:w="80" w:type="dxa"/>
              <w:start w:w="120" w:type="dxa"/>
              <w:bottom w:w="80" w:type="dxa"/>
              <w:end w:w="120" w:type="dxa"/>
            </w:tcMar>
            <w:vAlign w:val="center"/>
          </w:tcPr>
          <w:p>
            <w:pPr>
              <w:spacing w:after="0" w:line="259" w:lineRule="auto"/>
            </w:pPr>
            <w:r>
              <w:rPr>
                <w:rFonts w:ascii="Calibri" w:hAnsi="Calibri"/>
                <w:b w:val="0"/>
                <w:color w:val="18212B"/>
                <w:sz w:val="16"/>
              </w:rPr>
              <w:t>Agent/tool integration and AI-specific orchestration are material.</w:t>
            </w:r>
          </w:p>
        </w:tc>
      </w:tr>
      <w:tr>
        <w:trPr>
          <w:cantSplit/>
        </w:trPr>
        <w:tc>
          <w:tcPr>
            <w:tcW w:type="dxa" w:w="155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Security</w:t>
            </w:r>
          </w:p>
        </w:tc>
        <w:tc>
          <w:tcPr>
            <w:tcW w:type="dxa" w:w="442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Security transformation or control platform is the business outcome.</w:t>
            </w:r>
          </w:p>
        </w:tc>
        <w:tc>
          <w:tcPr>
            <w:tcW w:type="dxa" w:w="3390"/>
            <w:shd w:fill="FAFBFC"/>
            <w:tcMar>
              <w:top w:w="80" w:type="dxa"/>
              <w:start w:w="120" w:type="dxa"/>
              <w:bottom w:w="80" w:type="dxa"/>
              <w:end w:w="120" w:type="dxa"/>
            </w:tcMar>
            <w:vAlign w:val="center"/>
          </w:tcPr>
          <w:p>
            <w:pPr>
              <w:spacing w:after="0" w:line="259" w:lineRule="auto"/>
            </w:pPr>
            <w:r>
              <w:rPr>
                <w:rFonts w:ascii="Calibri" w:hAnsi="Calibri"/>
                <w:b w:val="0"/>
                <w:color w:val="18212B"/>
                <w:sz w:val="16"/>
              </w:rPr>
              <w:t>Threat modeling, model security, prompt injection or AI control design is material.</w:t>
            </w:r>
          </w:p>
        </w:tc>
      </w:tr>
    </w:tbl>
    <w:p>
      <w:pPr>
        <w:spacing w:after="20"/>
      </w:pPr>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KEY DISTINCTION  </w:t>
            </w:r>
            <w:r>
              <w:rPr>
                <w:rFonts w:ascii="Calibri" w:hAnsi="Calibri"/>
                <w:b/>
                <w:color w:val="0B2545"/>
                <w:sz w:val="20"/>
              </w:rPr>
              <w:t>Building AI is not the same as building a platform capable of running AI. The former can be AI-led; the latter is usually platform-led with AI consultation.</w:t>
            </w:r>
          </w:p>
        </w:tc>
      </w:tr>
    </w:tbl>
    <w:p>
      <w:pPr>
        <w:spacing w:after="20"/>
      </w:pPr>
    </w:p>
    <w:p>
      <w:pPr>
        <w:pStyle w:val="Heading2"/>
      </w:pPr>
      <w:r>
        <w:t>Tie-break order</w:t>
      </w:r>
    </w:p>
    <w:p>
      <w:pPr>
        <w:pStyle w:val="ListBullet"/>
        <w:spacing w:after="80" w:line="283" w:lineRule="auto"/>
      </w:pPr>
      <w:r>
        <w:rPr>
          <w:rFonts w:ascii="Calibri" w:hAnsi="Calibri"/>
          <w:b w:val="0"/>
          <w:color w:val="18212B"/>
          <w:sz w:val="20"/>
        </w:rPr>
        <w:t xml:space="preserve"> Named client buying center and contracted outcome</w:t>
      </w:r>
    </w:p>
    <w:p>
      <w:pPr>
        <w:pStyle w:val="ListBullet"/>
        <w:spacing w:after="80" w:line="283" w:lineRule="auto"/>
      </w:pPr>
      <w:r>
        <w:rPr>
          <w:rFonts w:ascii="Calibri" w:hAnsi="Calibri"/>
          <w:b w:val="0"/>
          <w:color w:val="18212B"/>
          <w:sz w:val="20"/>
        </w:rPr>
        <w:t xml:space="preserve"> Largest share of delivery effort</w:t>
      </w:r>
    </w:p>
    <w:p>
      <w:pPr>
        <w:pStyle w:val="ListBullet"/>
        <w:spacing w:after="80" w:line="283" w:lineRule="auto"/>
      </w:pPr>
      <w:r>
        <w:rPr>
          <w:rFonts w:ascii="Calibri" w:hAnsi="Calibri"/>
          <w:b w:val="0"/>
          <w:color w:val="18212B"/>
          <w:sz w:val="20"/>
        </w:rPr>
        <w:t xml:space="preserve"> Largest share of services revenue and contractual exposure</w:t>
      </w:r>
    </w:p>
    <w:p>
      <w:pPr>
        <w:pStyle w:val="ListBullet"/>
        <w:spacing w:after="80" w:line="283" w:lineRule="auto"/>
      </w:pPr>
      <w:r>
        <w:rPr>
          <w:rFonts w:ascii="Calibri" w:hAnsi="Calibri"/>
          <w:b w:val="0"/>
          <w:color w:val="18212B"/>
          <w:sz w:val="20"/>
        </w:rPr>
        <w:t xml:space="preserve"> Highest concentration of solution risk</w:t>
      </w:r>
    </w:p>
    <w:p>
      <w:pPr>
        <w:pStyle w:val="ListBullet"/>
        <w:spacing w:after="80" w:line="283" w:lineRule="auto"/>
      </w:pPr>
      <w:r>
        <w:rPr>
          <w:rFonts w:ascii="Calibri" w:hAnsi="Calibri"/>
          <w:b w:val="0"/>
          <w:color w:val="18212B"/>
          <w:sz w:val="20"/>
        </w:rPr>
        <w:t xml:space="preserve"> Existing accountable transformation program or master SOW</w:t>
      </w:r>
    </w:p>
    <w:p>
      <w:pPr>
        <w:pStyle w:val="ListBullet"/>
        <w:spacing w:after="80" w:line="283" w:lineRule="auto"/>
      </w:pPr>
      <w:r>
        <w:rPr>
          <w:rFonts w:ascii="Calibri" w:hAnsi="Calibri"/>
          <w:b w:val="0"/>
          <w:color w:val="18212B"/>
          <w:sz w:val="20"/>
        </w:rPr>
        <w:t xml:space="preserve"> Executive sponsor decision when factors remain genuinely balanced</w:t>
      </w:r>
    </w:p>
    <w:p>
      <w:pPr>
        <w:pStyle w:val="Heading1"/>
        <w:pageBreakBefore w:val="0"/>
      </w:pPr>
      <w:r>
        <w:t>6. Decision Rights, RACI and Service Levels</w:t>
      </w:r>
    </w:p>
    <w:p>
      <w:pPr>
        <w:pStyle w:val="Heading2"/>
      </w:pPr>
      <w:r>
        <w:t>Decision rights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3900"/>
        <w:gridCol w:w="5460"/>
      </w:tblGrid>
      <w:tr>
        <w:trPr>
          <w:tblHeader w:val="true"/>
          <w:cantSplit/>
        </w:trPr>
        <w:tc>
          <w:tcPr>
            <w:tcW w:type="dxa" w:w="3900"/>
            <w:shd w:fill="E8EEF5"/>
            <w:tcMar>
              <w:top w:w="80" w:type="dxa"/>
              <w:start w:w="120" w:type="dxa"/>
              <w:bottom w:w="80" w:type="dxa"/>
              <w:end w:w="120" w:type="dxa"/>
            </w:tcMar>
            <w:vAlign w:val="center"/>
          </w:tcPr>
          <w:p>
            <w:pPr>
              <w:spacing w:after="0"/>
            </w:pPr>
            <w:r>
              <w:rPr>
                <w:rFonts w:ascii="Calibri" w:hAnsi="Calibri"/>
                <w:b/>
                <w:color w:val="0B2545"/>
                <w:sz w:val="18"/>
              </w:rPr>
              <w:t>Decision</w:t>
            </w:r>
          </w:p>
        </w:tc>
        <w:tc>
          <w:tcPr>
            <w:tcW w:type="dxa" w:w="5460"/>
            <w:shd w:fill="E8EEF5"/>
            <w:tcMar>
              <w:top w:w="80" w:type="dxa"/>
              <w:start w:w="120" w:type="dxa"/>
              <w:bottom w:w="80" w:type="dxa"/>
              <w:end w:w="120" w:type="dxa"/>
            </w:tcMar>
            <w:vAlign w:val="center"/>
          </w:tcPr>
          <w:p>
            <w:pPr>
              <w:spacing w:after="0"/>
            </w:pPr>
            <w:r>
              <w:rPr>
                <w:rFonts w:ascii="Calibri" w:hAnsi="Calibri"/>
                <w:b/>
                <w:color w:val="0B2545"/>
                <w:sz w:val="18"/>
              </w:rPr>
              <w:t>Accountable authority</w:t>
            </w:r>
          </w:p>
        </w:tc>
      </w:tr>
      <w:tr>
        <w:trPr>
          <w:cantSplit/>
        </w:trPr>
        <w:tc>
          <w:tcPr>
            <w:tcW w:type="dxa" w:w="3900"/>
            <w:tcMar>
              <w:top w:w="80" w:type="dxa"/>
              <w:start w:w="120" w:type="dxa"/>
              <w:bottom w:w="80" w:type="dxa"/>
              <w:end w:w="120" w:type="dxa"/>
            </w:tcMar>
            <w:vAlign w:val="center"/>
          </w:tcPr>
          <w:p>
            <w:pPr>
              <w:spacing w:after="0" w:line="259" w:lineRule="auto"/>
            </w:pPr>
            <w:r>
              <w:rPr>
                <w:rFonts w:ascii="Calibri" w:hAnsi="Calibri"/>
                <w:b w:val="0"/>
                <w:color w:val="18212B"/>
                <w:sz w:val="18"/>
              </w:rPr>
              <w:t>Accept / return an intake</w:t>
            </w:r>
          </w:p>
        </w:tc>
        <w:tc>
          <w:tcPr>
            <w:tcW w:type="dxa" w:w="5460"/>
            <w:tcMar>
              <w:top w:w="80" w:type="dxa"/>
              <w:start w:w="120" w:type="dxa"/>
              <w:bottom w:w="80" w:type="dxa"/>
              <w:end w:w="120" w:type="dxa"/>
            </w:tcMar>
            <w:vAlign w:val="center"/>
          </w:tcPr>
          <w:p>
            <w:pPr>
              <w:spacing w:after="0" w:line="259" w:lineRule="auto"/>
            </w:pPr>
            <w:r>
              <w:rPr>
                <w:rFonts w:ascii="Calibri" w:hAnsi="Calibri"/>
                <w:b w:val="0"/>
                <w:color w:val="18212B"/>
                <w:sz w:val="18"/>
              </w:rPr>
              <w:t>Shared AI Intake Manager or delegated SE</w:t>
            </w:r>
          </w:p>
        </w:tc>
      </w:tr>
      <w:tr>
        <w:trPr>
          <w:cantSplit/>
        </w:trPr>
        <w:tc>
          <w:tcPr>
            <w:tcW w:type="dxa" w:w="39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Provisional score and route</w:t>
            </w:r>
          </w:p>
        </w:tc>
        <w:tc>
          <w:tcPr>
            <w:tcW w:type="dxa" w:w="54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Shared AI SE + AI architect</w:t>
            </w:r>
          </w:p>
        </w:tc>
      </w:tr>
      <w:tr>
        <w:trPr>
          <w:cantSplit/>
        </w:trPr>
        <w:tc>
          <w:tcPr>
            <w:tcW w:type="dxa" w:w="3900"/>
            <w:tcMar>
              <w:top w:w="80" w:type="dxa"/>
              <w:start w:w="120" w:type="dxa"/>
              <w:bottom w:w="80" w:type="dxa"/>
              <w:end w:w="120" w:type="dxa"/>
            </w:tcMar>
            <w:vAlign w:val="center"/>
          </w:tcPr>
          <w:p>
            <w:pPr>
              <w:spacing w:after="0" w:line="259" w:lineRule="auto"/>
            </w:pPr>
            <w:r>
              <w:rPr>
                <w:rFonts w:ascii="Calibri" w:hAnsi="Calibri"/>
                <w:b w:val="0"/>
                <w:color w:val="18212B"/>
                <w:sz w:val="18"/>
              </w:rPr>
              <w:t>Accept Practice of Record</w:t>
            </w:r>
          </w:p>
        </w:tc>
        <w:tc>
          <w:tcPr>
            <w:tcW w:type="dxa" w:w="5460"/>
            <w:tcMar>
              <w:top w:w="80" w:type="dxa"/>
              <w:start w:w="120" w:type="dxa"/>
              <w:bottom w:w="80" w:type="dxa"/>
              <w:end w:w="120" w:type="dxa"/>
            </w:tcMar>
            <w:vAlign w:val="center"/>
          </w:tcPr>
          <w:p>
            <w:pPr>
              <w:spacing w:after="0" w:line="259" w:lineRule="auto"/>
            </w:pPr>
            <w:r>
              <w:rPr>
                <w:rFonts w:ascii="Calibri" w:hAnsi="Calibri"/>
                <w:b w:val="0"/>
                <w:color w:val="18212B"/>
                <w:sz w:val="18"/>
              </w:rPr>
              <w:t>Receiving practice solution leader</w:t>
            </w:r>
          </w:p>
        </w:tc>
      </w:tr>
      <w:tr>
        <w:trPr>
          <w:cantSplit/>
        </w:trPr>
        <w:tc>
          <w:tcPr>
            <w:tcW w:type="dxa" w:w="39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Approve complex joint ownership</w:t>
            </w:r>
          </w:p>
        </w:tc>
        <w:tc>
          <w:tcPr>
            <w:tcW w:type="dxa" w:w="54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AI Solution Council chair + affected practice leader</w:t>
            </w:r>
          </w:p>
        </w:tc>
      </w:tr>
      <w:tr>
        <w:trPr>
          <w:cantSplit/>
        </w:trPr>
        <w:tc>
          <w:tcPr>
            <w:tcW w:type="dxa" w:w="3900"/>
            <w:tcMar>
              <w:top w:w="80" w:type="dxa"/>
              <w:start w:w="120" w:type="dxa"/>
              <w:bottom w:w="80" w:type="dxa"/>
              <w:end w:w="120" w:type="dxa"/>
            </w:tcMar>
            <w:vAlign w:val="center"/>
          </w:tcPr>
          <w:p>
            <w:pPr>
              <w:spacing w:after="0" w:line="259" w:lineRule="auto"/>
            </w:pPr>
            <w:r>
              <w:rPr>
                <w:rFonts w:ascii="Calibri" w:hAnsi="Calibri"/>
                <w:b w:val="0"/>
                <w:color w:val="18212B"/>
                <w:sz w:val="18"/>
              </w:rPr>
              <w:t>Approve architecture release</w:t>
            </w:r>
          </w:p>
        </w:tc>
        <w:tc>
          <w:tcPr>
            <w:tcW w:type="dxa" w:w="5460"/>
            <w:tcMar>
              <w:top w:w="80" w:type="dxa"/>
              <w:start w:w="120" w:type="dxa"/>
              <w:bottom w:w="80" w:type="dxa"/>
              <w:end w:w="120" w:type="dxa"/>
            </w:tcMar>
            <w:vAlign w:val="center"/>
          </w:tcPr>
          <w:p>
            <w:pPr>
              <w:spacing w:after="0" w:line="259" w:lineRule="auto"/>
            </w:pPr>
            <w:r>
              <w:rPr>
                <w:rFonts w:ascii="Calibri" w:hAnsi="Calibri"/>
                <w:b w:val="0"/>
                <w:color w:val="18212B"/>
                <w:sz w:val="18"/>
              </w:rPr>
              <w:t>Accountable practice architect; AI reviewer if AI ≥ significant</w:t>
            </w:r>
          </w:p>
        </w:tc>
      </w:tr>
      <w:tr>
        <w:trPr>
          <w:cantSplit/>
        </w:trPr>
        <w:tc>
          <w:tcPr>
            <w:tcW w:type="dxa" w:w="39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Approve commercial release</w:t>
            </w:r>
          </w:p>
        </w:tc>
        <w:tc>
          <w:tcPr>
            <w:tcW w:type="dxa" w:w="54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Accountable Practice of Record leadership under existing controls</w:t>
            </w:r>
          </w:p>
        </w:tc>
      </w:tr>
      <w:tr>
        <w:trPr>
          <w:cantSplit/>
        </w:trPr>
        <w:tc>
          <w:tcPr>
            <w:tcW w:type="dxa" w:w="3900"/>
            <w:tcMar>
              <w:top w:w="80" w:type="dxa"/>
              <w:start w:w="120" w:type="dxa"/>
              <w:bottom w:w="80" w:type="dxa"/>
              <w:end w:w="120" w:type="dxa"/>
            </w:tcMar>
            <w:vAlign w:val="center"/>
          </w:tcPr>
          <w:p>
            <w:pPr>
              <w:spacing w:after="0" w:line="259" w:lineRule="auto"/>
            </w:pPr>
            <w:r>
              <w:rPr>
                <w:rFonts w:ascii="Calibri" w:hAnsi="Calibri"/>
                <w:b w:val="0"/>
                <w:color w:val="18212B"/>
                <w:sz w:val="18"/>
              </w:rPr>
              <w:t>Approve exception</w:t>
            </w:r>
          </w:p>
        </w:tc>
        <w:tc>
          <w:tcPr>
            <w:tcW w:type="dxa" w:w="5460"/>
            <w:tcMar>
              <w:top w:w="80" w:type="dxa"/>
              <w:start w:w="120" w:type="dxa"/>
              <w:bottom w:w="80" w:type="dxa"/>
              <w:end w:w="120" w:type="dxa"/>
            </w:tcMar>
            <w:vAlign w:val="center"/>
          </w:tcPr>
          <w:p>
            <w:pPr>
              <w:spacing w:after="0" w:line="259" w:lineRule="auto"/>
            </w:pPr>
            <w:r>
              <w:rPr>
                <w:rFonts w:ascii="Calibri" w:hAnsi="Calibri"/>
                <w:b w:val="0"/>
                <w:color w:val="18212B"/>
                <w:sz w:val="18"/>
              </w:rPr>
              <w:t>Solution Council chair or executive sponsor based on materiality</w:t>
            </w:r>
          </w:p>
        </w:tc>
      </w:tr>
      <w:tr>
        <w:trPr>
          <w:cantSplit/>
        </w:trPr>
        <w:tc>
          <w:tcPr>
            <w:tcW w:type="dxa" w:w="39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Close and capture outcome</w:t>
            </w:r>
          </w:p>
        </w:tc>
        <w:tc>
          <w:tcPr>
            <w:tcW w:type="dxa" w:w="54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Opportunity owner + Shared Practice operations</w:t>
            </w:r>
          </w:p>
        </w:tc>
      </w:tr>
    </w:tbl>
    <w:p>
      <w:pPr>
        <w:spacing w:after="20"/>
      </w:pPr>
    </w:p>
    <w:p>
      <w:pPr>
        <w:pStyle w:val="Heading2"/>
      </w:pPr>
      <w:r>
        <w:t>Core RACI</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400"/>
        <w:gridCol w:w="1450"/>
        <w:gridCol w:w="1450"/>
        <w:gridCol w:w="1450"/>
        <w:gridCol w:w="1450"/>
        <w:gridCol w:w="1160"/>
      </w:tblGrid>
      <w:tr>
        <w:trPr>
          <w:tblHeader w:val="true"/>
          <w:cantSplit/>
        </w:trPr>
        <w:tc>
          <w:tcPr>
            <w:tcW w:type="dxa" w:w="2400"/>
            <w:shd w:fill="E8EEF5"/>
            <w:tcMar>
              <w:top w:w="80" w:type="dxa"/>
              <w:start w:w="120" w:type="dxa"/>
              <w:bottom w:w="80" w:type="dxa"/>
              <w:end w:w="120" w:type="dxa"/>
            </w:tcMar>
            <w:vAlign w:val="center"/>
          </w:tcPr>
          <w:p>
            <w:pPr>
              <w:spacing w:after="0"/>
            </w:pPr>
            <w:r>
              <w:rPr>
                <w:rFonts w:ascii="Calibri" w:hAnsi="Calibri"/>
                <w:b/>
                <w:color w:val="0B2545"/>
                <w:sz w:val="15"/>
              </w:rPr>
              <w:t>Activity</w:t>
            </w:r>
          </w:p>
        </w:tc>
        <w:tc>
          <w:tcPr>
            <w:tcW w:type="dxa" w:w="1450"/>
            <w:shd w:fill="E8EEF5"/>
            <w:tcMar>
              <w:top w:w="80" w:type="dxa"/>
              <w:start w:w="120" w:type="dxa"/>
              <w:bottom w:w="80" w:type="dxa"/>
              <w:end w:w="120" w:type="dxa"/>
            </w:tcMar>
            <w:vAlign w:val="center"/>
          </w:tcPr>
          <w:p>
            <w:pPr>
              <w:spacing w:after="0"/>
            </w:pPr>
            <w:r>
              <w:rPr>
                <w:rFonts w:ascii="Calibri" w:hAnsi="Calibri"/>
                <w:b/>
                <w:color w:val="0B2545"/>
                <w:sz w:val="15"/>
              </w:rPr>
              <w:t>Seller / Account</w:t>
            </w:r>
          </w:p>
        </w:tc>
        <w:tc>
          <w:tcPr>
            <w:tcW w:type="dxa" w:w="1450"/>
            <w:shd w:fill="E8EEF5"/>
            <w:tcMar>
              <w:top w:w="80" w:type="dxa"/>
              <w:start w:w="120" w:type="dxa"/>
              <w:bottom w:w="80" w:type="dxa"/>
              <w:end w:w="120" w:type="dxa"/>
            </w:tcMar>
            <w:vAlign w:val="center"/>
          </w:tcPr>
          <w:p>
            <w:pPr>
              <w:spacing w:after="0"/>
            </w:pPr>
            <w:r>
              <w:rPr>
                <w:rFonts w:ascii="Calibri" w:hAnsi="Calibri"/>
                <w:b/>
                <w:color w:val="0B2545"/>
                <w:sz w:val="15"/>
              </w:rPr>
              <w:t>Shared AI SE</w:t>
            </w:r>
          </w:p>
        </w:tc>
        <w:tc>
          <w:tcPr>
            <w:tcW w:type="dxa" w:w="1450"/>
            <w:shd w:fill="E8EEF5"/>
            <w:tcMar>
              <w:top w:w="80" w:type="dxa"/>
              <w:start w:w="120" w:type="dxa"/>
              <w:bottom w:w="80" w:type="dxa"/>
              <w:end w:w="120" w:type="dxa"/>
            </w:tcMar>
            <w:vAlign w:val="center"/>
          </w:tcPr>
          <w:p>
            <w:pPr>
              <w:spacing w:after="0"/>
            </w:pPr>
            <w:r>
              <w:rPr>
                <w:rFonts w:ascii="Calibri" w:hAnsi="Calibri"/>
                <w:b/>
                <w:color w:val="0B2545"/>
                <w:sz w:val="15"/>
              </w:rPr>
              <w:t>AI Architect</w:t>
            </w:r>
          </w:p>
        </w:tc>
        <w:tc>
          <w:tcPr>
            <w:tcW w:type="dxa" w:w="1450"/>
            <w:shd w:fill="E8EEF5"/>
            <w:tcMar>
              <w:top w:w="80" w:type="dxa"/>
              <w:start w:w="120" w:type="dxa"/>
              <w:bottom w:w="80" w:type="dxa"/>
              <w:end w:w="120" w:type="dxa"/>
            </w:tcMar>
            <w:vAlign w:val="center"/>
          </w:tcPr>
          <w:p>
            <w:pPr>
              <w:spacing w:after="0"/>
            </w:pPr>
            <w:r>
              <w:rPr>
                <w:rFonts w:ascii="Calibri" w:hAnsi="Calibri"/>
                <w:b/>
                <w:color w:val="0B2545"/>
                <w:sz w:val="15"/>
              </w:rPr>
              <w:t>Practice Lead</w:t>
            </w:r>
          </w:p>
        </w:tc>
        <w:tc>
          <w:tcPr>
            <w:tcW w:type="dxa" w:w="1160"/>
            <w:shd w:fill="E8EEF5"/>
            <w:tcMar>
              <w:top w:w="80" w:type="dxa"/>
              <w:start w:w="120" w:type="dxa"/>
              <w:bottom w:w="80" w:type="dxa"/>
              <w:end w:w="120" w:type="dxa"/>
            </w:tcMar>
            <w:vAlign w:val="center"/>
          </w:tcPr>
          <w:p>
            <w:pPr>
              <w:spacing w:after="0"/>
            </w:pPr>
            <w:r>
              <w:rPr>
                <w:rFonts w:ascii="Calibri" w:hAnsi="Calibri"/>
                <w:b/>
                <w:color w:val="0B2545"/>
                <w:sz w:val="15"/>
              </w:rPr>
              <w:t>Governance</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Create intake</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R/A</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c>
          <w:tcPr>
            <w:tcW w:type="dxa" w:w="1160"/>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Validate completeness</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R/A</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c>
          <w:tcPr>
            <w:tcW w:type="dxa" w:w="1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Score AI gravity</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R</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A</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160"/>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Accept practice ownership</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R/A</w:t>
            </w:r>
          </w:p>
        </w:tc>
        <w:tc>
          <w:tcPr>
            <w:tcW w:type="dxa" w:w="1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Build solution / estimate</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R</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R/A</w:t>
            </w:r>
          </w:p>
        </w:tc>
        <w:tc>
          <w:tcPr>
            <w:tcW w:type="dxa" w:w="116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Approve release</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w:t>
            </w:r>
          </w:p>
        </w:tc>
        <w:tc>
          <w:tcPr>
            <w:tcW w:type="dxa" w:w="1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5"/>
              </w:rPr>
              <w:t>Capture outcome / reuse</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R</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A</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450"/>
            <w:tcMar>
              <w:top w:w="80" w:type="dxa"/>
              <w:start w:w="120" w:type="dxa"/>
              <w:bottom w:w="80" w:type="dxa"/>
              <w:end w:w="120" w:type="dxa"/>
            </w:tcMar>
            <w:vAlign w:val="center"/>
          </w:tcPr>
          <w:p>
            <w:pPr>
              <w:spacing w:after="0" w:line="259" w:lineRule="auto"/>
            </w:pPr>
            <w:r>
              <w:rPr>
                <w:rFonts w:ascii="Calibri" w:hAnsi="Calibri"/>
                <w:b w:val="0"/>
                <w:color w:val="18212B"/>
                <w:sz w:val="15"/>
              </w:rPr>
              <w:t>C</w:t>
            </w:r>
          </w:p>
        </w:tc>
        <w:tc>
          <w:tcPr>
            <w:tcW w:type="dxa" w:w="1160"/>
            <w:tcMar>
              <w:top w:w="80" w:type="dxa"/>
              <w:start w:w="120" w:type="dxa"/>
              <w:bottom w:w="80" w:type="dxa"/>
              <w:end w:w="120" w:type="dxa"/>
            </w:tcMar>
            <w:vAlign w:val="center"/>
          </w:tcPr>
          <w:p>
            <w:pPr>
              <w:spacing w:after="0" w:line="259" w:lineRule="auto"/>
            </w:pPr>
            <w:r>
              <w:rPr>
                <w:rFonts w:ascii="Calibri" w:hAnsi="Calibri"/>
                <w:b w:val="0"/>
                <w:color w:val="18212B"/>
                <w:sz w:val="15"/>
              </w:rPr>
              <w:t>I</w:t>
            </w:r>
          </w:p>
        </w:tc>
      </w:tr>
    </w:tbl>
    <w:p>
      <w:pPr>
        <w:spacing w:after="20"/>
      </w:pPr>
    </w:p>
    <w:p>
      <w:pPr>
        <w:pStyle w:val="Heading2"/>
      </w:pPr>
      <w:r>
        <w:t>Service-level expectations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500"/>
        <w:gridCol w:w="4600"/>
        <w:gridCol w:w="2260"/>
      </w:tblGrid>
      <w:tr>
        <w:trPr>
          <w:tblHeader w:val="true"/>
          <w:cantSplit/>
        </w:trPr>
        <w:tc>
          <w:tcPr>
            <w:tcW w:type="dxa" w:w="2500"/>
            <w:shd w:fill="E8EEF5"/>
            <w:tcMar>
              <w:top w:w="80" w:type="dxa"/>
              <w:start w:w="120" w:type="dxa"/>
              <w:bottom w:w="80" w:type="dxa"/>
              <w:end w:w="120" w:type="dxa"/>
            </w:tcMar>
            <w:vAlign w:val="center"/>
          </w:tcPr>
          <w:p>
            <w:pPr>
              <w:spacing w:after="0"/>
            </w:pPr>
            <w:r>
              <w:rPr>
                <w:rFonts w:ascii="Calibri" w:hAnsi="Calibri"/>
                <w:b/>
                <w:color w:val="0B2545"/>
                <w:sz w:val="17"/>
              </w:rPr>
              <w:t>SLA</w:t>
            </w:r>
          </w:p>
        </w:tc>
        <w:tc>
          <w:tcPr>
            <w:tcW w:type="dxa" w:w="4600"/>
            <w:shd w:fill="E8EEF5"/>
            <w:tcMar>
              <w:top w:w="80" w:type="dxa"/>
              <w:start w:w="120" w:type="dxa"/>
              <w:bottom w:w="80" w:type="dxa"/>
              <w:end w:w="120" w:type="dxa"/>
            </w:tcMar>
            <w:vAlign w:val="center"/>
          </w:tcPr>
          <w:p>
            <w:pPr>
              <w:spacing w:after="0"/>
            </w:pPr>
            <w:r>
              <w:rPr>
                <w:rFonts w:ascii="Calibri" w:hAnsi="Calibri"/>
                <w:b/>
                <w:color w:val="0B2545"/>
                <w:sz w:val="17"/>
              </w:rPr>
              <w:t>Clock</w:t>
            </w:r>
          </w:p>
        </w:tc>
        <w:tc>
          <w:tcPr>
            <w:tcW w:type="dxa" w:w="2260"/>
            <w:shd w:fill="E8EEF5"/>
            <w:tcMar>
              <w:top w:w="80" w:type="dxa"/>
              <w:start w:w="120" w:type="dxa"/>
              <w:bottom w:w="80" w:type="dxa"/>
              <w:end w:w="120" w:type="dxa"/>
            </w:tcMar>
            <w:vAlign w:val="center"/>
          </w:tcPr>
          <w:p>
            <w:pPr>
              <w:spacing w:after="0"/>
            </w:pPr>
            <w:r>
              <w:rPr>
                <w:rFonts w:ascii="Calibri" w:hAnsi="Calibri"/>
                <w:b/>
                <w:color w:val="0B2545"/>
                <w:sz w:val="17"/>
              </w:rPr>
              <w:t>Target</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Acknowledge</w:t>
            </w:r>
          </w:p>
        </w:tc>
        <w:tc>
          <w:tcPr>
            <w:tcW w:type="dxa" w:w="4600"/>
            <w:tcMar>
              <w:top w:w="80" w:type="dxa"/>
              <w:start w:w="120" w:type="dxa"/>
              <w:bottom w:w="80" w:type="dxa"/>
              <w:end w:w="120" w:type="dxa"/>
            </w:tcMar>
            <w:vAlign w:val="center"/>
          </w:tcPr>
          <w:p>
            <w:pPr>
              <w:spacing w:after="0" w:line="259" w:lineRule="auto"/>
            </w:pPr>
            <w:r>
              <w:rPr>
                <w:rFonts w:ascii="Calibri" w:hAnsi="Calibri"/>
                <w:b w:val="0"/>
                <w:color w:val="18212B"/>
                <w:sz w:val="17"/>
              </w:rPr>
              <w:t>Submitted → owner notified</w:t>
            </w:r>
          </w:p>
        </w:tc>
        <w:tc>
          <w:tcPr>
            <w:tcW w:type="dxa" w:w="2260"/>
            <w:tcMar>
              <w:top w:w="80" w:type="dxa"/>
              <w:start w:w="120" w:type="dxa"/>
              <w:bottom w:w="80" w:type="dxa"/>
              <w:end w:w="120" w:type="dxa"/>
            </w:tcMar>
            <w:vAlign w:val="center"/>
          </w:tcPr>
          <w:p>
            <w:pPr>
              <w:spacing w:after="0" w:line="259" w:lineRule="auto"/>
            </w:pPr>
            <w:r>
              <w:rPr>
                <w:rFonts w:ascii="Calibri" w:hAnsi="Calibri"/>
                <w:b w:val="0"/>
                <w:color w:val="18212B"/>
                <w:sz w:val="17"/>
              </w:rPr>
              <w:t>4 business hours</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Completeness review</w:t>
            </w:r>
          </w:p>
        </w:tc>
        <w:tc>
          <w:tcPr>
            <w:tcW w:type="dxa" w:w="46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Submitted → accepted/returned</w:t>
            </w:r>
          </w:p>
        </w:tc>
        <w:tc>
          <w:tcPr>
            <w:tcW w:type="dxa" w:w="22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1 business day</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Standard routing</w:t>
            </w:r>
          </w:p>
        </w:tc>
        <w:tc>
          <w:tcPr>
            <w:tcW w:type="dxa" w:w="4600"/>
            <w:tcMar>
              <w:top w:w="80" w:type="dxa"/>
              <w:start w:w="120" w:type="dxa"/>
              <w:bottom w:w="80" w:type="dxa"/>
              <w:end w:w="120" w:type="dxa"/>
            </w:tcMar>
            <w:vAlign w:val="center"/>
          </w:tcPr>
          <w:p>
            <w:pPr>
              <w:spacing w:after="0" w:line="259" w:lineRule="auto"/>
            </w:pPr>
            <w:r>
              <w:rPr>
                <w:rFonts w:ascii="Calibri" w:hAnsi="Calibri"/>
                <w:b w:val="0"/>
                <w:color w:val="18212B"/>
                <w:sz w:val="17"/>
              </w:rPr>
              <w:t>Accepted → routed</w:t>
            </w:r>
          </w:p>
        </w:tc>
        <w:tc>
          <w:tcPr>
            <w:tcW w:type="dxa" w:w="2260"/>
            <w:tcMar>
              <w:top w:w="80" w:type="dxa"/>
              <w:start w:w="120" w:type="dxa"/>
              <w:bottom w:w="80" w:type="dxa"/>
              <w:end w:w="120" w:type="dxa"/>
            </w:tcMar>
            <w:vAlign w:val="center"/>
          </w:tcPr>
          <w:p>
            <w:pPr>
              <w:spacing w:after="0" w:line="259" w:lineRule="auto"/>
            </w:pPr>
            <w:r>
              <w:rPr>
                <w:rFonts w:ascii="Calibri" w:hAnsi="Calibri"/>
                <w:b w:val="0"/>
                <w:color w:val="18212B"/>
                <w:sz w:val="17"/>
              </w:rPr>
              <w:t>3 business days</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Urgent routing</w:t>
            </w:r>
          </w:p>
        </w:tc>
        <w:tc>
          <w:tcPr>
            <w:tcW w:type="dxa" w:w="46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P1 accepted → routed</w:t>
            </w:r>
          </w:p>
        </w:tc>
        <w:tc>
          <w:tcPr>
            <w:tcW w:type="dxa" w:w="22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1 business day</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Practice acceptance</w:t>
            </w:r>
          </w:p>
        </w:tc>
        <w:tc>
          <w:tcPr>
            <w:tcW w:type="dxa" w:w="4600"/>
            <w:tcMar>
              <w:top w:w="80" w:type="dxa"/>
              <w:start w:w="120" w:type="dxa"/>
              <w:bottom w:w="80" w:type="dxa"/>
              <w:end w:w="120" w:type="dxa"/>
            </w:tcMar>
            <w:vAlign w:val="center"/>
          </w:tcPr>
          <w:p>
            <w:pPr>
              <w:spacing w:after="0" w:line="259" w:lineRule="auto"/>
            </w:pPr>
            <w:r>
              <w:rPr>
                <w:rFonts w:ascii="Calibri" w:hAnsi="Calibri"/>
                <w:b w:val="0"/>
                <w:color w:val="18212B"/>
                <w:sz w:val="17"/>
              </w:rPr>
              <w:t>Route proposed → accepted</w:t>
            </w:r>
          </w:p>
        </w:tc>
        <w:tc>
          <w:tcPr>
            <w:tcW w:type="dxa" w:w="2260"/>
            <w:tcMar>
              <w:top w:w="80" w:type="dxa"/>
              <w:start w:w="120" w:type="dxa"/>
              <w:bottom w:w="80" w:type="dxa"/>
              <w:end w:w="120" w:type="dxa"/>
            </w:tcMar>
            <w:vAlign w:val="center"/>
          </w:tcPr>
          <w:p>
            <w:pPr>
              <w:spacing w:after="0" w:line="259" w:lineRule="auto"/>
            </w:pPr>
            <w:r>
              <w:rPr>
                <w:rFonts w:ascii="Calibri" w:hAnsi="Calibri"/>
                <w:b w:val="0"/>
                <w:color w:val="18212B"/>
                <w:sz w:val="17"/>
              </w:rPr>
              <w:t>1 business day</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Information request response</w:t>
            </w:r>
          </w:p>
        </w:tc>
        <w:tc>
          <w:tcPr>
            <w:tcW w:type="dxa" w:w="46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Owner requests missing data</w:t>
            </w:r>
          </w:p>
        </w:tc>
        <w:tc>
          <w:tcPr>
            <w:tcW w:type="dxa" w:w="22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2 business days before auto-reminder</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Escalation decision</w:t>
            </w:r>
          </w:p>
        </w:tc>
        <w:tc>
          <w:tcPr>
            <w:tcW w:type="dxa" w:w="4600"/>
            <w:tcMar>
              <w:top w:w="80" w:type="dxa"/>
              <w:start w:w="120" w:type="dxa"/>
              <w:bottom w:w="80" w:type="dxa"/>
              <w:end w:w="120" w:type="dxa"/>
            </w:tcMar>
            <w:vAlign w:val="center"/>
          </w:tcPr>
          <w:p>
            <w:pPr>
              <w:spacing w:after="0" w:line="259" w:lineRule="auto"/>
            </w:pPr>
            <w:r>
              <w:rPr>
                <w:rFonts w:ascii="Calibri" w:hAnsi="Calibri"/>
                <w:b w:val="0"/>
                <w:color w:val="18212B"/>
                <w:sz w:val="17"/>
              </w:rPr>
              <w:t>Council receives complete exception</w:t>
            </w:r>
          </w:p>
        </w:tc>
        <w:tc>
          <w:tcPr>
            <w:tcW w:type="dxa" w:w="2260"/>
            <w:tcMar>
              <w:top w:w="80" w:type="dxa"/>
              <w:start w:w="120" w:type="dxa"/>
              <w:bottom w:w="80" w:type="dxa"/>
              <w:end w:w="120" w:type="dxa"/>
            </w:tcMar>
            <w:vAlign w:val="center"/>
          </w:tcPr>
          <w:p>
            <w:pPr>
              <w:spacing w:after="0" w:line="259" w:lineRule="auto"/>
            </w:pPr>
            <w:r>
              <w:rPr>
                <w:rFonts w:ascii="Calibri" w:hAnsi="Calibri"/>
                <w:b w:val="0"/>
                <w:color w:val="18212B"/>
                <w:sz w:val="17"/>
              </w:rPr>
              <w:t>2 business days</w:t>
            </w:r>
          </w:p>
        </w:tc>
      </w:tr>
    </w:tbl>
    <w:p>
      <w:pPr>
        <w:spacing w:after="20"/>
      </w:pPr>
    </w:p>
    <w:p>
      <w:pPr>
        <w:pStyle w:val="Heading2"/>
      </w:pPr>
      <w:r>
        <w:t>Escalation policy</w:t>
      </w:r>
    </w:p>
    <w:p>
      <w:pPr>
        <w:pStyle w:val="ListBullet"/>
        <w:spacing w:after="80" w:line="283" w:lineRule="auto"/>
      </w:pPr>
      <w:r>
        <w:rPr>
          <w:rFonts w:ascii="Calibri" w:hAnsi="Calibri"/>
          <w:b w:val="0"/>
          <w:color w:val="18212B"/>
          <w:sz w:val="20"/>
        </w:rPr>
        <w:t xml:space="preserve"> Escalate when two practices both claim or decline accountability after applying the tie-break order.</w:t>
      </w:r>
    </w:p>
    <w:p>
      <w:pPr>
        <w:pStyle w:val="ListBullet"/>
        <w:spacing w:after="80" w:line="283" w:lineRule="auto"/>
      </w:pPr>
      <w:r>
        <w:rPr>
          <w:rFonts w:ascii="Calibri" w:hAnsi="Calibri"/>
          <w:b w:val="0"/>
          <w:color w:val="18212B"/>
          <w:sz w:val="20"/>
        </w:rPr>
        <w:t xml:space="preserve"> Escalate any regulated, safety-critical, high-reputational-risk or mission-critical AI even if its numeric score is low.</w:t>
      </w:r>
    </w:p>
    <w:p>
      <w:pPr>
        <w:pStyle w:val="ListBullet"/>
        <w:spacing w:after="80" w:line="283" w:lineRule="auto"/>
      </w:pPr>
      <w:r>
        <w:rPr>
          <w:rFonts w:ascii="Calibri" w:hAnsi="Calibri"/>
          <w:b w:val="0"/>
          <w:color w:val="18212B"/>
          <w:sz w:val="20"/>
        </w:rPr>
        <w:t xml:space="preserve"> Escalate when the client requires a platform or partner commitment that conflicts with the default route.</w:t>
      </w:r>
    </w:p>
    <w:p>
      <w:pPr>
        <w:pStyle w:val="ListBullet"/>
        <w:spacing w:after="80" w:line="283" w:lineRule="auto"/>
      </w:pPr>
      <w:r>
        <w:rPr>
          <w:rFonts w:ascii="Calibri" w:hAnsi="Calibri"/>
          <w:b w:val="0"/>
          <w:color w:val="18212B"/>
          <w:sz w:val="20"/>
        </w:rPr>
        <w:t xml:space="preserve"> Do not escalate incomplete intakes; return them with the exact missing evidence and an owner.</w:t>
      </w:r>
    </w:p>
    <w:p>
      <w:pPr>
        <w:pStyle w:val="ListBullet"/>
        <w:spacing w:after="80" w:line="283" w:lineRule="auto"/>
      </w:pPr>
      <w:r>
        <w:rPr>
          <w:rFonts w:ascii="Calibri" w:hAnsi="Calibri"/>
          <w:b w:val="0"/>
          <w:color w:val="18212B"/>
          <w:sz w:val="20"/>
        </w:rPr>
        <w:t xml:space="preserve"> Every exception must include recommended decision, alternative, commercial impact, schedule impact and risk of delay.</w:t>
      </w:r>
    </w:p>
    <w:p>
      <w:pPr>
        <w:pStyle w:val="Heading1"/>
        <w:pageBreakBefore w:val="0"/>
      </w:pPr>
      <w:r>
        <w:t>7. Tool Architecture and Audit Controls</w:t>
      </w:r>
    </w:p>
    <w:p>
      <w:pPr>
        <w:spacing w:after="160"/>
        <w:jc w:val="center"/>
      </w:pPr>
      <w:r>
        <w:drawing>
          <wp:inline xmlns:a="http://schemas.openxmlformats.org/drawingml/2006/main" xmlns:pic="http://schemas.openxmlformats.org/drawingml/2006/picture">
            <wp:extent cx="5989320" cy="2994660"/>
            <wp:docPr id="3" name="Picture 3" descr="Layered tool architecture: Teams experience, workflow, Salesforce system of record, optional AI intelligence, and linked evidence."/>
            <wp:cNvGraphicFramePr>
              <a:graphicFrameLocks noChangeAspect="1"/>
            </wp:cNvGraphicFramePr>
            <a:graphic>
              <a:graphicData uri="http://schemas.openxmlformats.org/drawingml/2006/picture">
                <pic:pic>
                  <pic:nvPicPr>
                    <pic:cNvPr id="0" name="tool_architecture.png"/>
                    <pic:cNvPicPr/>
                  </pic:nvPicPr>
                  <pic:blipFill>
                    <a:blip r:embed="rId13"/>
                    <a:stretch>
                      <a:fillRect/>
                    </a:stretch>
                  </pic:blipFill>
                  <pic:spPr>
                    <a:xfrm>
                      <a:off x="0" y="0"/>
                      <a:ext cx="5989320" cy="2994660"/>
                    </a:xfrm>
                    <a:prstGeom prst="rect"/>
                  </pic:spPr>
                </pic:pic>
              </a:graphicData>
            </a:graphic>
          </wp:inline>
        </w:drawing>
      </w:r>
    </w:p>
    <w:p>
      <w:pPr>
        <w:pStyle w:val="Heading2"/>
      </w:pPr>
      <w:r>
        <w:t>Recommended use of existing tools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500"/>
        <w:gridCol w:w="5300"/>
        <w:gridCol w:w="2560"/>
      </w:tblGrid>
      <w:tr>
        <w:trPr>
          <w:tblHeader w:val="true"/>
          <w:cantSplit/>
        </w:trPr>
        <w:tc>
          <w:tcPr>
            <w:tcW w:type="dxa" w:w="1500"/>
            <w:shd w:fill="E8EEF5"/>
            <w:tcMar>
              <w:top w:w="80" w:type="dxa"/>
              <w:start w:w="120" w:type="dxa"/>
              <w:bottom w:w="80" w:type="dxa"/>
              <w:end w:w="120" w:type="dxa"/>
            </w:tcMar>
            <w:vAlign w:val="center"/>
          </w:tcPr>
          <w:p>
            <w:pPr>
              <w:spacing w:after="0"/>
            </w:pPr>
            <w:r>
              <w:rPr>
                <w:rFonts w:ascii="Calibri" w:hAnsi="Calibri"/>
                <w:b/>
                <w:color w:val="0B2545"/>
                <w:sz w:val="17"/>
              </w:rPr>
              <w:t>Tool</w:t>
            </w:r>
          </w:p>
        </w:tc>
        <w:tc>
          <w:tcPr>
            <w:tcW w:type="dxa" w:w="5300"/>
            <w:shd w:fill="E8EEF5"/>
            <w:tcMar>
              <w:top w:w="80" w:type="dxa"/>
              <w:start w:w="120" w:type="dxa"/>
              <w:bottom w:w="80" w:type="dxa"/>
              <w:end w:w="120" w:type="dxa"/>
            </w:tcMar>
            <w:vAlign w:val="center"/>
          </w:tcPr>
          <w:p>
            <w:pPr>
              <w:spacing w:after="0"/>
            </w:pPr>
            <w:r>
              <w:rPr>
                <w:rFonts w:ascii="Calibri" w:hAnsi="Calibri"/>
                <w:b/>
                <w:color w:val="0B2545"/>
                <w:sz w:val="17"/>
              </w:rPr>
              <w:t>Role</w:t>
            </w:r>
          </w:p>
        </w:tc>
        <w:tc>
          <w:tcPr>
            <w:tcW w:type="dxa" w:w="2560"/>
            <w:shd w:fill="E8EEF5"/>
            <w:tcMar>
              <w:top w:w="80" w:type="dxa"/>
              <w:start w:w="120" w:type="dxa"/>
              <w:bottom w:w="80" w:type="dxa"/>
              <w:end w:w="120" w:type="dxa"/>
            </w:tcMar>
            <w:vAlign w:val="center"/>
          </w:tcPr>
          <w:p>
            <w:pPr>
              <w:spacing w:after="0"/>
            </w:pPr>
            <w:r>
              <w:rPr>
                <w:rFonts w:ascii="Calibri" w:hAnsi="Calibri"/>
                <w:b/>
                <w:color w:val="0B2545"/>
                <w:sz w:val="17"/>
              </w:rPr>
              <w:t>Authority</w:t>
            </w:r>
          </w:p>
        </w:tc>
      </w:tr>
      <w:tr>
        <w:trPr>
          <w:cantSplit/>
        </w:trPr>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7"/>
              </w:rPr>
              <w:t>Salesforce</w:t>
            </w:r>
          </w:p>
        </w:tc>
        <w:tc>
          <w:tcPr>
            <w:tcW w:type="dxa" w:w="5300"/>
            <w:tcMar>
              <w:top w:w="80" w:type="dxa"/>
              <w:start w:w="120" w:type="dxa"/>
              <w:bottom w:w="80" w:type="dxa"/>
              <w:end w:w="120" w:type="dxa"/>
            </w:tcMar>
            <w:vAlign w:val="center"/>
          </w:tcPr>
          <w:p>
            <w:pPr>
              <w:spacing w:after="0" w:line="259" w:lineRule="auto"/>
            </w:pPr>
            <w:r>
              <w:rPr>
                <w:rFonts w:ascii="Calibri" w:hAnsi="Calibri"/>
                <w:b w:val="0"/>
                <w:color w:val="18212B"/>
                <w:sz w:val="17"/>
              </w:rPr>
              <w:t>Authoritative intake, Opportunity linkage, owner, score, decisions, approvals, SLAs and metrics.</w:t>
            </w:r>
          </w:p>
        </w:tc>
        <w:tc>
          <w:tcPr>
            <w:tcW w:type="dxa" w:w="2560"/>
            <w:tcMar>
              <w:top w:w="80" w:type="dxa"/>
              <w:start w:w="120" w:type="dxa"/>
              <w:bottom w:w="80" w:type="dxa"/>
              <w:end w:w="120" w:type="dxa"/>
            </w:tcMar>
            <w:vAlign w:val="center"/>
          </w:tcPr>
          <w:p>
            <w:pPr>
              <w:spacing w:after="0" w:line="259" w:lineRule="auto"/>
            </w:pPr>
            <w:r>
              <w:rPr>
                <w:rFonts w:ascii="Calibri" w:hAnsi="Calibri"/>
                <w:b w:val="0"/>
                <w:color w:val="18212B"/>
                <w:sz w:val="17"/>
              </w:rPr>
              <w:t>System of record</w:t>
            </w:r>
          </w:p>
        </w:tc>
      </w:tr>
      <w:tr>
        <w:trPr>
          <w:cantSplit/>
        </w:trPr>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MS Teams</w:t>
            </w:r>
          </w:p>
        </w:tc>
        <w:tc>
          <w:tcPr>
            <w:tcW w:type="dxa" w:w="53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Notifications, triage channel, discussion, meeting artifacts and optional Adaptive Card actions.</w:t>
            </w:r>
          </w:p>
        </w:tc>
        <w:tc>
          <w:tcPr>
            <w:tcW w:type="dxa" w:w="25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Collaboration surface</w:t>
            </w:r>
          </w:p>
        </w:tc>
      </w:tr>
      <w:tr>
        <w:trPr>
          <w:cantSplit/>
        </w:trPr>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7"/>
              </w:rPr>
              <w:t>Power Automate / Teams Approvals</w:t>
            </w:r>
          </w:p>
        </w:tc>
        <w:tc>
          <w:tcPr>
            <w:tcW w:type="dxa" w:w="5300"/>
            <w:tcMar>
              <w:top w:w="80" w:type="dxa"/>
              <w:start w:w="120" w:type="dxa"/>
              <w:bottom w:w="80" w:type="dxa"/>
              <w:end w:w="120" w:type="dxa"/>
            </w:tcMar>
            <w:vAlign w:val="center"/>
          </w:tcPr>
          <w:p>
            <w:pPr>
              <w:spacing w:after="0" w:line="259" w:lineRule="auto"/>
            </w:pPr>
            <w:r>
              <w:rPr>
                <w:rFonts w:ascii="Calibri" w:hAnsi="Calibri"/>
                <w:b w:val="0"/>
                <w:color w:val="18212B"/>
                <w:sz w:val="17"/>
              </w:rPr>
              <w:t>Cross-platform notifications and lightweight human approvals where approved by enterprise architecture.</w:t>
            </w:r>
          </w:p>
        </w:tc>
        <w:tc>
          <w:tcPr>
            <w:tcW w:type="dxa" w:w="2560"/>
            <w:tcMar>
              <w:top w:w="80" w:type="dxa"/>
              <w:start w:w="120" w:type="dxa"/>
              <w:bottom w:w="80" w:type="dxa"/>
              <w:end w:w="120" w:type="dxa"/>
            </w:tcMar>
            <w:vAlign w:val="center"/>
          </w:tcPr>
          <w:p>
            <w:pPr>
              <w:spacing w:after="0" w:line="259" w:lineRule="auto"/>
            </w:pPr>
            <w:r>
              <w:rPr>
                <w:rFonts w:ascii="Calibri" w:hAnsi="Calibri"/>
                <w:b w:val="0"/>
                <w:color w:val="18212B"/>
                <w:sz w:val="17"/>
              </w:rPr>
              <w:t>Orchestration bridge</w:t>
            </w:r>
          </w:p>
        </w:tc>
      </w:tr>
      <w:tr>
        <w:trPr>
          <w:cantSplit/>
        </w:trPr>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Claude</w:t>
            </w:r>
          </w:p>
        </w:tc>
        <w:tc>
          <w:tcPr>
            <w:tcW w:type="dxa" w:w="53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Draft discovery questions, summarize notes, challenge assumptions, identify missing data and propose classification.</w:t>
            </w:r>
          </w:p>
        </w:tc>
        <w:tc>
          <w:tcPr>
            <w:tcW w:type="dxa" w:w="25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Advisory assistant; no autonomous approval</w:t>
            </w:r>
          </w:p>
        </w:tc>
      </w:tr>
      <w:tr>
        <w:trPr>
          <w:cantSplit/>
        </w:trPr>
        <w:tc>
          <w:tcPr>
            <w:tcW w:type="dxa" w:w="1500"/>
            <w:tcMar>
              <w:top w:w="80" w:type="dxa"/>
              <w:start w:w="120" w:type="dxa"/>
              <w:bottom w:w="80" w:type="dxa"/>
              <w:end w:w="120" w:type="dxa"/>
            </w:tcMar>
            <w:vAlign w:val="center"/>
          </w:tcPr>
          <w:p>
            <w:pPr>
              <w:spacing w:after="0" w:line="259" w:lineRule="auto"/>
            </w:pPr>
            <w:r>
              <w:rPr>
                <w:rFonts w:ascii="Calibri" w:hAnsi="Calibri"/>
                <w:b w:val="0"/>
                <w:color w:val="18212B"/>
                <w:sz w:val="17"/>
              </w:rPr>
              <w:t>MS Copilot</w:t>
            </w:r>
          </w:p>
        </w:tc>
        <w:tc>
          <w:tcPr>
            <w:tcW w:type="dxa" w:w="5300"/>
            <w:tcMar>
              <w:top w:w="80" w:type="dxa"/>
              <w:start w:w="120" w:type="dxa"/>
              <w:bottom w:w="80" w:type="dxa"/>
              <w:end w:w="120" w:type="dxa"/>
            </w:tcMar>
            <w:vAlign w:val="center"/>
          </w:tcPr>
          <w:p>
            <w:pPr>
              <w:spacing w:after="0" w:line="259" w:lineRule="auto"/>
            </w:pPr>
            <w:r>
              <w:rPr>
                <w:rFonts w:ascii="Calibri" w:hAnsi="Calibri"/>
                <w:b w:val="0"/>
                <w:color w:val="18212B"/>
                <w:sz w:val="17"/>
              </w:rPr>
              <w:t>Search/summarize approved Microsoft content, prepare briefs and assist Teams-based work.</w:t>
            </w:r>
          </w:p>
        </w:tc>
        <w:tc>
          <w:tcPr>
            <w:tcW w:type="dxa" w:w="2560"/>
            <w:tcMar>
              <w:top w:w="80" w:type="dxa"/>
              <w:start w:w="120" w:type="dxa"/>
              <w:bottom w:w="80" w:type="dxa"/>
              <w:end w:w="120" w:type="dxa"/>
            </w:tcMar>
            <w:vAlign w:val="center"/>
          </w:tcPr>
          <w:p>
            <w:pPr>
              <w:spacing w:after="0" w:line="259" w:lineRule="auto"/>
            </w:pPr>
            <w:r>
              <w:rPr>
                <w:rFonts w:ascii="Calibri" w:hAnsi="Calibri"/>
                <w:b w:val="0"/>
                <w:color w:val="18212B"/>
                <w:sz w:val="17"/>
              </w:rPr>
              <w:t>Productivity assistant</w:t>
            </w:r>
          </w:p>
        </w:tc>
      </w:tr>
      <w:tr>
        <w:trPr>
          <w:cantSplit/>
        </w:trPr>
        <w:tc>
          <w:tcPr>
            <w:tcW w:type="dxa" w:w="1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SharePoint / Teams files</w:t>
            </w:r>
          </w:p>
        </w:tc>
        <w:tc>
          <w:tcPr>
            <w:tcW w:type="dxa" w:w="53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Store approved artifacts; link them to the Salesforce Intake ID.</w:t>
            </w:r>
          </w:p>
        </w:tc>
        <w:tc>
          <w:tcPr>
            <w:tcW w:type="dxa" w:w="25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Evidence repository</w:t>
            </w:r>
          </w:p>
        </w:tc>
      </w:tr>
    </w:tbl>
    <w:p>
      <w:pPr>
        <w:spacing w:after="20"/>
      </w:pPr>
    </w:p>
    <w:p>
      <w:pPr>
        <w:pStyle w:val="Heading2"/>
      </w:pPr>
      <w:r>
        <w:t>MVP data model in Salesforce</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200"/>
        <w:gridCol w:w="7160"/>
      </w:tblGrid>
      <w:tr>
        <w:trPr>
          <w:tblHeader w:val="true"/>
          <w:cantSplit/>
        </w:trPr>
        <w:tc>
          <w:tcPr>
            <w:tcW w:type="dxa" w:w="2200"/>
            <w:shd w:fill="E8EEF5"/>
            <w:tcMar>
              <w:top w:w="80" w:type="dxa"/>
              <w:start w:w="120" w:type="dxa"/>
              <w:bottom w:w="80" w:type="dxa"/>
              <w:end w:w="120" w:type="dxa"/>
            </w:tcMar>
            <w:vAlign w:val="center"/>
          </w:tcPr>
          <w:p>
            <w:pPr>
              <w:spacing w:after="0"/>
            </w:pPr>
            <w:r>
              <w:rPr>
                <w:rFonts w:ascii="Calibri" w:hAnsi="Calibri"/>
                <w:b/>
                <w:color w:val="0B2545"/>
                <w:sz w:val="18"/>
              </w:rPr>
              <w:t>Record / object</w:t>
            </w:r>
          </w:p>
        </w:tc>
        <w:tc>
          <w:tcPr>
            <w:tcW w:type="dxa" w:w="7160"/>
            <w:shd w:fill="E8EEF5"/>
            <w:tcMar>
              <w:top w:w="80" w:type="dxa"/>
              <w:start w:w="120" w:type="dxa"/>
              <w:bottom w:w="80" w:type="dxa"/>
              <w:end w:w="120" w:type="dxa"/>
            </w:tcMar>
            <w:vAlign w:val="center"/>
          </w:tcPr>
          <w:p>
            <w:pPr>
              <w:spacing w:after="0"/>
            </w:pPr>
            <w:r>
              <w:rPr>
                <w:rFonts w:ascii="Calibri" w:hAnsi="Calibri"/>
                <w:b/>
                <w:color w:val="0B2545"/>
                <w:sz w:val="18"/>
              </w:rPr>
              <w:t>Purpose</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AI Intake</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One record per request; unique Intake ID; linked Opportunity; status; priority; owner.</w:t>
            </w:r>
          </w:p>
        </w:tc>
      </w:tr>
      <w:tr>
        <w:trPr>
          <w:cantSplit/>
        </w:trPr>
        <w:tc>
          <w:tcPr>
            <w:tcW w:type="dxa" w:w="2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Routing Decision</w:t>
            </w:r>
          </w:p>
        </w:tc>
        <w:tc>
          <w:tcPr>
            <w:tcW w:type="dxa" w:w="71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Score, model, Practice of Record, supporting practices, rationale, approver, timestamp, override.</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Solution Review</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Architecture, delivery, security and commercial review outcomes with named reviewers.</w:t>
            </w:r>
          </w:p>
        </w:tc>
      </w:tr>
      <w:tr>
        <w:trPr>
          <w:cantSplit/>
        </w:trPr>
        <w:tc>
          <w:tcPr>
            <w:tcW w:type="dxa" w:w="22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Contribution Record</w:t>
            </w:r>
          </w:p>
        </w:tc>
        <w:tc>
          <w:tcPr>
            <w:tcW w:type="dxa" w:w="71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Sourced, owned, influenced and routed revenue; solutioning hours; reusable asset.</w:t>
            </w:r>
          </w:p>
        </w:tc>
      </w:tr>
      <w:tr>
        <w:trPr>
          <w:cantSplit/>
        </w:trPr>
        <w:tc>
          <w:tcPr>
            <w:tcW w:type="dxa" w:w="2200"/>
            <w:tcMar>
              <w:top w:w="80" w:type="dxa"/>
              <w:start w:w="120" w:type="dxa"/>
              <w:bottom w:w="80" w:type="dxa"/>
              <w:end w:w="120" w:type="dxa"/>
            </w:tcMar>
            <w:vAlign w:val="center"/>
          </w:tcPr>
          <w:p>
            <w:pPr>
              <w:spacing w:after="0" w:line="259" w:lineRule="auto"/>
            </w:pPr>
            <w:r>
              <w:rPr>
                <w:rFonts w:ascii="Calibri" w:hAnsi="Calibri"/>
                <w:b w:val="0"/>
                <w:color w:val="18212B"/>
                <w:sz w:val="18"/>
              </w:rPr>
              <w:t>Intake Activity / History</w:t>
            </w:r>
          </w:p>
        </w:tc>
        <w:tc>
          <w:tcPr>
            <w:tcW w:type="dxa" w:w="7160"/>
            <w:tcMar>
              <w:top w:w="80" w:type="dxa"/>
              <w:start w:w="120" w:type="dxa"/>
              <w:bottom w:w="80" w:type="dxa"/>
              <w:end w:w="120" w:type="dxa"/>
            </w:tcMar>
            <w:vAlign w:val="center"/>
          </w:tcPr>
          <w:p>
            <w:pPr>
              <w:spacing w:after="0" w:line="259" w:lineRule="auto"/>
            </w:pPr>
            <w:r>
              <w:rPr>
                <w:rFonts w:ascii="Calibri" w:hAnsi="Calibri"/>
                <w:b w:val="0"/>
                <w:color w:val="18212B"/>
                <w:sz w:val="18"/>
              </w:rPr>
              <w:t>Status changes, acceptance, requests for information, SLA milestones and decisions.</w:t>
            </w:r>
          </w:p>
        </w:tc>
      </w:tr>
    </w:tbl>
    <w:p>
      <w:pPr>
        <w:spacing w:after="20"/>
      </w:pPr>
    </w:p>
    <w:p>
      <w:pPr>
        <w:pStyle w:val="Heading2"/>
      </w:pPr>
      <w:r>
        <w:t>Mandatory audit controls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900"/>
        <w:gridCol w:w="7460"/>
      </w:tblGrid>
      <w:tr>
        <w:trPr>
          <w:tblHeader w:val="true"/>
          <w:cantSplit/>
        </w:trPr>
        <w:tc>
          <w:tcPr>
            <w:tcW w:type="dxa" w:w="1900"/>
            <w:shd w:fill="E8EEF5"/>
            <w:tcMar>
              <w:top w:w="80" w:type="dxa"/>
              <w:start w:w="120" w:type="dxa"/>
              <w:bottom w:w="80" w:type="dxa"/>
              <w:end w:w="120" w:type="dxa"/>
            </w:tcMar>
            <w:vAlign w:val="center"/>
          </w:tcPr>
          <w:p>
            <w:pPr>
              <w:spacing w:after="0"/>
            </w:pPr>
            <w:r>
              <w:rPr>
                <w:rFonts w:ascii="Calibri" w:hAnsi="Calibri"/>
                <w:b/>
                <w:color w:val="0B2545"/>
                <w:sz w:val="17"/>
              </w:rPr>
              <w:t>Control</w:t>
            </w:r>
          </w:p>
        </w:tc>
        <w:tc>
          <w:tcPr>
            <w:tcW w:type="dxa" w:w="7460"/>
            <w:shd w:fill="E8EEF5"/>
            <w:tcMar>
              <w:top w:w="80" w:type="dxa"/>
              <w:start w:w="120" w:type="dxa"/>
              <w:bottom w:w="80" w:type="dxa"/>
              <w:end w:w="120" w:type="dxa"/>
            </w:tcMar>
            <w:vAlign w:val="center"/>
          </w:tcPr>
          <w:p>
            <w:pPr>
              <w:spacing w:after="0"/>
            </w:pPr>
            <w:r>
              <w:rPr>
                <w:rFonts w:ascii="Calibri" w:hAnsi="Calibri"/>
                <w:b/>
                <w:color w:val="0B2545"/>
                <w:sz w:val="17"/>
              </w:rPr>
              <w:t>Minimum requirement</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7"/>
              </w:rPr>
              <w:t>Identity</w:t>
            </w:r>
          </w:p>
        </w:tc>
        <w:tc>
          <w:tcPr>
            <w:tcW w:type="dxa" w:w="7460"/>
            <w:tcMar>
              <w:top w:w="80" w:type="dxa"/>
              <w:start w:w="120" w:type="dxa"/>
              <w:bottom w:w="80" w:type="dxa"/>
              <w:end w:w="120" w:type="dxa"/>
            </w:tcMar>
            <w:vAlign w:val="center"/>
          </w:tcPr>
          <w:p>
            <w:pPr>
              <w:spacing w:after="0" w:line="259" w:lineRule="auto"/>
            </w:pPr>
            <w:r>
              <w:rPr>
                <w:rFonts w:ascii="Calibri" w:hAnsi="Calibri"/>
                <w:b w:val="0"/>
                <w:color w:val="18212B"/>
                <w:sz w:val="17"/>
              </w:rPr>
              <w:t>Named submitter, owner, approver and receiving owner; no shared-user approvals.</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Time</w:t>
            </w:r>
          </w:p>
        </w:tc>
        <w:tc>
          <w:tcPr>
            <w:tcW w:type="dxa" w:w="74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Immutable created/modified timestamps plus decision and acceptance times.</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7"/>
              </w:rPr>
              <w:t>Version</w:t>
            </w:r>
          </w:p>
        </w:tc>
        <w:tc>
          <w:tcPr>
            <w:tcW w:type="dxa" w:w="7460"/>
            <w:tcMar>
              <w:top w:w="80" w:type="dxa"/>
              <w:start w:w="120" w:type="dxa"/>
              <w:bottom w:w="80" w:type="dxa"/>
              <w:end w:w="120" w:type="dxa"/>
            </w:tcMar>
            <w:vAlign w:val="center"/>
          </w:tcPr>
          <w:p>
            <w:pPr>
              <w:spacing w:after="0" w:line="259" w:lineRule="auto"/>
            </w:pPr>
            <w:r>
              <w:rPr>
                <w:rFonts w:ascii="Calibri" w:hAnsi="Calibri"/>
                <w:b w:val="0"/>
                <w:color w:val="18212B"/>
                <w:sz w:val="17"/>
              </w:rPr>
              <w:t>Rubric version stored with each decision so historical scores remain explainable.</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Rationale</w:t>
            </w:r>
          </w:p>
        </w:tc>
        <w:tc>
          <w:tcPr>
            <w:tcW w:type="dxa" w:w="74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Human-readable reason required for route, no-pursuit and override decisions.</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7"/>
              </w:rPr>
              <w:t>Evidence</w:t>
            </w:r>
          </w:p>
        </w:tc>
        <w:tc>
          <w:tcPr>
            <w:tcW w:type="dxa" w:w="7460"/>
            <w:tcMar>
              <w:top w:w="80" w:type="dxa"/>
              <w:start w:w="120" w:type="dxa"/>
              <w:bottom w:w="80" w:type="dxa"/>
              <w:end w:w="120" w:type="dxa"/>
            </w:tcMar>
            <w:vAlign w:val="center"/>
          </w:tcPr>
          <w:p>
            <w:pPr>
              <w:spacing w:after="0" w:line="259" w:lineRule="auto"/>
            </w:pPr>
            <w:r>
              <w:rPr>
                <w:rFonts w:ascii="Calibri" w:hAnsi="Calibri"/>
                <w:b w:val="0"/>
                <w:color w:val="18212B"/>
                <w:sz w:val="17"/>
              </w:rPr>
              <w:t>Links to approved discovery, architecture, estimate, risk and SOW artifacts.</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Separation of duties</w:t>
            </w:r>
          </w:p>
        </w:tc>
        <w:tc>
          <w:tcPr>
            <w:tcW w:type="dxa" w:w="74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High-risk or strategic AI cannot be self-approved by its solution author.</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7"/>
              </w:rPr>
              <w:t>Least privilege</w:t>
            </w:r>
          </w:p>
        </w:tc>
        <w:tc>
          <w:tcPr>
            <w:tcW w:type="dxa" w:w="7460"/>
            <w:tcMar>
              <w:top w:w="80" w:type="dxa"/>
              <w:start w:w="120" w:type="dxa"/>
              <w:bottom w:w="80" w:type="dxa"/>
              <w:end w:w="120" w:type="dxa"/>
            </w:tcMar>
            <w:vAlign w:val="center"/>
          </w:tcPr>
          <w:p>
            <w:pPr>
              <w:spacing w:after="0" w:line="259" w:lineRule="auto"/>
            </w:pPr>
            <w:r>
              <w:rPr>
                <w:rFonts w:ascii="Calibri" w:hAnsi="Calibri"/>
                <w:b w:val="0"/>
                <w:color w:val="18212B"/>
                <w:sz w:val="17"/>
              </w:rPr>
              <w:t>Role-based field/object access; sensitive fields not broadcast to Teams channels.</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Retention</w:t>
            </w:r>
          </w:p>
        </w:tc>
        <w:tc>
          <w:tcPr>
            <w:tcW w:type="dxa" w:w="74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Follow corporate retention, legal hold, customer confidentiality and CRM policies.</w:t>
            </w:r>
          </w:p>
        </w:tc>
      </w:tr>
      <w:tr>
        <w:trPr>
          <w:cantSplit/>
        </w:trPr>
        <w:tc>
          <w:tcPr>
            <w:tcW w:type="dxa" w:w="1900"/>
            <w:tcMar>
              <w:top w:w="80" w:type="dxa"/>
              <w:start w:w="120" w:type="dxa"/>
              <w:bottom w:w="80" w:type="dxa"/>
              <w:end w:w="120" w:type="dxa"/>
            </w:tcMar>
            <w:vAlign w:val="center"/>
          </w:tcPr>
          <w:p>
            <w:pPr>
              <w:spacing w:after="0" w:line="259" w:lineRule="auto"/>
            </w:pPr>
            <w:r>
              <w:rPr>
                <w:rFonts w:ascii="Calibri" w:hAnsi="Calibri"/>
                <w:b w:val="0"/>
                <w:color w:val="18212B"/>
                <w:sz w:val="17"/>
              </w:rPr>
              <w:t>AI provenance</w:t>
            </w:r>
          </w:p>
        </w:tc>
        <w:tc>
          <w:tcPr>
            <w:tcW w:type="dxa" w:w="7460"/>
            <w:tcMar>
              <w:top w:w="80" w:type="dxa"/>
              <w:start w:w="120" w:type="dxa"/>
              <w:bottom w:w="80" w:type="dxa"/>
              <w:end w:w="120" w:type="dxa"/>
            </w:tcMar>
            <w:vAlign w:val="center"/>
          </w:tcPr>
          <w:p>
            <w:pPr>
              <w:spacing w:after="0" w:line="259" w:lineRule="auto"/>
            </w:pPr>
            <w:r>
              <w:rPr>
                <w:rFonts w:ascii="Calibri" w:hAnsi="Calibri"/>
                <w:b w:val="0"/>
                <w:color w:val="18212B"/>
                <w:sz w:val="17"/>
              </w:rPr>
              <w:t>Label AI-generated drafts; retain final human-approved text, not hidden chain-of-thought.</w:t>
            </w:r>
          </w:p>
        </w:tc>
      </w:tr>
      <w:tr>
        <w:trPr>
          <w:cantSplit/>
        </w:trPr>
        <w:tc>
          <w:tcPr>
            <w:tcW w:type="dxa" w:w="19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Monitoring</w:t>
            </w:r>
          </w:p>
        </w:tc>
        <w:tc>
          <w:tcPr>
            <w:tcW w:type="dxa" w:w="74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Report overdue routing, unaccepted handoffs, overrides, reopened decisions and orphaned records.</w:t>
            </w:r>
          </w:p>
        </w:tc>
      </w:tr>
    </w:tbl>
    <w:p>
      <w:pPr>
        <w:spacing w:after="20"/>
      </w:pPr>
    </w:p>
    <w:p>
      <w:pPr>
        <w:pStyle w:val="Heading2"/>
      </w:pPr>
      <w:r>
        <w:t>Implementation note</w:t>
      </w:r>
    </w:p>
    <w:p>
      <w:pPr>
        <w:spacing w:after="100" w:line="283" w:lineRule="auto"/>
        <w:jc w:val="left"/>
      </w:pPr>
      <w:r>
        <w:rPr>
          <w:rFonts w:ascii="Calibri" w:hAnsi="Calibri"/>
          <w:b w:val="0"/>
          <w:i w:val="0"/>
          <w:color w:val="18212B"/>
          <w:sz w:val="20"/>
        </w:rPr>
        <w:t>Salesforce Flow can support record-triggered approval processes and work items, while Power Automate can post Adaptive Cards and approvals into Teams. Microsoft also documents Salesforce connectors for Power Platform and Microsoft 365 Copilot. Those capabilities make the proposed architecture feasible, but licensing, API access, field-level security, data-loss-prevention policy and production support ownership must be validated before build.</w:t>
      </w:r>
    </w:p>
    <w:p>
      <w:pPr>
        <w:spacing w:after="100" w:line="283" w:lineRule="auto"/>
        <w:jc w:val="left"/>
      </w:pPr>
      <w:r>
        <w:rPr>
          <w:rFonts w:ascii="Calibri" w:hAnsi="Calibri"/>
          <w:b w:val="0"/>
          <w:i w:val="0"/>
          <w:color w:val="18212B"/>
          <w:sz w:val="20"/>
        </w:rPr>
        <w:t>AI assistants should receive only the minimum approved context. They may produce a recommendation and confidence statement, but they should not update the authoritative route, approve an exception or release a solution without an identified human action.</w:t>
      </w:r>
    </w:p>
    <w:p>
      <w:pPr>
        <w:pStyle w:val="Heading1"/>
        <w:pageBreakBefore w:val="0"/>
      </w:pPr>
      <w:r>
        <w:t>8. Implementation Roadmap and Measures</w:t>
      </w:r>
    </w:p>
    <w:p>
      <w:pPr>
        <w:pStyle w:val="Heading2"/>
      </w:pPr>
      <w:r>
        <w:t>60-day MVP roadmap</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800"/>
        <w:gridCol w:w="4800"/>
        <w:gridCol w:w="2760"/>
      </w:tblGrid>
      <w:tr>
        <w:trPr>
          <w:tblHeader w:val="true"/>
          <w:cantSplit/>
        </w:trPr>
        <w:tc>
          <w:tcPr>
            <w:tcW w:type="dxa" w:w="1800"/>
            <w:shd w:fill="E8EEF5"/>
            <w:tcMar>
              <w:top w:w="80" w:type="dxa"/>
              <w:start w:w="120" w:type="dxa"/>
              <w:bottom w:w="80" w:type="dxa"/>
              <w:end w:w="120" w:type="dxa"/>
            </w:tcMar>
            <w:vAlign w:val="center"/>
          </w:tcPr>
          <w:p>
            <w:pPr>
              <w:spacing w:after="0"/>
            </w:pPr>
            <w:r>
              <w:rPr>
                <w:rFonts w:ascii="Calibri" w:hAnsi="Calibri"/>
                <w:b/>
                <w:color w:val="0B2545"/>
                <w:sz w:val="17"/>
              </w:rPr>
              <w:t>Phase</w:t>
            </w:r>
          </w:p>
        </w:tc>
        <w:tc>
          <w:tcPr>
            <w:tcW w:type="dxa" w:w="4800"/>
            <w:shd w:fill="E8EEF5"/>
            <w:tcMar>
              <w:top w:w="80" w:type="dxa"/>
              <w:start w:w="120" w:type="dxa"/>
              <w:bottom w:w="80" w:type="dxa"/>
              <w:end w:w="120" w:type="dxa"/>
            </w:tcMar>
            <w:vAlign w:val="center"/>
          </w:tcPr>
          <w:p>
            <w:pPr>
              <w:spacing w:after="0"/>
            </w:pPr>
            <w:r>
              <w:rPr>
                <w:rFonts w:ascii="Calibri" w:hAnsi="Calibri"/>
                <w:b/>
                <w:color w:val="0B2545"/>
                <w:sz w:val="17"/>
              </w:rPr>
              <w:t>Work</w:t>
            </w:r>
          </w:p>
        </w:tc>
        <w:tc>
          <w:tcPr>
            <w:tcW w:type="dxa" w:w="2760"/>
            <w:shd w:fill="E8EEF5"/>
            <w:tcMar>
              <w:top w:w="80" w:type="dxa"/>
              <w:start w:w="120" w:type="dxa"/>
              <w:bottom w:w="80" w:type="dxa"/>
              <w:end w:w="120" w:type="dxa"/>
            </w:tcMar>
            <w:vAlign w:val="center"/>
          </w:tcPr>
          <w:p>
            <w:pPr>
              <w:spacing w:after="0"/>
            </w:pPr>
            <w:r>
              <w:rPr>
                <w:rFonts w:ascii="Calibri" w:hAnsi="Calibri"/>
                <w:b/>
                <w:color w:val="0B2545"/>
                <w:sz w:val="17"/>
              </w:rPr>
              <w:t>Exit criteria</w:t>
            </w:r>
          </w:p>
        </w:tc>
      </w:tr>
      <w:tr>
        <w:trPr>
          <w:cantSplit/>
        </w:trPr>
        <w:tc>
          <w:tcPr>
            <w:tcW w:type="dxa" w:w="1800"/>
            <w:tcMar>
              <w:top w:w="80" w:type="dxa"/>
              <w:start w:w="120" w:type="dxa"/>
              <w:bottom w:w="80" w:type="dxa"/>
              <w:end w:w="120" w:type="dxa"/>
            </w:tcMar>
            <w:vAlign w:val="center"/>
          </w:tcPr>
          <w:p>
            <w:pPr>
              <w:spacing w:after="0" w:line="259" w:lineRule="auto"/>
            </w:pPr>
            <w:r>
              <w:rPr>
                <w:rFonts w:ascii="Calibri" w:hAnsi="Calibri"/>
                <w:b w:val="0"/>
                <w:color w:val="18212B"/>
                <w:sz w:val="17"/>
              </w:rPr>
              <w:t>Days 0–10 — Decide</w:t>
            </w:r>
          </w:p>
        </w:tc>
        <w:tc>
          <w:tcPr>
            <w:tcW w:type="dxa" w:w="4800"/>
            <w:tcMar>
              <w:top w:w="80" w:type="dxa"/>
              <w:start w:w="120" w:type="dxa"/>
              <w:bottom w:w="80" w:type="dxa"/>
              <w:end w:w="120" w:type="dxa"/>
            </w:tcMar>
            <w:vAlign w:val="center"/>
          </w:tcPr>
          <w:p>
            <w:pPr>
              <w:spacing w:after="0" w:line="259" w:lineRule="auto"/>
            </w:pPr>
            <w:r>
              <w:rPr>
                <w:rFonts w:ascii="Calibri" w:hAnsi="Calibri"/>
                <w:b w:val="0"/>
                <w:color w:val="18212B"/>
                <w:sz w:val="17"/>
              </w:rPr>
              <w:t>Confirm sponsor, process owner, Practice of Record taxonomy, score thresholds, SLAs, data owner and pilot group.</w:t>
            </w:r>
          </w:p>
        </w:tc>
        <w:tc>
          <w:tcPr>
            <w:tcW w:type="dxa" w:w="2760"/>
            <w:tcMar>
              <w:top w:w="80" w:type="dxa"/>
              <w:start w:w="120" w:type="dxa"/>
              <w:bottom w:w="80" w:type="dxa"/>
              <w:end w:w="120" w:type="dxa"/>
            </w:tcMar>
            <w:vAlign w:val="center"/>
          </w:tcPr>
          <w:p>
            <w:pPr>
              <w:spacing w:after="0" w:line="259" w:lineRule="auto"/>
            </w:pPr>
            <w:r>
              <w:rPr>
                <w:rFonts w:ascii="Calibri" w:hAnsi="Calibri"/>
                <w:b w:val="0"/>
                <w:color w:val="18212B"/>
                <w:sz w:val="17"/>
              </w:rPr>
              <w:t>Signed operating decisions; backlog; named admins.</w:t>
            </w:r>
          </w:p>
        </w:tc>
      </w:tr>
      <w:tr>
        <w:trPr>
          <w:cantSplit/>
        </w:trPr>
        <w:tc>
          <w:tcPr>
            <w:tcW w:type="dxa" w:w="1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Days 11–25 — Configure</w:t>
            </w:r>
          </w:p>
        </w:tc>
        <w:tc>
          <w:tcPr>
            <w:tcW w:type="dxa" w:w="4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Create Salesforce intake object/fields, guided screen flow, validation, queues, status automation and base dashboard.</w:t>
            </w:r>
          </w:p>
        </w:tc>
        <w:tc>
          <w:tcPr>
            <w:tcW w:type="dxa" w:w="27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Sandbox MVP; test scripts; field dictionary.</w:t>
            </w:r>
          </w:p>
        </w:tc>
      </w:tr>
      <w:tr>
        <w:trPr>
          <w:cantSplit/>
        </w:trPr>
        <w:tc>
          <w:tcPr>
            <w:tcW w:type="dxa" w:w="1800"/>
            <w:tcMar>
              <w:top w:w="80" w:type="dxa"/>
              <w:start w:w="120" w:type="dxa"/>
              <w:bottom w:w="80" w:type="dxa"/>
              <w:end w:w="120" w:type="dxa"/>
            </w:tcMar>
            <w:vAlign w:val="center"/>
          </w:tcPr>
          <w:p>
            <w:pPr>
              <w:spacing w:after="0" w:line="259" w:lineRule="auto"/>
            </w:pPr>
            <w:r>
              <w:rPr>
                <w:rFonts w:ascii="Calibri" w:hAnsi="Calibri"/>
                <w:b w:val="0"/>
                <w:color w:val="18212B"/>
                <w:sz w:val="17"/>
              </w:rPr>
              <w:t>Days 26–40 — Connect</w:t>
            </w:r>
          </w:p>
        </w:tc>
        <w:tc>
          <w:tcPr>
            <w:tcW w:type="dxa" w:w="4800"/>
            <w:tcMar>
              <w:top w:w="80" w:type="dxa"/>
              <w:start w:w="120" w:type="dxa"/>
              <w:bottom w:w="80" w:type="dxa"/>
              <w:end w:w="120" w:type="dxa"/>
            </w:tcMar>
            <w:vAlign w:val="center"/>
          </w:tcPr>
          <w:p>
            <w:pPr>
              <w:spacing w:after="0" w:line="259" w:lineRule="auto"/>
            </w:pPr>
            <w:r>
              <w:rPr>
                <w:rFonts w:ascii="Calibri" w:hAnsi="Calibri"/>
                <w:b w:val="0"/>
                <w:color w:val="18212B"/>
                <w:sz w:val="17"/>
              </w:rPr>
              <w:t>Add Teams channel notifications, optional Adaptive Cards, artifact links and exception approvals.</w:t>
            </w:r>
          </w:p>
        </w:tc>
        <w:tc>
          <w:tcPr>
            <w:tcW w:type="dxa" w:w="2760"/>
            <w:tcMar>
              <w:top w:w="80" w:type="dxa"/>
              <w:start w:w="120" w:type="dxa"/>
              <w:bottom w:w="80" w:type="dxa"/>
              <w:end w:w="120" w:type="dxa"/>
            </w:tcMar>
            <w:vAlign w:val="center"/>
          </w:tcPr>
          <w:p>
            <w:pPr>
              <w:spacing w:after="0" w:line="259" w:lineRule="auto"/>
            </w:pPr>
            <w:r>
              <w:rPr>
                <w:rFonts w:ascii="Calibri" w:hAnsi="Calibri"/>
                <w:b w:val="0"/>
                <w:color w:val="18212B"/>
                <w:sz w:val="17"/>
              </w:rPr>
              <w:t>End-to-end pilot flow; audit trail.</w:t>
            </w:r>
          </w:p>
        </w:tc>
      </w:tr>
      <w:tr>
        <w:trPr>
          <w:cantSplit/>
        </w:trPr>
        <w:tc>
          <w:tcPr>
            <w:tcW w:type="dxa" w:w="1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Days 41–50 — Pilot</w:t>
            </w:r>
          </w:p>
        </w:tc>
        <w:tc>
          <w:tcPr>
            <w:tcW w:type="dxa" w:w="48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Run 10–20 real intakes across at least three practices; compare rubric results with leader judgment.</w:t>
            </w:r>
          </w:p>
        </w:tc>
        <w:tc>
          <w:tcPr>
            <w:tcW w:type="dxa" w:w="27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Calibration findings; revised thresholds.</w:t>
            </w:r>
          </w:p>
        </w:tc>
      </w:tr>
      <w:tr>
        <w:trPr>
          <w:cantSplit/>
        </w:trPr>
        <w:tc>
          <w:tcPr>
            <w:tcW w:type="dxa" w:w="1800"/>
            <w:tcMar>
              <w:top w:w="80" w:type="dxa"/>
              <w:start w:w="120" w:type="dxa"/>
              <w:bottom w:w="80" w:type="dxa"/>
              <w:end w:w="120" w:type="dxa"/>
            </w:tcMar>
            <w:vAlign w:val="center"/>
          </w:tcPr>
          <w:p>
            <w:pPr>
              <w:spacing w:after="0" w:line="259" w:lineRule="auto"/>
            </w:pPr>
            <w:r>
              <w:rPr>
                <w:rFonts w:ascii="Calibri" w:hAnsi="Calibri"/>
                <w:b w:val="0"/>
                <w:color w:val="18212B"/>
                <w:sz w:val="17"/>
              </w:rPr>
              <w:t>Days 51–60 — Launch</w:t>
            </w:r>
          </w:p>
        </w:tc>
        <w:tc>
          <w:tcPr>
            <w:tcW w:type="dxa" w:w="4800"/>
            <w:tcMar>
              <w:top w:w="80" w:type="dxa"/>
              <w:start w:w="120" w:type="dxa"/>
              <w:bottom w:w="80" w:type="dxa"/>
              <w:end w:w="120" w:type="dxa"/>
            </w:tcMar>
            <w:vAlign w:val="center"/>
          </w:tcPr>
          <w:p>
            <w:pPr>
              <w:spacing w:after="0" w:line="259" w:lineRule="auto"/>
            </w:pPr>
            <w:r>
              <w:rPr>
                <w:rFonts w:ascii="Calibri" w:hAnsi="Calibri"/>
                <w:b w:val="0"/>
                <w:color w:val="18212B"/>
                <w:sz w:val="17"/>
              </w:rPr>
              <w:t>Train sellers/SEs, publish office hours, start SLA reporting and change control.</w:t>
            </w:r>
          </w:p>
        </w:tc>
        <w:tc>
          <w:tcPr>
            <w:tcW w:type="dxa" w:w="2760"/>
            <w:tcMar>
              <w:top w:w="80" w:type="dxa"/>
              <w:start w:w="120" w:type="dxa"/>
              <w:bottom w:w="80" w:type="dxa"/>
              <w:end w:w="120" w:type="dxa"/>
            </w:tcMar>
            <w:vAlign w:val="center"/>
          </w:tcPr>
          <w:p>
            <w:pPr>
              <w:spacing w:after="0" w:line="259" w:lineRule="auto"/>
            </w:pPr>
            <w:r>
              <w:rPr>
                <w:rFonts w:ascii="Calibri" w:hAnsi="Calibri"/>
                <w:b w:val="0"/>
                <w:color w:val="18212B"/>
                <w:sz w:val="17"/>
              </w:rPr>
              <w:t>Production launch; runbook; KPI baseline.</w:t>
            </w:r>
          </w:p>
        </w:tc>
      </w:tr>
    </w:tbl>
    <w:p>
      <w:pPr>
        <w:spacing w:after="20"/>
      </w:pPr>
    </w:p>
    <w:p>
      <w:pPr>
        <w:pStyle w:val="Heading2"/>
      </w:pPr>
      <w:r>
        <w:t>Phase 2 — showcase and intelligence layer</w:t>
      </w:r>
    </w:p>
    <w:p>
      <w:pPr>
        <w:spacing w:after="100" w:line="283" w:lineRule="auto"/>
        <w:jc w:val="left"/>
      </w:pPr>
      <w:r>
        <w:rPr>
          <w:rFonts w:ascii="Calibri" w:hAnsi="Calibri"/>
          <w:b w:val="0"/>
          <w:i w:val="0"/>
          <w:color w:val="18212B"/>
          <w:sz w:val="20"/>
        </w:rPr>
        <w:t>The best showcase is a lightweight interactive HTML prototype that demonstrates the user journey before anyone commits to Salesforce configuration. It should use synthetic data, show conditional questions, calculate scores in the browser, generate an explainable routing recommendation, and display the audit record that would be written to Salesforce. This is a demonstration artifact—not a production system and not a shadow CRM.</w:t>
      </w:r>
    </w:p>
    <w:p>
      <w:pPr>
        <w:pStyle w:val="ListBullet"/>
        <w:spacing w:after="80" w:line="283" w:lineRule="auto"/>
      </w:pPr>
      <w:r>
        <w:rPr>
          <w:rFonts w:ascii="Calibri" w:hAnsi="Calibri"/>
          <w:b w:val="0"/>
          <w:color w:val="18212B"/>
          <w:sz w:val="20"/>
        </w:rPr>
        <w:t xml:space="preserve"> Screen 1: Seller quick intake (8–10 minutes).</w:t>
      </w:r>
    </w:p>
    <w:p>
      <w:pPr>
        <w:pStyle w:val="ListBullet"/>
        <w:spacing w:after="80" w:line="283" w:lineRule="auto"/>
      </w:pPr>
      <w:r>
        <w:rPr>
          <w:rFonts w:ascii="Calibri" w:hAnsi="Calibri"/>
          <w:b w:val="0"/>
          <w:color w:val="18212B"/>
          <w:sz w:val="20"/>
        </w:rPr>
        <w:t xml:space="preserve"> Screen 2: Dynamic qualification with conditional sections.</w:t>
      </w:r>
    </w:p>
    <w:p>
      <w:pPr>
        <w:pStyle w:val="ListBullet"/>
        <w:spacing w:after="80" w:line="283" w:lineRule="auto"/>
      </w:pPr>
      <w:r>
        <w:rPr>
          <w:rFonts w:ascii="Calibri" w:hAnsi="Calibri"/>
          <w:b w:val="0"/>
          <w:color w:val="18212B"/>
          <w:sz w:val="20"/>
        </w:rPr>
        <w:t xml:space="preserve"> Screen 3: Score explanation and ownership matrix.</w:t>
      </w:r>
    </w:p>
    <w:p>
      <w:pPr>
        <w:pStyle w:val="ListBullet"/>
        <w:spacing w:after="80" w:line="283" w:lineRule="auto"/>
      </w:pPr>
      <w:r>
        <w:rPr>
          <w:rFonts w:ascii="Calibri" w:hAnsi="Calibri"/>
          <w:b w:val="0"/>
          <w:color w:val="18212B"/>
          <w:sz w:val="20"/>
        </w:rPr>
        <w:t xml:space="preserve"> Screen 4: Recommended Practice of Record, supporting team and required approvals.</w:t>
      </w:r>
    </w:p>
    <w:p>
      <w:pPr>
        <w:pStyle w:val="ListBullet"/>
        <w:spacing w:after="80" w:line="283" w:lineRule="auto"/>
      </w:pPr>
      <w:r>
        <w:rPr>
          <w:rFonts w:ascii="Calibri" w:hAnsi="Calibri"/>
          <w:b w:val="0"/>
          <w:color w:val="18212B"/>
          <w:sz w:val="20"/>
        </w:rPr>
        <w:t xml:space="preserve"> Screen 5: Salesforce-style audit record and Teams notification preview.</w:t>
      </w:r>
    </w:p>
    <w:p>
      <w:pPr>
        <w:pStyle w:val="ListBullet"/>
        <w:spacing w:after="80" w:line="283" w:lineRule="auto"/>
      </w:pPr>
      <w:r>
        <w:rPr>
          <w:rFonts w:ascii="Calibri" w:hAnsi="Calibri"/>
          <w:b w:val="0"/>
          <w:color w:val="18212B"/>
          <w:sz w:val="20"/>
        </w:rPr>
        <w:t xml:space="preserve"> Scenario switcher: AI-led, GCP-led, Red Hat-led, App Mod-led and joint examples.</w:t>
      </w:r>
    </w:p>
    <w:p>
      <w:pPr>
        <w:pStyle w:val="Heading2"/>
      </w:pPr>
      <w:r>
        <w:t>KPI dashboard</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700"/>
        <w:gridCol w:w="7660"/>
      </w:tblGrid>
      <w:tr>
        <w:trPr>
          <w:tblHeader w:val="true"/>
          <w:cantSplit/>
        </w:trPr>
        <w:tc>
          <w:tcPr>
            <w:tcW w:type="dxa" w:w="1700"/>
            <w:shd w:fill="E8EEF5"/>
            <w:tcMar>
              <w:top w:w="80" w:type="dxa"/>
              <w:start w:w="120" w:type="dxa"/>
              <w:bottom w:w="80" w:type="dxa"/>
              <w:end w:w="120" w:type="dxa"/>
            </w:tcMar>
            <w:vAlign w:val="center"/>
          </w:tcPr>
          <w:p>
            <w:pPr>
              <w:spacing w:after="0"/>
            </w:pPr>
            <w:r>
              <w:rPr>
                <w:rFonts w:ascii="Calibri" w:hAnsi="Calibri"/>
                <w:b/>
                <w:color w:val="0B2545"/>
                <w:sz w:val="17"/>
              </w:rPr>
              <w:t>Dimension</w:t>
            </w:r>
          </w:p>
        </w:tc>
        <w:tc>
          <w:tcPr>
            <w:tcW w:type="dxa" w:w="7660"/>
            <w:shd w:fill="E8EEF5"/>
            <w:tcMar>
              <w:top w:w="80" w:type="dxa"/>
              <w:start w:w="120" w:type="dxa"/>
              <w:bottom w:w="80" w:type="dxa"/>
              <w:end w:w="120" w:type="dxa"/>
            </w:tcMar>
            <w:vAlign w:val="center"/>
          </w:tcPr>
          <w:p>
            <w:pPr>
              <w:spacing w:after="0"/>
            </w:pPr>
            <w:r>
              <w:rPr>
                <w:rFonts w:ascii="Calibri" w:hAnsi="Calibri"/>
                <w:b/>
                <w:color w:val="0B2545"/>
                <w:sz w:val="17"/>
              </w:rPr>
              <w:t>Measures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7"/>
              </w:rPr>
              <w:t>Demand</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7"/>
              </w:rPr>
              <w:t>Intakes by week, account, industry, seller, source, use case and priority.</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Speed</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Time to acknowledgement, completeness, route, acceptance and approval; SLA attainment.</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7"/>
              </w:rPr>
              <w:t>Quality</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7"/>
              </w:rPr>
              <w:t>First-pass completeness, information-request rate, decision reopen rate, exception rate.</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Flow</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OWN / CO-SOLUTION / CONSULT / HANDOFF mix; destination practice; aging and bottlenecks.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7"/>
              </w:rPr>
              <w:t>Commercial</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7"/>
              </w:rPr>
              <w:t>Owned, sourced, influenced and routed pipeline/revenue; GP; conversion; average deal size.</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Capacity</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Solutioning hours by role/practice; load per architect; forecast demand.</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7"/>
              </w:rPr>
              <w:t>Reuse</w:t>
            </w:r>
          </w:p>
        </w:tc>
        <w:tc>
          <w:tcPr>
            <w:tcW w:type="dxa" w:w="7660"/>
            <w:tcMar>
              <w:top w:w="80" w:type="dxa"/>
              <w:start w:w="120" w:type="dxa"/>
              <w:bottom w:w="80" w:type="dxa"/>
              <w:end w:w="120" w:type="dxa"/>
            </w:tcMar>
            <w:vAlign w:val="center"/>
          </w:tcPr>
          <w:p>
            <w:pPr>
              <w:spacing w:after="0" w:line="259" w:lineRule="auto"/>
            </w:pPr>
            <w:r>
              <w:rPr>
                <w:rFonts w:ascii="Calibri" w:hAnsi="Calibri"/>
                <w:b w:val="0"/>
                <w:color w:val="18212B"/>
                <w:sz w:val="17"/>
              </w:rPr>
              <w:t>Accelerators, patterns, estimates and SOW modules reused; hours avoided.</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Outcomes</w:t>
            </w:r>
          </w:p>
        </w:tc>
        <w:tc>
          <w:tcPr>
            <w:tcW w:type="dxa" w:w="76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Win/loss/no-pursuit, time-to-proposal, delivery acceptance and post-launch feedback.</w:t>
            </w:r>
          </w:p>
        </w:tc>
      </w:tr>
    </w:tbl>
    <w:p>
      <w:pPr>
        <w:spacing w:after="20"/>
      </w:pPr>
    </w:p>
    <w:p>
      <w:pPr>
        <w:pStyle w:val="Heading2"/>
      </w:pPr>
      <w:r>
        <w:t>Top implementation risks and mitigations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400"/>
        <w:gridCol w:w="6960"/>
      </w:tblGrid>
      <w:tr>
        <w:trPr>
          <w:tblHeader w:val="true"/>
          <w:cantSplit/>
        </w:trPr>
        <w:tc>
          <w:tcPr>
            <w:tcW w:type="dxa" w:w="2400"/>
            <w:shd w:fill="E8EEF5"/>
            <w:tcMar>
              <w:top w:w="80" w:type="dxa"/>
              <w:start w:w="120" w:type="dxa"/>
              <w:bottom w:w="80" w:type="dxa"/>
              <w:end w:w="120" w:type="dxa"/>
            </w:tcMar>
            <w:vAlign w:val="center"/>
          </w:tcPr>
          <w:p>
            <w:pPr>
              <w:spacing w:after="0"/>
            </w:pPr>
            <w:r>
              <w:rPr>
                <w:rFonts w:ascii="Calibri" w:hAnsi="Calibri"/>
                <w:b/>
                <w:color w:val="0B2545"/>
                <w:sz w:val="17"/>
              </w:rPr>
              <w:t>Risk</w:t>
            </w:r>
          </w:p>
        </w:tc>
        <w:tc>
          <w:tcPr>
            <w:tcW w:type="dxa" w:w="6960"/>
            <w:shd w:fill="E8EEF5"/>
            <w:tcMar>
              <w:top w:w="80" w:type="dxa"/>
              <w:start w:w="120" w:type="dxa"/>
              <w:bottom w:w="80" w:type="dxa"/>
              <w:end w:w="120" w:type="dxa"/>
            </w:tcMar>
            <w:vAlign w:val="center"/>
          </w:tcPr>
          <w:p>
            <w:pPr>
              <w:spacing w:after="0"/>
            </w:pPr>
            <w:r>
              <w:rPr>
                <w:rFonts w:ascii="Calibri" w:hAnsi="Calibri"/>
                <w:b/>
                <w:color w:val="0B2545"/>
                <w:sz w:val="17"/>
              </w:rPr>
              <w:t>Mitigation</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7"/>
              </w:rPr>
              <w:t>Form becomes too long</w:t>
            </w:r>
          </w:p>
        </w:tc>
        <w:tc>
          <w:tcPr>
            <w:tcW w:type="dxa" w:w="6960"/>
            <w:tcMar>
              <w:top w:w="80" w:type="dxa"/>
              <w:start w:w="120" w:type="dxa"/>
              <w:bottom w:w="80" w:type="dxa"/>
              <w:end w:w="120" w:type="dxa"/>
            </w:tcMar>
            <w:vAlign w:val="center"/>
          </w:tcPr>
          <w:p>
            <w:pPr>
              <w:spacing w:after="0" w:line="259" w:lineRule="auto"/>
            </w:pPr>
            <w:r>
              <w:rPr>
                <w:rFonts w:ascii="Calibri" w:hAnsi="Calibri"/>
                <w:b w:val="0"/>
                <w:color w:val="18212B"/>
                <w:sz w:val="17"/>
              </w:rPr>
              <w:t>Use Tier 0 quick intake and conditional Tier 1; review abandonment and completion time monthly.</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Teams becomes the unofficial record</w:t>
            </w:r>
          </w:p>
        </w:tc>
        <w:tc>
          <w:tcPr>
            <w:tcW w:type="dxa" w:w="69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Post links and limited metadata only; decisions must write back to Salesforce.</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7"/>
              </w:rPr>
              <w:t>Routing becomes political</w:t>
            </w:r>
          </w:p>
        </w:tc>
        <w:tc>
          <w:tcPr>
            <w:tcW w:type="dxa" w:w="6960"/>
            <w:tcMar>
              <w:top w:w="80" w:type="dxa"/>
              <w:start w:w="120" w:type="dxa"/>
              <w:bottom w:w="80" w:type="dxa"/>
              <w:end w:w="120" w:type="dxa"/>
            </w:tcMar>
            <w:vAlign w:val="center"/>
          </w:tcPr>
          <w:p>
            <w:pPr>
              <w:spacing w:after="0" w:line="259" w:lineRule="auto"/>
            </w:pPr>
            <w:r>
              <w:rPr>
                <w:rFonts w:ascii="Calibri" w:hAnsi="Calibri"/>
                <w:b w:val="0"/>
                <w:color w:val="18212B"/>
                <w:sz w:val="17"/>
              </w:rPr>
              <w:t>Publish rules, require acceptance, measure overrides, calibrate with real scenarios.</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AI / data exposure</w:t>
            </w:r>
          </w:p>
        </w:tc>
        <w:tc>
          <w:tcPr>
            <w:tcW w:type="dxa" w:w="69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Use approved enterprise configurations, minimum necessary context and human review.</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7"/>
              </w:rPr>
              <w:t>Capacity bottleneck</w:t>
            </w:r>
          </w:p>
        </w:tc>
        <w:tc>
          <w:tcPr>
            <w:tcW w:type="dxa" w:w="6960"/>
            <w:tcMar>
              <w:top w:w="80" w:type="dxa"/>
              <w:start w:w="120" w:type="dxa"/>
              <w:bottom w:w="80" w:type="dxa"/>
              <w:end w:w="120" w:type="dxa"/>
            </w:tcMar>
            <w:vAlign w:val="center"/>
          </w:tcPr>
          <w:p>
            <w:pPr>
              <w:spacing w:after="0" w:line="259" w:lineRule="auto"/>
            </w:pPr>
            <w:r>
              <w:rPr>
                <w:rFonts w:ascii="Calibri" w:hAnsi="Calibri"/>
                <w:b w:val="0"/>
                <w:color w:val="18212B"/>
                <w:sz w:val="17"/>
              </w:rPr>
              <w:t>Publish priority classes, office hours, capacity dashboard and escalation rules.</w:t>
            </w:r>
          </w:p>
        </w:tc>
      </w:tr>
      <w:tr>
        <w:trPr>
          <w:cantSplit/>
        </w:trPr>
        <w:tc>
          <w:tcPr>
            <w:tcW w:type="dxa" w:w="24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Metrics create revenue-credit conflict</w:t>
            </w:r>
          </w:p>
        </w:tc>
        <w:tc>
          <w:tcPr>
            <w:tcW w:type="dxa" w:w="69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Report owned, sourced, influenced and routed as distinct measures; do not double count bookings.</w:t>
            </w:r>
          </w:p>
        </w:tc>
      </w:tr>
      <w:tr>
        <w:trPr>
          <w:cantSplit/>
        </w:trPr>
        <w:tc>
          <w:tcPr>
            <w:tcW w:type="dxa" w:w="2400"/>
            <w:tcMar>
              <w:top w:w="80" w:type="dxa"/>
              <w:start w:w="120" w:type="dxa"/>
              <w:bottom w:w="80" w:type="dxa"/>
              <w:end w:w="120" w:type="dxa"/>
            </w:tcMar>
            <w:vAlign w:val="center"/>
          </w:tcPr>
          <w:p>
            <w:pPr>
              <w:spacing w:after="0" w:line="259" w:lineRule="auto"/>
            </w:pPr>
            <w:r>
              <w:rPr>
                <w:rFonts w:ascii="Calibri" w:hAnsi="Calibri"/>
                <w:b w:val="0"/>
                <w:color w:val="18212B"/>
                <w:sz w:val="17"/>
              </w:rPr>
              <w:t>MVP over-engineered</w:t>
            </w:r>
          </w:p>
        </w:tc>
        <w:tc>
          <w:tcPr>
            <w:tcW w:type="dxa" w:w="6960"/>
            <w:tcMar>
              <w:top w:w="80" w:type="dxa"/>
              <w:start w:w="120" w:type="dxa"/>
              <w:bottom w:w="80" w:type="dxa"/>
              <w:end w:w="120" w:type="dxa"/>
            </w:tcMar>
            <w:vAlign w:val="center"/>
          </w:tcPr>
          <w:p>
            <w:pPr>
              <w:spacing w:after="0" w:line="259" w:lineRule="auto"/>
            </w:pPr>
            <w:r>
              <w:rPr>
                <w:rFonts w:ascii="Calibri" w:hAnsi="Calibri"/>
                <w:b w:val="0"/>
                <w:color w:val="18212B"/>
                <w:sz w:val="17"/>
              </w:rPr>
              <w:t>Configure native Salesforce and Microsoft capabilities before custom integration or agents.</w:t>
            </w:r>
          </w:p>
        </w:tc>
      </w:tr>
    </w:tbl>
    <w:p>
      <w:pPr>
        <w:spacing w:after="20"/>
      </w:pPr>
    </w:p>
    <w:p>
      <w:pPr>
        <w:pStyle w:val="Heading2"/>
      </w:pPr>
      <w:r>
        <w:t>Leadership decisions needed now</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600"/>
        <w:gridCol w:w="8760"/>
      </w:tblGrid>
      <w:tr>
        <w:trPr>
          <w:tblHeader w:val="true"/>
          <w:cantSplit/>
        </w:trPr>
        <w:tc>
          <w:tcPr>
            <w:tcW w:type="dxa" w:w="600"/>
            <w:shd w:fill="E8EEF5"/>
            <w:tcMar>
              <w:top w:w="80" w:type="dxa"/>
              <w:start w:w="120" w:type="dxa"/>
              <w:bottom w:w="80" w:type="dxa"/>
              <w:end w:w="120" w:type="dxa"/>
            </w:tcMar>
            <w:vAlign w:val="center"/>
          </w:tcPr>
          <w:p>
            <w:pPr>
              <w:spacing w:after="0"/>
            </w:pPr>
            <w:r>
              <w:rPr>
                <w:rFonts w:ascii="Calibri" w:hAnsi="Calibri"/>
                <w:b/>
                <w:color w:val="0B2545"/>
                <w:sz w:val="18"/>
              </w:rPr>
              <w:t>#</w:t>
            </w:r>
          </w:p>
        </w:tc>
        <w:tc>
          <w:tcPr>
            <w:tcW w:type="dxa" w:w="8760"/>
            <w:shd w:fill="E8EEF5"/>
            <w:tcMar>
              <w:top w:w="80" w:type="dxa"/>
              <w:start w:w="120" w:type="dxa"/>
              <w:bottom w:w="80" w:type="dxa"/>
              <w:end w:w="120" w:type="dxa"/>
            </w:tcMar>
            <w:vAlign w:val="center"/>
          </w:tcPr>
          <w:p>
            <w:pPr>
              <w:spacing w:after="0"/>
            </w:pPr>
            <w:r>
              <w:rPr>
                <w:rFonts w:ascii="Calibri" w:hAnsi="Calibri"/>
                <w:b/>
                <w:color w:val="0B2545"/>
                <w:sz w:val="18"/>
              </w:rPr>
              <w:t>Decision</w:t>
            </w:r>
          </w:p>
        </w:tc>
      </w:tr>
      <w:tr>
        <w:trPr>
          <w:cantSplit/>
        </w:trPr>
        <w:tc>
          <w:tcPr>
            <w:tcW w:type="dxa" w:w="600"/>
            <w:tcMar>
              <w:top w:w="80" w:type="dxa"/>
              <w:start w:w="120" w:type="dxa"/>
              <w:bottom w:w="80" w:type="dxa"/>
              <w:end w:w="120" w:type="dxa"/>
            </w:tcMar>
            <w:vAlign w:val="center"/>
          </w:tcPr>
          <w:p>
            <w:pPr>
              <w:spacing w:after="0" w:line="259" w:lineRule="auto"/>
            </w:pPr>
            <w:r>
              <w:rPr>
                <w:rFonts w:ascii="Calibri" w:hAnsi="Calibri"/>
                <w:b w:val="0"/>
                <w:color w:val="18212B"/>
                <w:sz w:val="18"/>
              </w:rPr>
              <w:t>1</w:t>
            </w:r>
          </w:p>
        </w:tc>
        <w:tc>
          <w:tcPr>
            <w:tcW w:type="dxa" w:w="8760"/>
            <w:tcMar>
              <w:top w:w="80" w:type="dxa"/>
              <w:start w:w="120" w:type="dxa"/>
              <w:bottom w:w="80" w:type="dxa"/>
              <w:end w:w="120" w:type="dxa"/>
            </w:tcMar>
            <w:vAlign w:val="center"/>
          </w:tcPr>
          <w:p>
            <w:pPr>
              <w:spacing w:after="0" w:line="259" w:lineRule="auto"/>
            </w:pPr>
            <w:r>
              <w:rPr>
                <w:rFonts w:ascii="Calibri" w:hAnsi="Calibri"/>
                <w:b w:val="0"/>
                <w:color w:val="18212B"/>
                <w:sz w:val="18"/>
              </w:rPr>
              <w:t>Who is the executive sponsor and day-to-day process owner?</w:t>
            </w:r>
          </w:p>
        </w:tc>
      </w:tr>
      <w:tr>
        <w:trPr>
          <w:cantSplit/>
        </w:trPr>
        <w:tc>
          <w:tcPr>
            <w:tcW w:type="dxa" w:w="6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2</w:t>
            </w:r>
          </w:p>
        </w:tc>
        <w:tc>
          <w:tcPr>
            <w:tcW w:type="dxa" w:w="8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Who can assign and accept Practice of Record?</w:t>
            </w:r>
          </w:p>
        </w:tc>
      </w:tr>
      <w:tr>
        <w:trPr>
          <w:cantSplit/>
        </w:trPr>
        <w:tc>
          <w:tcPr>
            <w:tcW w:type="dxa" w:w="600"/>
            <w:tcMar>
              <w:top w:w="80" w:type="dxa"/>
              <w:start w:w="120" w:type="dxa"/>
              <w:bottom w:w="80" w:type="dxa"/>
              <w:end w:w="120" w:type="dxa"/>
            </w:tcMar>
            <w:vAlign w:val="center"/>
          </w:tcPr>
          <w:p>
            <w:pPr>
              <w:spacing w:after="0" w:line="259" w:lineRule="auto"/>
            </w:pPr>
            <w:r>
              <w:rPr>
                <w:rFonts w:ascii="Calibri" w:hAnsi="Calibri"/>
                <w:b w:val="0"/>
                <w:color w:val="18212B"/>
                <w:sz w:val="18"/>
              </w:rPr>
              <w:t>3</w:t>
            </w:r>
          </w:p>
        </w:tc>
        <w:tc>
          <w:tcPr>
            <w:tcW w:type="dxa" w:w="8760"/>
            <w:tcMar>
              <w:top w:w="80" w:type="dxa"/>
              <w:start w:w="120" w:type="dxa"/>
              <w:bottom w:w="80" w:type="dxa"/>
              <w:end w:w="120" w:type="dxa"/>
            </w:tcMar>
            <w:vAlign w:val="center"/>
          </w:tcPr>
          <w:p>
            <w:pPr>
              <w:spacing w:after="0" w:line="259" w:lineRule="auto"/>
            </w:pPr>
            <w:r>
              <w:rPr>
                <w:rFonts w:ascii="Calibri" w:hAnsi="Calibri"/>
                <w:b w:val="0"/>
                <w:color w:val="18212B"/>
                <w:sz w:val="18"/>
              </w:rPr>
              <w:t>Which practices are included in the initial routing taxonomy?</w:t>
            </w:r>
          </w:p>
        </w:tc>
      </w:tr>
      <w:tr>
        <w:trPr>
          <w:cantSplit/>
        </w:trPr>
        <w:tc>
          <w:tcPr>
            <w:tcW w:type="dxa" w:w="6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4</w:t>
            </w:r>
          </w:p>
        </w:tc>
        <w:tc>
          <w:tcPr>
            <w:tcW w:type="dxa" w:w="8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Are the score thresholds and four engagement models approved for pilot?</w:t>
            </w:r>
          </w:p>
        </w:tc>
      </w:tr>
      <w:tr>
        <w:trPr>
          <w:cantSplit/>
        </w:trPr>
        <w:tc>
          <w:tcPr>
            <w:tcW w:type="dxa" w:w="600"/>
            <w:tcMar>
              <w:top w:w="80" w:type="dxa"/>
              <w:start w:w="120" w:type="dxa"/>
              <w:bottom w:w="80" w:type="dxa"/>
              <w:end w:w="120" w:type="dxa"/>
            </w:tcMar>
            <w:vAlign w:val="center"/>
          </w:tcPr>
          <w:p>
            <w:pPr>
              <w:spacing w:after="0" w:line="259" w:lineRule="auto"/>
            </w:pPr>
            <w:r>
              <w:rPr>
                <w:rFonts w:ascii="Calibri" w:hAnsi="Calibri"/>
                <w:b w:val="0"/>
                <w:color w:val="18212B"/>
                <w:sz w:val="18"/>
              </w:rPr>
              <w:t>5</w:t>
            </w:r>
          </w:p>
        </w:tc>
        <w:tc>
          <w:tcPr>
            <w:tcW w:type="dxa" w:w="8760"/>
            <w:tcMar>
              <w:top w:w="80" w:type="dxa"/>
              <w:start w:w="120" w:type="dxa"/>
              <w:bottom w:w="80" w:type="dxa"/>
              <w:end w:w="120" w:type="dxa"/>
            </w:tcMar>
            <w:vAlign w:val="center"/>
          </w:tcPr>
          <w:p>
            <w:pPr>
              <w:spacing w:after="0" w:line="259" w:lineRule="auto"/>
            </w:pPr>
            <w:r>
              <w:rPr>
                <w:rFonts w:ascii="Calibri" w:hAnsi="Calibri"/>
                <w:b w:val="0"/>
                <w:color w:val="18212B"/>
                <w:sz w:val="18"/>
              </w:rPr>
              <w:t>What are the pilot SLAs and priority definitions?</w:t>
            </w:r>
          </w:p>
        </w:tc>
      </w:tr>
      <w:tr>
        <w:trPr>
          <w:cantSplit/>
        </w:trPr>
        <w:tc>
          <w:tcPr>
            <w:tcW w:type="dxa" w:w="6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6</w:t>
            </w:r>
          </w:p>
        </w:tc>
        <w:tc>
          <w:tcPr>
            <w:tcW w:type="dxa" w:w="8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Which 10–20 live opportunities will calibrate the model?</w:t>
            </w:r>
          </w:p>
        </w:tc>
      </w:tr>
      <w:tr>
        <w:trPr>
          <w:cantSplit/>
        </w:trPr>
        <w:tc>
          <w:tcPr>
            <w:tcW w:type="dxa" w:w="600"/>
            <w:tcMar>
              <w:top w:w="80" w:type="dxa"/>
              <w:start w:w="120" w:type="dxa"/>
              <w:bottom w:w="80" w:type="dxa"/>
              <w:end w:w="120" w:type="dxa"/>
            </w:tcMar>
            <w:vAlign w:val="center"/>
          </w:tcPr>
          <w:p>
            <w:pPr>
              <w:spacing w:after="0" w:line="259" w:lineRule="auto"/>
            </w:pPr>
            <w:r>
              <w:rPr>
                <w:rFonts w:ascii="Calibri" w:hAnsi="Calibri"/>
                <w:b w:val="0"/>
                <w:color w:val="18212B"/>
                <w:sz w:val="18"/>
              </w:rPr>
              <w:t>7</w:t>
            </w:r>
          </w:p>
        </w:tc>
        <w:tc>
          <w:tcPr>
            <w:tcW w:type="dxa" w:w="8760"/>
            <w:tcMar>
              <w:top w:w="80" w:type="dxa"/>
              <w:start w:w="120" w:type="dxa"/>
              <w:bottom w:w="80" w:type="dxa"/>
              <w:end w:w="120" w:type="dxa"/>
            </w:tcMar>
            <w:vAlign w:val="center"/>
          </w:tcPr>
          <w:p>
            <w:pPr>
              <w:spacing w:after="0" w:line="259" w:lineRule="auto"/>
            </w:pPr>
            <w:r>
              <w:rPr>
                <w:rFonts w:ascii="Calibri" w:hAnsi="Calibri"/>
                <w:b w:val="0"/>
                <w:color w:val="18212B"/>
                <w:sz w:val="18"/>
              </w:rPr>
              <w:t>Who owns Salesforce configuration, Teams automation and production support?</w:t>
            </w:r>
          </w:p>
        </w:tc>
      </w:tr>
      <w:tr>
        <w:trPr>
          <w:cantSplit/>
        </w:trPr>
        <w:tc>
          <w:tcPr>
            <w:tcW w:type="dxa" w:w="60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8</w:t>
            </w:r>
          </w:p>
        </w:tc>
        <w:tc>
          <w:tcPr>
            <w:tcW w:type="dxa" w:w="8760"/>
            <w:shd w:fill="FAFBFC"/>
            <w:tcMar>
              <w:top w:w="80" w:type="dxa"/>
              <w:start w:w="120" w:type="dxa"/>
              <w:bottom w:w="80" w:type="dxa"/>
              <w:end w:w="120" w:type="dxa"/>
            </w:tcMar>
            <w:vAlign w:val="center"/>
          </w:tcPr>
          <w:p>
            <w:pPr>
              <w:spacing w:after="0" w:line="259" w:lineRule="auto"/>
            </w:pPr>
            <w:r>
              <w:rPr>
                <w:rFonts w:ascii="Calibri" w:hAnsi="Calibri"/>
                <w:b w:val="0"/>
                <w:color w:val="18212B"/>
                <w:sz w:val="18"/>
              </w:rPr>
              <w:t>What client information may be processed by Claude or Copilot under current policy?</w:t>
            </w:r>
          </w:p>
        </w:tc>
      </w:tr>
    </w:tbl>
    <w:p>
      <w:pPr>
        <w:spacing w:after="20"/>
      </w:pPr>
    </w:p>
    <w:p>
      <w:pPr>
        <w:pStyle w:val="Heading1"/>
        <w:pageBreakBefore w:val="0"/>
      </w:pPr>
      <w:r>
        <w:t>Appendix A — Complete AI Opportunity Intake Form</w:t>
      </w:r>
    </w:p>
    <w:p>
      <w:pPr>
        <w:spacing w:after="100" w:line="283" w:lineRule="auto"/>
        <w:jc w:val="left"/>
      </w:pPr>
      <w:r>
        <w:rPr>
          <w:rFonts w:ascii="Calibri" w:hAnsi="Calibri"/>
          <w:b w:val="0"/>
          <w:i w:val="0"/>
          <w:color w:val="18212B"/>
          <w:sz w:val="20"/>
        </w:rPr>
        <w:t>The production experience should present these fields progressively. “Required” means required before initial routing, not necessarily required on the first screen.</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1700"/>
        <w:gridCol w:w="5500"/>
        <w:gridCol w:w="2160"/>
      </w:tblGrid>
      <w:tr>
        <w:trPr>
          <w:tblHeader w:val="true"/>
          <w:cantSplit/>
        </w:trPr>
        <w:tc>
          <w:tcPr>
            <w:tcW w:type="dxa" w:w="1700"/>
            <w:shd w:fill="E8EEF5"/>
            <w:tcMar>
              <w:top w:w="80" w:type="dxa"/>
              <w:start w:w="120" w:type="dxa"/>
              <w:bottom w:w="80" w:type="dxa"/>
              <w:end w:w="120" w:type="dxa"/>
            </w:tcMar>
            <w:vAlign w:val="center"/>
          </w:tcPr>
          <w:p>
            <w:pPr>
              <w:spacing w:after="0"/>
            </w:pPr>
            <w:r>
              <w:rPr>
                <w:rFonts w:ascii="Calibri" w:hAnsi="Calibri"/>
                <w:b/>
                <w:color w:val="0B2545"/>
                <w:sz w:val="15"/>
              </w:rPr>
              <w:t>Section</w:t>
            </w:r>
          </w:p>
        </w:tc>
        <w:tc>
          <w:tcPr>
            <w:tcW w:type="dxa" w:w="5500"/>
            <w:shd w:fill="E8EEF5"/>
            <w:tcMar>
              <w:top w:w="80" w:type="dxa"/>
              <w:start w:w="120" w:type="dxa"/>
              <w:bottom w:w="80" w:type="dxa"/>
              <w:end w:w="120" w:type="dxa"/>
            </w:tcMar>
            <w:vAlign w:val="center"/>
          </w:tcPr>
          <w:p>
            <w:pPr>
              <w:spacing w:after="0"/>
            </w:pPr>
            <w:r>
              <w:rPr>
                <w:rFonts w:ascii="Calibri" w:hAnsi="Calibri"/>
                <w:b/>
                <w:color w:val="0B2545"/>
                <w:sz w:val="15"/>
              </w:rPr>
              <w:t>Fields</w:t>
            </w:r>
          </w:p>
        </w:tc>
        <w:tc>
          <w:tcPr>
            <w:tcW w:type="dxa" w:w="2160"/>
            <w:shd w:fill="E8EEF5"/>
            <w:tcMar>
              <w:top w:w="80" w:type="dxa"/>
              <w:start w:w="120" w:type="dxa"/>
              <w:bottom w:w="80" w:type="dxa"/>
              <w:end w:w="120" w:type="dxa"/>
            </w:tcMar>
            <w:vAlign w:val="center"/>
          </w:tcPr>
          <w:p>
            <w:pPr>
              <w:spacing w:after="0"/>
            </w:pPr>
            <w:r>
              <w:rPr>
                <w:rFonts w:ascii="Calibri" w:hAnsi="Calibri"/>
                <w:b/>
                <w:color w:val="0B2545"/>
                <w:sz w:val="15"/>
              </w:rPr>
              <w:t>Minimum for routing</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A. Opportunity basics</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Customer/account; Salesforce Opportunity ID; opportunity owner; seller/SE; industry; stage; estimated services value; target start; client deadline; incumbent/partners; priority reason.</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Opportunity ID, owner, deadline, business problem.</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B. Business problem</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Problem in 2–3 sentences; affected users/process; baseline; target outcome; executive sponsor; business owner; urgency; budget/funding status; buying path; consequences of inaction.</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Problem, outcome, sponsor status.</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C. AI use case</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Capability type; user interaction; decisions/actions automated; AI criticality 0–3; “remove AI” answer; simpler alternative considered; expected value.</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Capability, criticality, remove-AI answer.</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D. Client maturity</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Explore/POC/production/platform; approved models; governance; model gateway; vector DB; RAG; eval; prompt management; observability; responsible AI; agent framework; GPU.</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Current-state level.</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E. Data &amp; security</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Data sources; ownership; quality; volume; classification; PII/PHI/PCI; residency; retention; permissions; grounding; human oversight; regulatory requirements.</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Sensitivity and data owner.</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F. Platform gravity</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Target platform; existing commitments; cloud services; on-prem/hybrid; platform scope percentage; portability requirement; partner funding.</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Platform and percentage.</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G. Workload composition</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AI/ML, app dev, cloud/platform, data, integration/API, DevSecOps, security and adoption percentages; total = 100%.</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Initial estimates allowed.</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H. Commercial gravity</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Estimated revenue by practice; GP assumptions; SOW owner; delivery liability; procurement vehicle; funding source; partner credits.</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Total value and leading practice.</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I. Technical needs</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Models, agents, RAG, evaluation, integrations, latency, scale, availability, environments, observability, testing, support and handoff.</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Unknowns may be marked Discovery Required.</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J. Delivery feasibility</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Required roles; locations; clearances; capacity; accelerators; references; dependencies; subcontractors/partners; timeline feasibility.</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Constraints and delivery lead.</w:t>
            </w:r>
          </w:p>
        </w:tc>
      </w:tr>
      <w:tr>
        <w:trPr>
          <w:cantSplit/>
        </w:trPr>
        <w:tc>
          <w:tcPr>
            <w:tcW w:type="dxa" w:w="1700"/>
            <w:tcMar>
              <w:top w:w="80" w:type="dxa"/>
              <w:start w:w="120" w:type="dxa"/>
              <w:bottom w:w="80" w:type="dxa"/>
              <w:end w:w="120" w:type="dxa"/>
            </w:tcMar>
            <w:vAlign w:val="center"/>
          </w:tcPr>
          <w:p>
            <w:pPr>
              <w:spacing w:after="0" w:line="259" w:lineRule="auto"/>
            </w:pPr>
            <w:r>
              <w:rPr>
                <w:rFonts w:ascii="Calibri" w:hAnsi="Calibri"/>
                <w:b w:val="0"/>
                <w:color w:val="18212B"/>
                <w:sz w:val="15"/>
              </w:rPr>
              <w:t>K. Triage decision</w:t>
            </w:r>
          </w:p>
        </w:tc>
        <w:tc>
          <w:tcPr>
            <w:tcW w:type="dxa" w:w="5500"/>
            <w:tcMar>
              <w:top w:w="80" w:type="dxa"/>
              <w:start w:w="120" w:type="dxa"/>
              <w:bottom w:w="80" w:type="dxa"/>
              <w:end w:w="120" w:type="dxa"/>
            </w:tcMar>
            <w:vAlign w:val="center"/>
          </w:tcPr>
          <w:p>
            <w:pPr>
              <w:spacing w:after="0" w:line="259" w:lineRule="auto"/>
            </w:pPr>
            <w:r>
              <w:rPr>
                <w:rFonts w:ascii="Calibri" w:hAnsi="Calibri"/>
                <w:b w:val="0"/>
                <w:color w:val="18212B"/>
                <w:sz w:val="15"/>
              </w:rPr>
              <w:t>Gate outcomes; AI score; platform/delivery/commercial gravity; engagement model; Practice of Record; supporting practices; required reviewers; rationale; exceptions.</w:t>
            </w:r>
          </w:p>
        </w:tc>
        <w:tc>
          <w:tcPr>
            <w:tcW w:type="dxa" w:w="2160"/>
            <w:tcMar>
              <w:top w:w="80" w:type="dxa"/>
              <w:start w:w="120" w:type="dxa"/>
              <w:bottom w:w="80" w:type="dxa"/>
              <w:end w:w="120" w:type="dxa"/>
            </w:tcMar>
            <w:vAlign w:val="center"/>
          </w:tcPr>
          <w:p>
            <w:pPr>
              <w:spacing w:after="0" w:line="259" w:lineRule="auto"/>
            </w:pPr>
            <w:r>
              <w:rPr>
                <w:rFonts w:ascii="Calibri" w:hAnsi="Calibri"/>
                <w:b w:val="0"/>
                <w:color w:val="18212B"/>
                <w:sz w:val="15"/>
              </w:rPr>
              <w:t>System-generated then human-approved.</w:t>
            </w:r>
          </w:p>
        </w:tc>
      </w:tr>
      <w:tr>
        <w:trPr>
          <w:cantSplit/>
        </w:trPr>
        <w:tc>
          <w:tcPr>
            <w:tcW w:type="dxa" w:w="17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L. Outcome</w:t>
            </w:r>
          </w:p>
        </w:tc>
        <w:tc>
          <w:tcPr>
            <w:tcW w:type="dxa" w:w="5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Won/lost/no pursuit; bookings/revenue; contribution attribution; actual solutioning effort; delivery owner; reusable assets; lessons learned.</w:t>
            </w:r>
          </w:p>
        </w:tc>
        <w:tc>
          <w:tcPr>
            <w:tcW w:type="dxa" w:w="21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Required at closure.</w:t>
            </w:r>
          </w:p>
        </w:tc>
      </w:tr>
    </w:tbl>
    <w:p>
      <w:pPr>
        <w:spacing w:after="20"/>
      </w:pPr>
    </w:p>
    <w:p>
      <w:pPr>
        <w:pStyle w:val="Heading2"/>
      </w:pPr>
      <w:r>
        <w:t>Conditional logic examples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3000"/>
        <w:gridCol w:w="6360"/>
      </w:tblGrid>
      <w:tr>
        <w:trPr>
          <w:tblHeader w:val="true"/>
          <w:cantSplit/>
        </w:trPr>
        <w:tc>
          <w:tcPr>
            <w:tcW w:type="dxa" w:w="3000"/>
            <w:shd w:fill="E8EEF5"/>
            <w:tcMar>
              <w:top w:w="80" w:type="dxa"/>
              <w:start w:w="120" w:type="dxa"/>
              <w:bottom w:w="80" w:type="dxa"/>
              <w:end w:w="120" w:type="dxa"/>
            </w:tcMar>
            <w:vAlign w:val="center"/>
          </w:tcPr>
          <w:p>
            <w:pPr>
              <w:spacing w:after="0"/>
            </w:pPr>
            <w:r>
              <w:rPr>
                <w:rFonts w:ascii="Calibri" w:hAnsi="Calibri"/>
                <w:b/>
                <w:color w:val="0B2545"/>
                <w:sz w:val="17"/>
              </w:rPr>
              <w:t>Condition</w:t>
            </w:r>
          </w:p>
        </w:tc>
        <w:tc>
          <w:tcPr>
            <w:tcW w:type="dxa" w:w="6360"/>
            <w:shd w:fill="E8EEF5"/>
            <w:tcMar>
              <w:top w:w="80" w:type="dxa"/>
              <w:start w:w="120" w:type="dxa"/>
              <w:bottom w:w="80" w:type="dxa"/>
              <w:end w:w="120" w:type="dxa"/>
            </w:tcMar>
            <w:vAlign w:val="center"/>
          </w:tcPr>
          <w:p>
            <w:pPr>
              <w:spacing w:after="0"/>
            </w:pPr>
            <w:r>
              <w:rPr>
                <w:rFonts w:ascii="Calibri" w:hAnsi="Calibri"/>
                <w:b/>
                <w:color w:val="0B2545"/>
                <w:sz w:val="17"/>
              </w:rPr>
              <w:t>Additional requirement</w:t>
            </w:r>
          </w:p>
        </w:tc>
      </w:tr>
      <w:tr>
        <w:trPr>
          <w:cantSplit/>
        </w:trPr>
        <w:tc>
          <w:tcPr>
            <w:tcW w:type="dxa" w:w="3000"/>
            <w:tcMar>
              <w:top w:w="80" w:type="dxa"/>
              <w:start w:w="120" w:type="dxa"/>
              <w:bottom w:w="80" w:type="dxa"/>
              <w:end w:w="120" w:type="dxa"/>
            </w:tcMar>
            <w:vAlign w:val="center"/>
          </w:tcPr>
          <w:p>
            <w:pPr>
              <w:spacing w:after="0" w:line="259" w:lineRule="auto"/>
            </w:pPr>
            <w:r>
              <w:rPr>
                <w:rFonts w:ascii="Calibri" w:hAnsi="Calibri"/>
                <w:b w:val="0"/>
                <w:color w:val="18212B"/>
                <w:sz w:val="17"/>
              </w:rPr>
              <w:t>If regulated/sensitive data = Yes</w:t>
            </w:r>
          </w:p>
        </w:tc>
        <w:tc>
          <w:tcPr>
            <w:tcW w:type="dxa" w:w="6360"/>
            <w:tcMar>
              <w:top w:w="80" w:type="dxa"/>
              <w:start w:w="120" w:type="dxa"/>
              <w:bottom w:w="80" w:type="dxa"/>
              <w:end w:w="120" w:type="dxa"/>
            </w:tcMar>
            <w:vAlign w:val="center"/>
          </w:tcPr>
          <w:p>
            <w:pPr>
              <w:spacing w:after="0" w:line="259" w:lineRule="auto"/>
            </w:pPr>
            <w:r>
              <w:rPr>
                <w:rFonts w:ascii="Calibri" w:hAnsi="Calibri"/>
                <w:b w:val="0"/>
                <w:color w:val="18212B"/>
                <w:sz w:val="17"/>
              </w:rPr>
              <w:t>Require data classification, security reviewer, residency, retention and human-oversight fields.</w:t>
            </w:r>
          </w:p>
        </w:tc>
      </w:tr>
      <w:tr>
        <w:trPr>
          <w:cantSplit/>
        </w:trPr>
        <w:tc>
          <w:tcPr>
            <w:tcW w:type="dxa" w:w="30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If agent can execute actions = Yes</w:t>
            </w:r>
          </w:p>
        </w:tc>
        <w:tc>
          <w:tcPr>
            <w:tcW w:type="dxa" w:w="63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Require tool permissions, approval boundary, rollback, logging and kill-switch design.</w:t>
            </w:r>
          </w:p>
        </w:tc>
      </w:tr>
      <w:tr>
        <w:trPr>
          <w:cantSplit/>
        </w:trPr>
        <w:tc>
          <w:tcPr>
            <w:tcW w:type="dxa" w:w="3000"/>
            <w:tcMar>
              <w:top w:w="80" w:type="dxa"/>
              <w:start w:w="120" w:type="dxa"/>
              <w:bottom w:w="80" w:type="dxa"/>
              <w:end w:w="120" w:type="dxa"/>
            </w:tcMar>
            <w:vAlign w:val="center"/>
          </w:tcPr>
          <w:p>
            <w:pPr>
              <w:spacing w:after="0" w:line="259" w:lineRule="auto"/>
            </w:pPr>
            <w:r>
              <w:rPr>
                <w:rFonts w:ascii="Calibri" w:hAnsi="Calibri"/>
                <w:b w:val="0"/>
                <w:color w:val="18212B"/>
                <w:sz w:val="17"/>
              </w:rPr>
              <w:t>If platform is known</w:t>
            </w:r>
          </w:p>
        </w:tc>
        <w:tc>
          <w:tcPr>
            <w:tcW w:type="dxa" w:w="6360"/>
            <w:tcMar>
              <w:top w:w="80" w:type="dxa"/>
              <w:start w:w="120" w:type="dxa"/>
              <w:bottom w:w="80" w:type="dxa"/>
              <w:end w:w="120" w:type="dxa"/>
            </w:tcMar>
            <w:vAlign w:val="center"/>
          </w:tcPr>
          <w:p>
            <w:pPr>
              <w:spacing w:after="0" w:line="259" w:lineRule="auto"/>
            </w:pPr>
            <w:r>
              <w:rPr>
                <w:rFonts w:ascii="Calibri" w:hAnsi="Calibri"/>
                <w:b w:val="0"/>
                <w:color w:val="18212B"/>
                <w:sz w:val="17"/>
              </w:rPr>
              <w:t>Open platform-specific services, partner, landing-zone and engineering-scope questions.</w:t>
            </w:r>
          </w:p>
        </w:tc>
      </w:tr>
      <w:tr>
        <w:trPr>
          <w:cantSplit/>
        </w:trPr>
        <w:tc>
          <w:tcPr>
            <w:tcW w:type="dxa" w:w="30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If AI criticality ≤ 1</w:t>
            </w:r>
          </w:p>
        </w:tc>
        <w:tc>
          <w:tcPr>
            <w:tcW w:type="dxa" w:w="63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Ask whether a rules/workflow/search solution meets the outcome; suggest consult/handoff.</w:t>
            </w:r>
          </w:p>
        </w:tc>
      </w:tr>
      <w:tr>
        <w:trPr>
          <w:cantSplit/>
        </w:trPr>
        <w:tc>
          <w:tcPr>
            <w:tcW w:type="dxa" w:w="3000"/>
            <w:tcMar>
              <w:top w:w="80" w:type="dxa"/>
              <w:start w:w="120" w:type="dxa"/>
              <w:bottom w:w="80" w:type="dxa"/>
              <w:end w:w="120" w:type="dxa"/>
            </w:tcMar>
            <w:vAlign w:val="center"/>
          </w:tcPr>
          <w:p>
            <w:pPr>
              <w:spacing w:after="0" w:line="259" w:lineRule="auto"/>
            </w:pPr>
            <w:r>
              <w:rPr>
                <w:rFonts w:ascii="Calibri" w:hAnsi="Calibri"/>
                <w:b w:val="0"/>
                <w:color w:val="18212B"/>
                <w:sz w:val="17"/>
              </w:rPr>
              <w:t>If estimated value exceeds leadership threshold</w:t>
            </w:r>
          </w:p>
        </w:tc>
        <w:tc>
          <w:tcPr>
            <w:tcW w:type="dxa" w:w="6360"/>
            <w:tcMar>
              <w:top w:w="80" w:type="dxa"/>
              <w:start w:w="120" w:type="dxa"/>
              <w:bottom w:w="80" w:type="dxa"/>
              <w:end w:w="120" w:type="dxa"/>
            </w:tcMar>
            <w:vAlign w:val="center"/>
          </w:tcPr>
          <w:p>
            <w:pPr>
              <w:spacing w:after="0" w:line="259" w:lineRule="auto"/>
            </w:pPr>
            <w:r>
              <w:rPr>
                <w:rFonts w:ascii="Calibri" w:hAnsi="Calibri"/>
                <w:b w:val="0"/>
                <w:color w:val="18212B"/>
                <w:sz w:val="17"/>
              </w:rPr>
              <w:t>Require commercial lead and executive visibility.</w:t>
            </w:r>
          </w:p>
        </w:tc>
      </w:tr>
      <w:tr>
        <w:trPr>
          <w:cantSplit/>
        </w:trPr>
        <w:tc>
          <w:tcPr>
            <w:tcW w:type="dxa" w:w="30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If workload percentages do not total 100%</w:t>
            </w:r>
          </w:p>
        </w:tc>
        <w:tc>
          <w:tcPr>
            <w:tcW w:type="dxa" w:w="63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Block final submission and show remaining variance.</w:t>
            </w:r>
          </w:p>
        </w:tc>
      </w:tr>
      <w:tr>
        <w:trPr>
          <w:cantSplit/>
        </w:trPr>
        <w:tc>
          <w:tcPr>
            <w:tcW w:type="dxa" w:w="3000"/>
            <w:tcMar>
              <w:top w:w="80" w:type="dxa"/>
              <w:start w:w="120" w:type="dxa"/>
              <w:bottom w:w="80" w:type="dxa"/>
              <w:end w:w="120" w:type="dxa"/>
            </w:tcMar>
            <w:vAlign w:val="center"/>
          </w:tcPr>
          <w:p>
            <w:pPr>
              <w:spacing w:after="0" w:line="259" w:lineRule="auto"/>
            </w:pPr>
            <w:r>
              <w:rPr>
                <w:rFonts w:ascii="Calibri" w:hAnsi="Calibri"/>
                <w:b w:val="0"/>
                <w:color w:val="18212B"/>
                <w:sz w:val="17"/>
              </w:rPr>
              <w:t>If override = Yes</w:t>
            </w:r>
          </w:p>
        </w:tc>
        <w:tc>
          <w:tcPr>
            <w:tcW w:type="dxa" w:w="6360"/>
            <w:tcMar>
              <w:top w:w="80" w:type="dxa"/>
              <w:start w:w="120" w:type="dxa"/>
              <w:bottom w:w="80" w:type="dxa"/>
              <w:end w:w="120" w:type="dxa"/>
            </w:tcMar>
            <w:vAlign w:val="center"/>
          </w:tcPr>
          <w:p>
            <w:pPr>
              <w:spacing w:after="0" w:line="259" w:lineRule="auto"/>
            </w:pPr>
            <w:r>
              <w:rPr>
                <w:rFonts w:ascii="Calibri" w:hAnsi="Calibri"/>
                <w:b w:val="0"/>
                <w:color w:val="18212B"/>
                <w:sz w:val="17"/>
              </w:rPr>
              <w:t>Require reason, approver, impact and review/expiration date.</w:t>
            </w:r>
          </w:p>
        </w:tc>
      </w:tr>
    </w:tbl>
    <w:p>
      <w:pPr>
        <w:spacing w:after="20"/>
      </w:pPr>
    </w:p>
    <w:p>
      <w:pPr>
        <w:pStyle w:val="Heading1"/>
        <w:pageBreakBefore w:val="0"/>
      </w:pPr>
      <w:r>
        <w:t>Appendix B — Scoring and Decision Record</w:t>
      </w:r>
    </w:p>
    <w:p>
      <w:pPr>
        <w:pStyle w:val="Heading2"/>
      </w:pPr>
      <w:r>
        <w:t>Required decision record</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500"/>
        <w:gridCol w:w="6860"/>
      </w:tblGrid>
      <w:tr>
        <w:trPr>
          <w:tblHeader w:val="true"/>
          <w:cantSplit/>
        </w:trPr>
        <w:tc>
          <w:tcPr>
            <w:tcW w:type="dxa" w:w="2500"/>
            <w:shd w:fill="E8EEF5"/>
            <w:tcMar>
              <w:top w:w="80" w:type="dxa"/>
              <w:start w:w="120" w:type="dxa"/>
              <w:bottom w:w="80" w:type="dxa"/>
              <w:end w:w="120" w:type="dxa"/>
            </w:tcMar>
            <w:vAlign w:val="center"/>
          </w:tcPr>
          <w:p>
            <w:pPr>
              <w:spacing w:after="0"/>
            </w:pPr>
            <w:r>
              <w:rPr>
                <w:rFonts w:ascii="Calibri" w:hAnsi="Calibri"/>
                <w:b/>
                <w:color w:val="0B2545"/>
                <w:sz w:val="17"/>
              </w:rPr>
              <w:t>Field</w:t>
            </w:r>
          </w:p>
        </w:tc>
        <w:tc>
          <w:tcPr>
            <w:tcW w:type="dxa" w:w="6860"/>
            <w:shd w:fill="E8EEF5"/>
            <w:tcMar>
              <w:top w:w="80" w:type="dxa"/>
              <w:start w:w="120" w:type="dxa"/>
              <w:bottom w:w="80" w:type="dxa"/>
              <w:end w:w="120" w:type="dxa"/>
            </w:tcMar>
            <w:vAlign w:val="center"/>
          </w:tcPr>
          <w:p>
            <w:pPr>
              <w:spacing w:after="0"/>
            </w:pPr>
            <w:r>
              <w:rPr>
                <w:rFonts w:ascii="Calibri" w:hAnsi="Calibri"/>
                <w:b/>
                <w:color w:val="0B2545"/>
                <w:sz w:val="17"/>
              </w:rPr>
              <w:t>Requirement</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Intake ID / Opportunity ID</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Unique linkage to source opportunity.</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Rubric version</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Example: AI-Routing-v1.0.</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Gate outcomes</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Business, suitability, technical, delivery.</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AI Ownership Score</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Eight factor values, total and brief evidence.</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Gravity estimates</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Platform, delivery and commercial percentages.</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Recommended engagement model</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OWN / CO-SOLUTION / CONSULT / HANDOFF.</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Practice of Record</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Exactly one accountable practice.</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Supporting practices</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Zero or more; specific roles requested.</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Mandatory reviewers</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AI, platform, security, data, delivery, commercial as triggered.</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Decision rationale</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2–5 sentences; plain language.</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Exception / override</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Original result, override, reason, authority, date.</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Acceptance</w:t>
            </w:r>
          </w:p>
        </w:tc>
        <w:tc>
          <w:tcPr>
            <w:tcW w:type="dxa" w:w="6860"/>
            <w:shd w:fill="FAFBFC"/>
            <w:tcMar>
              <w:top w:w="80" w:type="dxa"/>
              <w:start w:w="120" w:type="dxa"/>
              <w:bottom w:w="80" w:type="dxa"/>
              <w:end w:w="120" w:type="dxa"/>
            </w:tcMar>
            <w:vAlign w:val="center"/>
          </w:tcPr>
          <w:p>
            <w:pPr>
              <w:spacing w:after="0" w:line="259" w:lineRule="auto"/>
            </w:pPr>
            <w:r>
              <w:rPr>
                <w:rFonts w:ascii="Calibri" w:hAnsi="Calibri"/>
                <w:b w:val="0"/>
                <w:color w:val="18212B"/>
                <w:sz w:val="17"/>
              </w:rPr>
              <w:t>Receiving owner and timestamp.</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7"/>
              </w:rPr>
              <w:t>Final outcome</w:t>
            </w:r>
          </w:p>
        </w:tc>
        <w:tc>
          <w:tcPr>
            <w:tcW w:type="dxa" w:w="6860"/>
            <w:tcMar>
              <w:top w:w="80" w:type="dxa"/>
              <w:start w:w="120" w:type="dxa"/>
              <w:bottom w:w="80" w:type="dxa"/>
              <w:end w:w="120" w:type="dxa"/>
            </w:tcMar>
            <w:vAlign w:val="center"/>
          </w:tcPr>
          <w:p>
            <w:pPr>
              <w:spacing w:after="0" w:line="259" w:lineRule="auto"/>
            </w:pPr>
            <w:r>
              <w:rPr>
                <w:rFonts w:ascii="Calibri" w:hAnsi="Calibri"/>
                <w:b w:val="0"/>
                <w:color w:val="18212B"/>
                <w:sz w:val="17"/>
              </w:rPr>
              <w:t>Win/loss/no-pursuit, attribution, actual effort and learning.</w:t>
            </w:r>
          </w:p>
        </w:tc>
      </w:tr>
    </w:tbl>
    <w:p>
      <w:pPr>
        <w:spacing w:after="20"/>
      </w:pPr>
    </w:p>
    <w:p>
      <w:pPr>
        <w:pStyle w:val="Heading2"/>
      </w:pPr>
      <w:r>
        <w:t>Risk triggers that override numeric thresholds</w:t>
      </w:r>
    </w:p>
    <w:p>
      <w:pPr>
        <w:pStyle w:val="ListBullet"/>
        <w:spacing w:after="80" w:line="283" w:lineRule="auto"/>
      </w:pPr>
      <w:r>
        <w:rPr>
          <w:rFonts w:ascii="Calibri" w:hAnsi="Calibri"/>
          <w:b w:val="0"/>
          <w:color w:val="18212B"/>
          <w:sz w:val="20"/>
        </w:rPr>
        <w:t xml:space="preserve"> AI directly affects health, safety, employment, lending, insurance, legal rights or other high-impact decisions.</w:t>
      </w:r>
    </w:p>
    <w:p>
      <w:pPr>
        <w:pStyle w:val="ListBullet"/>
        <w:spacing w:after="80" w:line="283" w:lineRule="auto"/>
      </w:pPr>
      <w:r>
        <w:rPr>
          <w:rFonts w:ascii="Calibri" w:hAnsi="Calibri"/>
          <w:b w:val="0"/>
          <w:color w:val="18212B"/>
          <w:sz w:val="20"/>
        </w:rPr>
        <w:t xml:space="preserve"> Autonomous action can move money, change production systems, communicate externally or alter client records.</w:t>
      </w:r>
    </w:p>
    <w:p>
      <w:pPr>
        <w:pStyle w:val="ListBullet"/>
        <w:spacing w:after="80" w:line="283" w:lineRule="auto"/>
      </w:pPr>
      <w:r>
        <w:rPr>
          <w:rFonts w:ascii="Calibri" w:hAnsi="Calibri"/>
          <w:b w:val="0"/>
          <w:color w:val="18212B"/>
          <w:sz w:val="20"/>
        </w:rPr>
        <w:t xml:space="preserve"> Use involves regulated, classified, export-controlled or highly sensitive data.</w:t>
      </w:r>
    </w:p>
    <w:p>
      <w:pPr>
        <w:pStyle w:val="ListBullet"/>
        <w:spacing w:after="80" w:line="283" w:lineRule="auto"/>
      </w:pPr>
      <w:r>
        <w:rPr>
          <w:rFonts w:ascii="Calibri" w:hAnsi="Calibri"/>
          <w:b w:val="0"/>
          <w:color w:val="18212B"/>
          <w:sz w:val="20"/>
        </w:rPr>
        <w:t xml:space="preserve"> Solution lacks traceability, evaluation, monitoring, rollback or accountable human oversight.</w:t>
      </w:r>
    </w:p>
    <w:p>
      <w:pPr>
        <w:pStyle w:val="ListBullet"/>
        <w:spacing w:after="80" w:line="283" w:lineRule="auto"/>
      </w:pPr>
      <w:r>
        <w:rPr>
          <w:rFonts w:ascii="Calibri" w:hAnsi="Calibri"/>
          <w:b w:val="0"/>
          <w:color w:val="18212B"/>
          <w:sz w:val="20"/>
        </w:rPr>
        <w:t xml:space="preserve"> Model/provider terms, data use, intellectual property or security posture are unresolved.</w:t>
      </w:r>
    </w:p>
    <w:p>
      <w:pPr>
        <w:pStyle w:val="ListBullet"/>
        <w:spacing w:after="80" w:line="283" w:lineRule="auto"/>
      </w:pPr>
      <w:r>
        <w:rPr>
          <w:rFonts w:ascii="Calibri" w:hAnsi="Calibri"/>
          <w:b w:val="0"/>
          <w:color w:val="18212B"/>
          <w:sz w:val="20"/>
        </w:rPr>
        <w:t xml:space="preserve"> Client describes the workload as mission-critical or requires contractual AI performance commitments.</w:t>
      </w:r>
    </w:p>
    <w:p>
      <w:pPr>
        <w:pStyle w:val="Heading1"/>
        <w:pageBreakBefore w:val="0"/>
      </w:pPr>
      <w:r>
        <w:t>Appendix C — Routing Scenarios</w:t>
      </w:r>
    </w:p>
    <w:tbl>
      <w:tblPr>
        <w:tblStyle w:val="TableGrid"/>
        <w:tblW w:type="dxa" w:w="9360"/>
        <w:jc w:val="left"/>
        <w:tblLayout w:type="fixed"/>
        <w:tblLook w:firstColumn="1" w:firstRow="1" w:lastColumn="0" w:lastRow="0" w:noHBand="0" w:noVBand="1" w:val="04A0"/>
        <w:tblInd w:w="120" w:type="dxa"/>
        <w:tblBorders>
          <w:top w:val="single" w:sz="6" w:space="0" w:color="D6DBE1"/>
          <w:left w:val="single" w:sz="6" w:space="0" w:color="D6DBE1"/>
          <w:bottom w:val="single" w:sz="6" w:space="0" w:color="D6DBE1"/>
          <w:right w:val="single" w:sz="6" w:space="0" w:color="D6DBE1"/>
          <w:insideH w:val="single" w:sz="6" w:space="0" w:color="D6DBE1"/>
          <w:insideV w:val="single" w:sz="6" w:space="0" w:color="D6DBE1"/>
        </w:tblBorders>
      </w:tblPr>
      <w:tblGrid>
        <w:gridCol w:w="2500"/>
        <w:gridCol w:w="2600"/>
        <w:gridCol w:w="1600"/>
        <w:gridCol w:w="1100"/>
        <w:gridCol w:w="1560"/>
      </w:tblGrid>
      <w:tr>
        <w:trPr>
          <w:tblHeader w:val="true"/>
          <w:cantSplit/>
        </w:trPr>
        <w:tc>
          <w:tcPr>
            <w:tcW w:type="dxa" w:w="2500"/>
            <w:shd w:fill="E8EEF5"/>
            <w:tcMar>
              <w:top w:w="80" w:type="dxa"/>
              <w:start w:w="120" w:type="dxa"/>
              <w:bottom w:w="80" w:type="dxa"/>
              <w:end w:w="120" w:type="dxa"/>
            </w:tcMar>
            <w:vAlign w:val="center"/>
          </w:tcPr>
          <w:p>
            <w:pPr>
              <w:spacing w:after="0"/>
            </w:pPr>
            <w:r>
              <w:rPr>
                <w:rFonts w:ascii="Calibri" w:hAnsi="Calibri"/>
                <w:b/>
                <w:color w:val="0B2545"/>
                <w:sz w:val="15"/>
              </w:rPr>
              <w:t>Scenario</w:t>
            </w:r>
          </w:p>
        </w:tc>
        <w:tc>
          <w:tcPr>
            <w:tcW w:type="dxa" w:w="2600"/>
            <w:shd w:fill="E8EEF5"/>
            <w:tcMar>
              <w:top w:w="80" w:type="dxa"/>
              <w:start w:w="120" w:type="dxa"/>
              <w:bottom w:w="80" w:type="dxa"/>
              <w:end w:w="120" w:type="dxa"/>
            </w:tcMar>
            <w:vAlign w:val="center"/>
          </w:tcPr>
          <w:p>
            <w:pPr>
              <w:spacing w:after="0"/>
            </w:pPr>
            <w:r>
              <w:rPr>
                <w:rFonts w:ascii="Calibri" w:hAnsi="Calibri"/>
                <w:b/>
                <w:color w:val="0B2545"/>
                <w:sz w:val="15"/>
              </w:rPr>
              <w:t>Evidence</w:t>
            </w:r>
          </w:p>
        </w:tc>
        <w:tc>
          <w:tcPr>
            <w:tcW w:type="dxa" w:w="1600"/>
            <w:shd w:fill="E8EEF5"/>
            <w:tcMar>
              <w:top w:w="80" w:type="dxa"/>
              <w:start w:w="120" w:type="dxa"/>
              <w:bottom w:w="80" w:type="dxa"/>
              <w:end w:w="120" w:type="dxa"/>
            </w:tcMar>
            <w:vAlign w:val="center"/>
          </w:tcPr>
          <w:p>
            <w:pPr>
              <w:spacing w:after="0"/>
            </w:pPr>
            <w:r>
              <w:rPr>
                <w:rFonts w:ascii="Calibri" w:hAnsi="Calibri"/>
                <w:b/>
                <w:color w:val="0B2545"/>
                <w:sz w:val="15"/>
              </w:rPr>
              <w:t>Practice of Record</w:t>
            </w:r>
          </w:p>
        </w:tc>
        <w:tc>
          <w:tcPr>
            <w:tcW w:type="dxa" w:w="1100"/>
            <w:shd w:fill="E8EEF5"/>
            <w:tcMar>
              <w:top w:w="80" w:type="dxa"/>
              <w:start w:w="120" w:type="dxa"/>
              <w:bottom w:w="80" w:type="dxa"/>
              <w:end w:w="120" w:type="dxa"/>
            </w:tcMar>
            <w:vAlign w:val="center"/>
          </w:tcPr>
          <w:p>
            <w:pPr>
              <w:spacing w:after="0"/>
            </w:pPr>
            <w:r>
              <w:rPr>
                <w:rFonts w:ascii="Calibri" w:hAnsi="Calibri"/>
                <w:b/>
                <w:color w:val="0B2545"/>
                <w:sz w:val="15"/>
              </w:rPr>
              <w:t>Model</w:t>
            </w:r>
          </w:p>
        </w:tc>
        <w:tc>
          <w:tcPr>
            <w:tcW w:type="dxa" w:w="1560"/>
            <w:shd w:fill="E8EEF5"/>
            <w:tcMar>
              <w:top w:w="80" w:type="dxa"/>
              <w:start w:w="120" w:type="dxa"/>
              <w:bottom w:w="80" w:type="dxa"/>
              <w:end w:w="120" w:type="dxa"/>
            </w:tcMar>
            <w:vAlign w:val="center"/>
          </w:tcPr>
          <w:p>
            <w:pPr>
              <w:spacing w:after="0"/>
            </w:pPr>
            <w:r>
              <w:rPr>
                <w:rFonts w:ascii="Calibri" w:hAnsi="Calibri"/>
                <w:b/>
                <w:color w:val="0B2545"/>
                <w:sz w:val="15"/>
              </w:rPr>
              <w:t>Support</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5"/>
              </w:rPr>
              <w:t>Enterprise multi-agent service platform</w:t>
            </w:r>
          </w:p>
        </w:tc>
        <w:tc>
          <w:tcPr>
            <w:tcW w:type="dxa" w:w="2600"/>
            <w:tcMar>
              <w:top w:w="80" w:type="dxa"/>
              <w:start w:w="120" w:type="dxa"/>
              <w:bottom w:w="80" w:type="dxa"/>
              <w:end w:w="120" w:type="dxa"/>
            </w:tcMar>
            <w:vAlign w:val="center"/>
          </w:tcPr>
          <w:p>
            <w:pPr>
              <w:spacing w:after="0" w:line="259" w:lineRule="auto"/>
            </w:pPr>
            <w:r>
              <w:rPr>
                <w:rFonts w:ascii="Calibri" w:hAnsi="Calibri"/>
                <w:b w:val="0"/>
                <w:color w:val="18212B"/>
                <w:sz w:val="15"/>
              </w:rPr>
              <w:t>AI 20/24; AI effort 60%; Azure 20%; Data 20%.</w:t>
            </w:r>
          </w:p>
        </w:tc>
        <w:tc>
          <w:tcPr>
            <w:tcW w:type="dxa" w:w="1600"/>
            <w:tcMar>
              <w:top w:w="80" w:type="dxa"/>
              <w:start w:w="120" w:type="dxa"/>
              <w:bottom w:w="80" w:type="dxa"/>
              <w:end w:w="120" w:type="dxa"/>
            </w:tcMar>
            <w:vAlign w:val="center"/>
          </w:tcPr>
          <w:p>
            <w:pPr>
              <w:spacing w:after="0" w:line="259" w:lineRule="auto"/>
            </w:pPr>
            <w:r>
              <w:rPr>
                <w:rFonts w:ascii="Calibri" w:hAnsi="Calibri"/>
                <w:b w:val="0"/>
                <w:color w:val="18212B"/>
                <w:sz w:val="15"/>
              </w:rPr>
              <w:t>AI Shared</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5"/>
              </w:rPr>
              <w:t>OWN</w:t>
            </w:r>
          </w:p>
        </w:tc>
        <w:tc>
          <w:tcPr>
            <w:tcW w:type="dxa" w:w="1560"/>
            <w:tcMar>
              <w:top w:w="80" w:type="dxa"/>
              <w:start w:w="120" w:type="dxa"/>
              <w:bottom w:w="80" w:type="dxa"/>
              <w:end w:w="120" w:type="dxa"/>
            </w:tcMar>
            <w:vAlign w:val="center"/>
          </w:tcPr>
          <w:p>
            <w:pPr>
              <w:spacing w:after="0" w:line="259" w:lineRule="auto"/>
            </w:pPr>
            <w:r>
              <w:rPr>
                <w:rFonts w:ascii="Calibri" w:hAnsi="Calibri"/>
                <w:b w:val="0"/>
                <w:color w:val="18212B"/>
                <w:sz w:val="15"/>
              </w:rPr>
              <w:t>Azure, Data, Security</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Modernize 80 Java apps + Copilot testing</w:t>
            </w:r>
          </w:p>
        </w:tc>
        <w:tc>
          <w:tcPr>
            <w:tcW w:type="dxa" w:w="2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7/24; App Mod 65%; Azure 20%; AI 15%.</w:t>
            </w:r>
          </w:p>
        </w:tc>
        <w:tc>
          <w:tcPr>
            <w:tcW w:type="dxa" w:w="1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Application Modernization</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CO-SOLUTION</w:t>
            </w:r>
          </w:p>
        </w:tc>
        <w:tc>
          <w:tcPr>
            <w:tcW w:type="dxa" w:w="15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Shared, Azure</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5"/>
              </w:rPr>
              <w:t>Customer data platform + churn models on GCP</w:t>
            </w:r>
          </w:p>
        </w:tc>
        <w:tc>
          <w:tcPr>
            <w:tcW w:type="dxa" w:w="2600"/>
            <w:tcMar>
              <w:top w:w="80" w:type="dxa"/>
              <w:start w:w="120" w:type="dxa"/>
              <w:bottom w:w="80" w:type="dxa"/>
              <w:end w:w="120" w:type="dxa"/>
            </w:tcMar>
            <w:vAlign w:val="center"/>
          </w:tcPr>
          <w:p>
            <w:pPr>
              <w:spacing w:after="0" w:line="259" w:lineRule="auto"/>
            </w:pPr>
            <w:r>
              <w:rPr>
                <w:rFonts w:ascii="Calibri" w:hAnsi="Calibri"/>
                <w:b w:val="0"/>
                <w:color w:val="18212B"/>
                <w:sz w:val="15"/>
              </w:rPr>
              <w:t>AI 11/24; GCP/Data 70%; AI 30%.</w:t>
            </w:r>
          </w:p>
        </w:tc>
        <w:tc>
          <w:tcPr>
            <w:tcW w:type="dxa" w:w="1600"/>
            <w:tcMar>
              <w:top w:w="80" w:type="dxa"/>
              <w:start w:w="120" w:type="dxa"/>
              <w:bottom w:w="80" w:type="dxa"/>
              <w:end w:w="120" w:type="dxa"/>
            </w:tcMar>
            <w:vAlign w:val="center"/>
          </w:tcPr>
          <w:p>
            <w:pPr>
              <w:spacing w:after="0" w:line="259" w:lineRule="auto"/>
            </w:pPr>
            <w:r>
              <w:rPr>
                <w:rFonts w:ascii="Calibri" w:hAnsi="Calibri"/>
                <w:b w:val="0"/>
                <w:color w:val="18212B"/>
                <w:sz w:val="15"/>
              </w:rPr>
              <w:t>GCP or Data</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5"/>
              </w:rPr>
              <w:t>CO-SOLUTION</w:t>
            </w:r>
          </w:p>
        </w:tc>
        <w:tc>
          <w:tcPr>
            <w:tcW w:type="dxa" w:w="1560"/>
            <w:tcMar>
              <w:top w:w="80" w:type="dxa"/>
              <w:start w:w="120" w:type="dxa"/>
              <w:bottom w:w="80" w:type="dxa"/>
              <w:end w:w="120" w:type="dxa"/>
            </w:tcMar>
            <w:vAlign w:val="center"/>
          </w:tcPr>
          <w:p>
            <w:pPr>
              <w:spacing w:after="0" w:line="259" w:lineRule="auto"/>
            </w:pPr>
            <w:r>
              <w:rPr>
                <w:rFonts w:ascii="Calibri" w:hAnsi="Calibri"/>
                <w:b w:val="0"/>
                <w:color w:val="18212B"/>
                <w:sz w:val="15"/>
              </w:rPr>
              <w:t>AI Shared</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OpenShift platform for private LLM inference</w:t>
            </w:r>
          </w:p>
        </w:tc>
        <w:tc>
          <w:tcPr>
            <w:tcW w:type="dxa" w:w="2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10/24; platform engineering 65%.</w:t>
            </w:r>
          </w:p>
        </w:tc>
        <w:tc>
          <w:tcPr>
            <w:tcW w:type="dxa" w:w="1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Red Hat</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CO-SOLUTION</w:t>
            </w:r>
          </w:p>
        </w:tc>
        <w:tc>
          <w:tcPr>
            <w:tcW w:type="dxa" w:w="15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Shared, Security</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5"/>
              </w:rPr>
              <w:t>AWS migration with possible future Bedrock</w:t>
            </w:r>
          </w:p>
        </w:tc>
        <w:tc>
          <w:tcPr>
            <w:tcW w:type="dxa" w:w="2600"/>
            <w:tcMar>
              <w:top w:w="80" w:type="dxa"/>
              <w:start w:w="120" w:type="dxa"/>
              <w:bottom w:w="80" w:type="dxa"/>
              <w:end w:w="120" w:type="dxa"/>
            </w:tcMar>
            <w:vAlign w:val="center"/>
          </w:tcPr>
          <w:p>
            <w:pPr>
              <w:spacing w:after="0" w:line="259" w:lineRule="auto"/>
            </w:pPr>
            <w:r>
              <w:rPr>
                <w:rFonts w:ascii="Calibri" w:hAnsi="Calibri"/>
                <w:b w:val="0"/>
                <w:color w:val="18212B"/>
                <w:sz w:val="15"/>
              </w:rPr>
              <w:t>AI 3/24; AWS 90%.</w:t>
            </w:r>
          </w:p>
        </w:tc>
        <w:tc>
          <w:tcPr>
            <w:tcW w:type="dxa" w:w="1600"/>
            <w:tcMar>
              <w:top w:w="80" w:type="dxa"/>
              <w:start w:w="120" w:type="dxa"/>
              <w:bottom w:w="80" w:type="dxa"/>
              <w:end w:w="120" w:type="dxa"/>
            </w:tcMar>
            <w:vAlign w:val="center"/>
          </w:tcPr>
          <w:p>
            <w:pPr>
              <w:spacing w:after="0" w:line="259" w:lineRule="auto"/>
            </w:pPr>
            <w:r>
              <w:rPr>
                <w:rFonts w:ascii="Calibri" w:hAnsi="Calibri"/>
                <w:b w:val="0"/>
                <w:color w:val="18212B"/>
                <w:sz w:val="15"/>
              </w:rPr>
              <w:t>AWS</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5"/>
              </w:rPr>
              <w:t>HANDOFF</w:t>
            </w:r>
          </w:p>
        </w:tc>
        <w:tc>
          <w:tcPr>
            <w:tcW w:type="dxa" w:w="1560"/>
            <w:tcMar>
              <w:top w:w="80" w:type="dxa"/>
              <w:start w:w="120" w:type="dxa"/>
              <w:bottom w:w="80" w:type="dxa"/>
              <w:end w:w="120" w:type="dxa"/>
            </w:tcMar>
            <w:vAlign w:val="center"/>
          </w:tcPr>
          <w:p>
            <w:pPr>
              <w:spacing w:after="0" w:line="259" w:lineRule="auto"/>
            </w:pPr>
            <w:r>
              <w:rPr>
                <w:rFonts w:ascii="Calibri" w:hAnsi="Calibri"/>
                <w:b w:val="0"/>
                <w:color w:val="18212B"/>
                <w:sz w:val="15"/>
              </w:rPr>
              <w:t>AI consult only if roadmap advances</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Custom RAG assistant over governed knowledge</w:t>
            </w:r>
          </w:p>
        </w:tc>
        <w:tc>
          <w:tcPr>
            <w:tcW w:type="dxa" w:w="2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16/24; AI 50%; Data 25%; Integration 25%.</w:t>
            </w:r>
          </w:p>
        </w:tc>
        <w:tc>
          <w:tcPr>
            <w:tcW w:type="dxa" w:w="1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Shared</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OWN</w:t>
            </w:r>
          </w:p>
        </w:tc>
        <w:tc>
          <w:tcPr>
            <w:tcW w:type="dxa" w:w="15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Data, Integration, Security</w:t>
            </w:r>
          </w:p>
        </w:tc>
      </w:tr>
      <w:tr>
        <w:trPr>
          <w:cantSplit/>
        </w:trPr>
        <w:tc>
          <w:tcPr>
            <w:tcW w:type="dxa" w:w="2500"/>
            <w:tcMar>
              <w:top w:w="80" w:type="dxa"/>
              <w:start w:w="120" w:type="dxa"/>
              <w:bottom w:w="80" w:type="dxa"/>
              <w:end w:w="120" w:type="dxa"/>
            </w:tcMar>
            <w:vAlign w:val="center"/>
          </w:tcPr>
          <w:p>
            <w:pPr>
              <w:spacing w:after="0" w:line="259" w:lineRule="auto"/>
            </w:pPr>
            <w:r>
              <w:rPr>
                <w:rFonts w:ascii="Calibri" w:hAnsi="Calibri"/>
                <w:b w:val="0"/>
                <w:color w:val="18212B"/>
                <w:sz w:val="15"/>
              </w:rPr>
              <w:t>M365 Copilot adoption and training</w:t>
            </w:r>
          </w:p>
        </w:tc>
        <w:tc>
          <w:tcPr>
            <w:tcW w:type="dxa" w:w="2600"/>
            <w:tcMar>
              <w:top w:w="80" w:type="dxa"/>
              <w:start w:w="120" w:type="dxa"/>
              <w:bottom w:w="80" w:type="dxa"/>
              <w:end w:w="120" w:type="dxa"/>
            </w:tcMar>
            <w:vAlign w:val="center"/>
          </w:tcPr>
          <w:p>
            <w:pPr>
              <w:spacing w:after="0" w:line="259" w:lineRule="auto"/>
            </w:pPr>
            <w:r>
              <w:rPr>
                <w:rFonts w:ascii="Calibri" w:hAnsi="Calibri"/>
                <w:b w:val="0"/>
                <w:color w:val="18212B"/>
                <w:sz w:val="15"/>
              </w:rPr>
              <w:t>AI 6/24; Microsoft/adoption 80%.</w:t>
            </w:r>
          </w:p>
        </w:tc>
        <w:tc>
          <w:tcPr>
            <w:tcW w:type="dxa" w:w="1600"/>
            <w:tcMar>
              <w:top w:w="80" w:type="dxa"/>
              <w:start w:w="120" w:type="dxa"/>
              <w:bottom w:w="80" w:type="dxa"/>
              <w:end w:w="120" w:type="dxa"/>
            </w:tcMar>
            <w:vAlign w:val="center"/>
          </w:tcPr>
          <w:p>
            <w:pPr>
              <w:spacing w:after="0" w:line="259" w:lineRule="auto"/>
            </w:pPr>
            <w:r>
              <w:rPr>
                <w:rFonts w:ascii="Calibri" w:hAnsi="Calibri"/>
                <w:b w:val="0"/>
                <w:color w:val="18212B"/>
                <w:sz w:val="15"/>
              </w:rPr>
              <w:t>Azure / Microsoft</w:t>
            </w:r>
          </w:p>
        </w:tc>
        <w:tc>
          <w:tcPr>
            <w:tcW w:type="dxa" w:w="1100"/>
            <w:tcMar>
              <w:top w:w="80" w:type="dxa"/>
              <w:start w:w="120" w:type="dxa"/>
              <w:bottom w:w="80" w:type="dxa"/>
              <w:end w:w="120" w:type="dxa"/>
            </w:tcMar>
            <w:vAlign w:val="center"/>
          </w:tcPr>
          <w:p>
            <w:pPr>
              <w:spacing w:after="0" w:line="259" w:lineRule="auto"/>
            </w:pPr>
            <w:r>
              <w:rPr>
                <w:rFonts w:ascii="Calibri" w:hAnsi="Calibri"/>
                <w:b w:val="0"/>
                <w:color w:val="18212B"/>
                <w:sz w:val="15"/>
              </w:rPr>
              <w:t>CONSULT</w:t>
            </w:r>
          </w:p>
        </w:tc>
        <w:tc>
          <w:tcPr>
            <w:tcW w:type="dxa" w:w="1560"/>
            <w:tcMar>
              <w:top w:w="80" w:type="dxa"/>
              <w:start w:w="120" w:type="dxa"/>
              <w:bottom w:w="80" w:type="dxa"/>
              <w:end w:w="120" w:type="dxa"/>
            </w:tcMar>
            <w:vAlign w:val="center"/>
          </w:tcPr>
          <w:p>
            <w:pPr>
              <w:spacing w:after="0" w:line="259" w:lineRule="auto"/>
            </w:pPr>
            <w:r>
              <w:rPr>
                <w:rFonts w:ascii="Calibri" w:hAnsi="Calibri"/>
                <w:b w:val="0"/>
                <w:color w:val="18212B"/>
                <w:sz w:val="15"/>
              </w:rPr>
              <w:t>AI governance review</w:t>
            </w:r>
          </w:p>
        </w:tc>
      </w:tr>
      <w:tr>
        <w:trPr>
          <w:cantSplit/>
        </w:trPr>
        <w:tc>
          <w:tcPr>
            <w:tcW w:type="dxa" w:w="25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AI-triggered data remediation program</w:t>
            </w:r>
          </w:p>
        </w:tc>
        <w:tc>
          <w:tcPr>
            <w:tcW w:type="dxa" w:w="2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demand exists; data quality/pipelines 75%.</w:t>
            </w:r>
          </w:p>
        </w:tc>
        <w:tc>
          <w:tcPr>
            <w:tcW w:type="dxa" w:w="16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Data &amp; Analytics</w:t>
            </w:r>
          </w:p>
        </w:tc>
        <w:tc>
          <w:tcPr>
            <w:tcW w:type="dxa" w:w="110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CO-SOLUTION</w:t>
            </w:r>
          </w:p>
        </w:tc>
        <w:tc>
          <w:tcPr>
            <w:tcW w:type="dxa" w:w="1560"/>
            <w:shd w:fill="FAFBFC"/>
            <w:tcMar>
              <w:top w:w="80" w:type="dxa"/>
              <w:start w:w="120" w:type="dxa"/>
              <w:bottom w:w="80" w:type="dxa"/>
              <w:end w:w="120" w:type="dxa"/>
            </w:tcMar>
            <w:vAlign w:val="center"/>
          </w:tcPr>
          <w:p>
            <w:pPr>
              <w:spacing w:after="0" w:line="259" w:lineRule="auto"/>
            </w:pPr>
            <w:r>
              <w:rPr>
                <w:rFonts w:ascii="Calibri" w:hAnsi="Calibri"/>
                <w:b w:val="0"/>
                <w:color w:val="18212B"/>
                <w:sz w:val="15"/>
              </w:rPr>
              <w:t>AI Shared defines fitness-for-AI criteria</w:t>
            </w:r>
          </w:p>
        </w:tc>
      </w:tr>
    </w:tbl>
    <w:p>
      <w:pPr>
        <w:spacing w:after="20"/>
      </w:pPr>
    </w:p>
    <w:p>
      <w:pPr>
        <w:pStyle w:val="Heading2"/>
      </w:pPr>
      <w:r>
        <w:t>Example generated recommendation</w:t>
      </w:r>
    </w:p>
    <w:tbl>
      <w:tblPr>
        <w:tblW w:type="dxa" w:w="9360"/>
        <w:jc w:val="left"/>
        <w:tblLayout w:type="fixed"/>
        <w:tblLook w:firstColumn="1" w:firstRow="1" w:lastColumn="0" w:lastRow="0" w:noHBand="0" w:noVBand="1" w:val="04A0"/>
        <w:tblInd w:w="120" w:type="dxa"/>
        <w:tblBorders>
          <w:top w:val="single" w:sz="8" w:space="0" w:color="F58026"/>
          <w:left w:val="single" w:sz="8" w:space="0" w:color="F58026"/>
          <w:bottom w:val="single" w:sz="8" w:space="0" w:color="F58026"/>
          <w:right w:val="single" w:sz="8" w:space="0" w:color="F58026"/>
          <w:insideH w:val="single" w:sz="8" w:space="0" w:color="F58026"/>
          <w:insideV w:val="single" w:sz="8" w:space="0" w:color="F58026"/>
        </w:tblBorders>
      </w:tblPr>
      <w:tblGrid>
        <w:gridCol w:w="9360"/>
      </w:tblGrid>
      <w:tr>
        <w:trPr>
          <w:cantSplit/>
        </w:trPr>
        <w:tc>
          <w:tcPr>
            <w:tcW w:type="dxa" w:w="9360"/>
            <w:tcMar>
              <w:top w:w="80" w:type="dxa"/>
              <w:start w:w="120" w:type="dxa"/>
              <w:bottom w:w="80" w:type="dxa"/>
              <w:end w:w="120" w:type="dxa"/>
            </w:tcMar>
            <w:vAlign w:val="center"/>
            <w:shd w:fill="FFF1E8"/>
          </w:tcPr>
          <w:p>
            <w:pPr>
              <w:spacing w:after="40"/>
            </w:pPr>
            <w:r>
              <w:rPr>
                <w:rFonts w:ascii="Calibri" w:hAnsi="Calibri"/>
                <w:b/>
                <w:color w:val="F58026"/>
                <w:sz w:val="18"/>
              </w:rPr>
              <w:t xml:space="preserve">RECOMMENDED ENGAGEMENT  </w:t>
            </w:r>
            <w:r>
              <w:rPr>
                <w:rFonts w:ascii="Calibri" w:hAnsi="Calibri"/>
                <w:b/>
                <w:color w:val="0B2545"/>
                <w:sz w:val="20"/>
              </w:rPr>
              <w:t>AI-LED / CROSS-PRACTICE. AI relevance: HIGH. AI complexity: HIGH. Platform gravity: GCP — MEDIUM. Delivery gravity: AI. Commercial gravity: AI. Practice of Record: AI Shared Practice. Supporting practices: GCP, Data &amp; Analytics, Application Modernization. Required roles: AI Solution Executive, AI Architect, GCP Architect, Data Architect, Application Architect and Security reviewer.</w:t>
            </w:r>
          </w:p>
        </w:tc>
      </w:tr>
    </w:tbl>
    <w:p>
      <w:pPr>
        <w:spacing w:after="20"/>
      </w:pPr>
    </w:p>
    <w:p>
      <w:pPr>
        <w:pStyle w:val="Heading1"/>
        <w:pageBreakBefore w:val="0"/>
      </w:pPr>
      <w:r>
        <w:t>Sources and Implementation References</w:t>
      </w:r>
    </w:p>
    <w:p>
      <w:pPr>
        <w:pStyle w:val="ListBullet"/>
        <w:spacing w:after="80"/>
      </w:pPr>
      <w:r>
        <w:rPr>
          <w:rFonts w:ascii="Calibri" w:hAnsi="Calibri"/>
          <w:b/>
          <w:color w:val="0B2545"/>
          <w:sz w:val="18"/>
        </w:rPr>
        <w:t xml:space="preserve">Salesforce Help — Build a Flow Approval Process: </w:t>
      </w:r>
      <w:r>
        <w:rPr>
          <w:rFonts w:ascii="Calibri" w:hAnsi="Calibri"/>
          <w:b w:val="0"/>
          <w:color w:val="2E74B5"/>
          <w:sz w:val="17"/>
        </w:rPr>
        <w:t>https://help.salesforce.com/s/articleView?id=platform.automate_automated_approvals_build.htm&amp;language=en_US&amp;type=5</w:t>
      </w:r>
    </w:p>
    <w:p>
      <w:pPr>
        <w:pStyle w:val="ListBullet"/>
        <w:spacing w:after="80"/>
      </w:pPr>
      <w:r>
        <w:rPr>
          <w:rFonts w:ascii="Calibri" w:hAnsi="Calibri"/>
          <w:b/>
          <w:color w:val="0B2545"/>
          <w:sz w:val="18"/>
        </w:rPr>
        <w:t xml:space="preserve">Microsoft Learn — Create flows that post Adaptive Cards to Teams: </w:t>
      </w:r>
      <w:r>
        <w:rPr>
          <w:rFonts w:ascii="Calibri" w:hAnsi="Calibri"/>
          <w:b w:val="0"/>
          <w:color w:val="2E74B5"/>
          <w:sz w:val="17"/>
        </w:rPr>
        <w:t>https://learn.microsoft.com/en-us/power-automate/create-adaptive-cards</w:t>
      </w:r>
    </w:p>
    <w:p>
      <w:pPr>
        <w:pStyle w:val="ListBullet"/>
        <w:spacing w:after="80"/>
      </w:pPr>
      <w:r>
        <w:rPr>
          <w:rFonts w:ascii="Calibri" w:hAnsi="Calibri"/>
          <w:b/>
          <w:color w:val="0B2545"/>
          <w:sz w:val="18"/>
        </w:rPr>
        <w:t xml:space="preserve">Microsoft Learn — Approvals in Microsoft Teams: </w:t>
      </w:r>
      <w:r>
        <w:rPr>
          <w:rFonts w:ascii="Calibri" w:hAnsi="Calibri"/>
          <w:b w:val="0"/>
          <w:color w:val="2E74B5"/>
          <w:sz w:val="17"/>
        </w:rPr>
        <w:t>https://learn.microsoft.com/en-us/power-automate/teams/native-approvals-in-teams</w:t>
      </w:r>
    </w:p>
    <w:p>
      <w:pPr>
        <w:pStyle w:val="ListBullet"/>
        <w:spacing w:after="80"/>
      </w:pPr>
      <w:r>
        <w:rPr>
          <w:rFonts w:ascii="Calibri" w:hAnsi="Calibri"/>
          <w:b/>
          <w:color w:val="0B2545"/>
          <w:sz w:val="18"/>
        </w:rPr>
        <w:t xml:space="preserve">Microsoft Learn — Salesforce connector: </w:t>
      </w:r>
      <w:r>
        <w:rPr>
          <w:rFonts w:ascii="Calibri" w:hAnsi="Calibri"/>
          <w:b w:val="0"/>
          <w:color w:val="2E74B5"/>
          <w:sz w:val="17"/>
        </w:rPr>
        <w:t>https://learn.microsoft.com/en-us/connectors/salesforce/</w:t>
      </w:r>
    </w:p>
    <w:p>
      <w:pPr>
        <w:pStyle w:val="ListBullet"/>
        <w:spacing w:after="80"/>
      </w:pPr>
      <w:r>
        <w:rPr>
          <w:rFonts w:ascii="Calibri" w:hAnsi="Calibri"/>
          <w:b/>
          <w:color w:val="0B2545"/>
          <w:sz w:val="18"/>
        </w:rPr>
        <w:t xml:space="preserve">Microsoft Learn — Salesforce CRM connector for Microsoft 365 Copilot: </w:t>
      </w:r>
      <w:r>
        <w:rPr>
          <w:rFonts w:ascii="Calibri" w:hAnsi="Calibri"/>
          <w:b w:val="0"/>
          <w:color w:val="2E74B5"/>
          <w:sz w:val="17"/>
        </w:rPr>
        <w:t>https://learn.microsoft.com/en-us/microsoft-365/copilot/connectors/salesforce-crm-deployment</w:t>
      </w:r>
    </w:p>
    <w:sectPr w:rsidR="00FC693F" w:rsidRPr="0006063C" w:rsidSect="00034616">
      <w:headerReference w:type="default" r:id="rId9"/>
      <w:footerReference w:type="default" r:id="rId10"/>
      <w:pgSz w:w="12240" w:h="15840"/>
      <w:pgMar w:top="1152" w:right="1296" w:bottom="1037" w:left="1296" w:header="518"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tbl>
    <w:tblPr>
      <w:tblW w:type="dxa" w:w="9360"/>
      <w:jc w:val="left"/>
      <w:tblLayout w:type="fixed"/>
      <w:tblLook w:firstColumn="1" w:firstRow="1" w:lastColumn="0" w:lastRow="0" w:noHBand="0" w:noVBand="1" w:val="04A0"/>
      <w:tblInd w:w="120" w:type="dxa"/>
    </w:tblPr>
    <w:tblGrid>
      <w:gridCol w:w="7200"/>
      <w:gridCol w:w="2160"/>
    </w:tblGrid>
    <w:tr>
      <w:tc>
        <w:tcPr>
          <w:tcW w:type="dxa" w:w="7200"/>
          <w:tcMar>
            <w:top w:w="80" w:type="dxa"/>
            <w:start w:w="120" w:type="dxa"/>
            <w:bottom w:w="80" w:type="dxa"/>
            <w:end w:w="120" w:type="dxa"/>
          </w:tcMar>
          <w:vAlign w:val="center"/>
        </w:tcPr>
        <w:p>
          <w:pPr>
            <w:jc w:val="left"/>
          </w:pPr>
          <w:r>
            <w:rPr>
              <w:rFonts w:ascii="Calibri" w:hAnsi="Calibri"/>
              <w:b w:val="0"/>
              <w:color w:val="5C6670"/>
              <w:sz w:val="16"/>
            </w:rPr>
            <w:t>INTERNAL WORKING DRAFT  •  SEPTEMBER 2026</w:t>
          </w:r>
        </w:p>
      </w:tc>
      <w:tc>
        <w:tcPr>
          <w:tcW w:type="dxa" w:w="2160"/>
          <w:tcMar>
            <w:top w:w="80" w:type="dxa"/>
            <w:start w:w="120" w:type="dxa"/>
            <w:bottom w:w="80" w:type="dxa"/>
            <w:end w:w="120" w:type="dxa"/>
          </w:tcMar>
          <w:vAlign w:val="center"/>
        </w:tcPr>
        <w:p>
          <w:pPr>
            <w:jc w:val="right"/>
          </w:pPr>
          <w:r>
            <w:rPr>
              <w:rFonts w:ascii="Calibri" w:hAnsi="Calibri"/>
              <w:color w:val="5C6670"/>
              <w:sz w:val="17"/>
            </w:rPr>
            <w:t xml:space="preserve">Page </w:t>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Bdr>
        <w:bottom w:val="single" w:sz="6" w:space="3" w:color="D7DBE2"/>
      </w:pBdr>
    </w:pPr>
    <w:r>
      <w:rPr>
        <w:rFonts w:ascii="Calibri" w:hAnsi="Calibri"/>
        <w:b/>
        <w:color w:val="0B2545"/>
        <w:sz w:val="17"/>
      </w:rPr>
      <w:t>TEKSYSTEMS GLOBAL SERVICES  |  AI SHARED PRACTICE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Calibri" w:hAnsi="Calibri"/>
      <w:color w:val="18212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254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0" w:hanging="271"/>
      <w:contextualSpacing/>
    </w:pPr>
    <w:rPr>
      <w:rFonts w:ascii="Calibri" w:hAnsi="Calibri"/>
      <w:color w:val="18212B"/>
      <w:sz w:val="20"/>
    </w:rPr>
  </w:style>
  <w:style w:type="paragraph" w:styleId="ListBullet2">
    <w:name w:val="List Bullet 2"/>
    <w:basedOn w:val="Normal"/>
    <w:uiPriority w:val="99"/>
    <w:unhideWhenUsed/>
    <w:rsid w:val="00326F90"/>
    <w:pPr>
      <w:numPr>
        <w:numId w:val="2"/>
      </w:numPr>
      <w:spacing w:after="80" w:line="283" w:lineRule="auto"/>
      <w:ind w:left="936" w:hanging="271"/>
      <w:contextualSpacing/>
    </w:pPr>
    <w:rPr>
      <w:rFonts w:ascii="Calibri" w:hAnsi="Calibri"/>
      <w:color w:val="18212B"/>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0" w:hanging="271"/>
      <w:contextualSpacing/>
    </w:pPr>
    <w:rPr>
      <w:rFonts w:ascii="Calibri" w:hAnsi="Calibri"/>
      <w:color w:val="18212B"/>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Shared Practice Solution Intake &amp; Routing Operating Model</dc:title>
  <dc:subject>Enterprise AI opportunity qualification, routing, governance and implementation model</dc:subject>
  <dc:creator>Jory Pai</dc:creator>
  <cp:keywords>AI Shared Practice, intake, Salesforce, Teams, routing, governance, qualification</cp:keywords>
  <dc:description>generated by python-docx</dc:description>
  <cp:lastModifiedBy/>
  <cp:revision>1</cp:revision>
  <dcterms:created xsi:type="dcterms:W3CDTF">2013-12-23T23:15:00Z</dcterms:created>
  <dcterms:modified xsi:type="dcterms:W3CDTF">2013-12-23T23:15:00Z</dcterms:modified>
  <cp:category/>
</cp:coreProperties>
</file>