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>
      <w:pPr>
        <w:jc w:val="left"/>
      </w:pPr>
      <w:r>
        <w:rPr>
          <w:b/>
          <w:color w:val="008C95"/>
          <w:sz w:val="22"/>
        </w:rPr>
        <w:t>AI SHARED PRACTICE</w:t>
      </w:r>
    </w:p>
    <w:p>
      <w:pPr>
        <w:pStyle w:val="Title"/>
      </w:pPr>
      <w:r>
        <w:t>Solution Executive</w:t>
        <w:br/>
        <w:t>Solutioning Process</w:t>
      </w:r>
    </w:p>
    <w:p>
      <w:pPr>
        <w:pStyle w:val="Subtitle"/>
        <w:pBdr>
          <w:bottom w:val="single" w:sz="22" w:space="6" w:color="008C95"/>
        </w:pBdr>
      </w:pPr>
      <w:r>
        <w:t>Deal capture, decision gates, controls, and transition standard</w:t>
      </w:r>
    </w:p>
    <w:p>
      <w:pPr>
        <w:pStyle w:val="Subtitle"/>
      </w:pPr>
      <w:r>
        <w:t>Proposed operating model aligned to the existing TGS Solutioning lifecycle</w:t>
      </w:r>
    </w:p>
    <w:p/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4CE"/>
          <w:left w:val="single" w:sz="4" w:space="0" w:color="B8C4CE"/>
          <w:bottom w:val="single" w:sz="4" w:space="0" w:color="B8C4CE"/>
          <w:right w:val="single" w:sz="4" w:space="0" w:color="B8C4CE"/>
          <w:insideH w:val="single" w:sz="4" w:space="0" w:color="B8C4CE"/>
          <w:insideV w:val="single" w:sz="4" w:space="0" w:color="B8C4CE"/>
        </w:tblBorders>
      </w:tblPr>
      <w:tblGrid>
        <w:gridCol w:w="2200"/>
        <w:gridCol w:w="7160"/>
      </w:tblGrid>
      <w:tr>
        <w:trPr>
          <w:tblHeader w:val="true"/>
          <w:cantSplit/>
        </w:trPr>
        <w:tc>
          <w:tcPr>
            <w:tcW w:type="dxa" w:w="2200"/>
            <w:shd w:fill="2E74B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Document control</w:t>
            </w:r>
          </w:p>
        </w:tc>
        <w:tc>
          <w:tcPr>
            <w:tcW w:type="dxa" w:w="7160"/>
            <w:shd w:fill="2E74B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</w:r>
          </w:p>
        </w:tc>
      </w:tr>
      <w:tr>
        <w:trPr>
          <w:cantSplit/>
        </w:trPr>
        <w:tc>
          <w:tcPr>
            <w:tcW w:type="dxa" w:w="22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Status</w:t>
            </w:r>
          </w:p>
        </w:tc>
        <w:tc>
          <w:tcPr>
            <w:tcW w:type="dxa" w:w="71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Draft for leadership review</w:t>
            </w:r>
          </w:p>
        </w:tc>
      </w:tr>
      <w:tr>
        <w:trPr>
          <w:cantSplit/>
        </w:trPr>
        <w:tc>
          <w:tcPr>
            <w:tcW w:type="dxa" w:w="22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Version</w:t>
            </w:r>
          </w:p>
        </w:tc>
        <w:tc>
          <w:tcPr>
            <w:tcW w:type="dxa" w:w="71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2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Date</w:t>
            </w:r>
          </w:p>
        </w:tc>
        <w:tc>
          <w:tcPr>
            <w:tcW w:type="dxa" w:w="71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September 3, 2026</w:t>
            </w:r>
          </w:p>
        </w:tc>
      </w:tr>
      <w:tr>
        <w:trPr>
          <w:cantSplit/>
        </w:trPr>
        <w:tc>
          <w:tcPr>
            <w:tcW w:type="dxa" w:w="22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Prepared by</w:t>
            </w:r>
          </w:p>
        </w:tc>
        <w:tc>
          <w:tcPr>
            <w:tcW w:type="dxa" w:w="71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Jory Pai, Solution Executive</w:t>
            </w:r>
          </w:p>
        </w:tc>
      </w:tr>
      <w:tr>
        <w:trPr>
          <w:cantSplit/>
        </w:trPr>
        <w:tc>
          <w:tcPr>
            <w:tcW w:type="dxa" w:w="22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Intended audience</w:t>
            </w:r>
          </w:p>
        </w:tc>
        <w:tc>
          <w:tcPr>
            <w:tcW w:type="dxa" w:w="71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AI Shared Practice leadership; Sales; Solution Executives; Practice, Delivery, Proposal, Risk, Legal, Privacy, and Front Office partners</w:t>
            </w:r>
          </w:p>
        </w:tc>
      </w:tr>
    </w:tbl>
    <w:p>
      <w:pPr>
        <w:spacing w:after="0"/>
      </w:pPr>
    </w:p>
    <w:p/>
    <w:p>
      <w:pPr>
        <w:shd w:fill="E7F4F4"/>
        <w:pBdr>
          <w:left w:val="single" w:sz="22" w:space="8" w:color="008C95"/>
        </w:pBdr>
        <w:spacing w:before="120" w:after="120"/>
        <w:keepLines/>
      </w:pPr>
      <w:r>
        <w:rPr>
          <w:b/>
          <w:color w:val="008C95"/>
        </w:rPr>
        <w:t xml:space="preserve">Design intent  </w:t>
      </w:r>
      <w:r>
        <w:t>Preserve the controls that already work, add AI-specific evidence and risk disciplines, and make every handoff, approval, and value claim traceable.</w:t>
      </w:r>
    </w:p>
    <w:p>
      <w:r>
        <w:br w:type="page"/>
      </w:r>
    </w:p>
    <w:p>
      <w:pPr>
        <w:pStyle w:val="Heading1"/>
        <w:pBdr>
          <w:bottom w:val="single" w:sz="8" w:space="6" w:color="2E74B5"/>
        </w:pBdr>
      </w:pPr>
      <w:r>
        <w:t>Document status and use</w:t>
      </w:r>
    </w:p>
    <w:p>
      <w:r>
        <w:t>This document defines a proposed Solution Executive-led operating process for AI Shared Practice opportunities. It is designed to be piloted, reviewed by the named control functions, and then incorporated into formal operating policy.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4CE"/>
          <w:left w:val="single" w:sz="4" w:space="0" w:color="B8C4CE"/>
          <w:bottom w:val="single" w:sz="4" w:space="0" w:color="B8C4CE"/>
          <w:right w:val="single" w:sz="4" w:space="0" w:color="B8C4CE"/>
          <w:insideH w:val="single" w:sz="4" w:space="0" w:color="B8C4CE"/>
          <w:insideV w:val="single" w:sz="4" w:space="0" w:color="B8C4CE"/>
        </w:tblBorders>
      </w:tblPr>
      <w:tblGrid>
        <w:gridCol w:w="2700"/>
        <w:gridCol w:w="6660"/>
      </w:tblGrid>
      <w:tr>
        <w:trPr>
          <w:tblHeader w:val="true"/>
          <w:cantSplit/>
        </w:trPr>
        <w:tc>
          <w:tcPr>
            <w:tcW w:type="dxa" w:w="27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Label used in this document</w:t>
            </w:r>
          </w:p>
        </w:tc>
        <w:tc>
          <w:tcPr>
            <w:tcW w:type="dxa" w:w="666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Meaning</w:t>
            </w:r>
          </w:p>
        </w:tc>
      </w:tr>
      <w:tr>
        <w:trPr>
          <w:cantSplit/>
        </w:trPr>
        <w:tc>
          <w:tcPr>
            <w:tcW w:type="dxa" w:w="2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Existing TGS requirement</w:t>
            </w:r>
          </w:p>
        </w:tc>
        <w:tc>
          <w:tcPr>
            <w:tcW w:type="dxa" w:w="6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A control or operating expectation reflected in the provided Solution Executive handbook, job aids, success profile, or checklist.</w:t>
            </w:r>
          </w:p>
        </w:tc>
      </w:tr>
      <w:tr>
        <w:trPr>
          <w:cantSplit/>
        </w:trPr>
        <w:tc>
          <w:tcPr>
            <w:tcW w:type="dxa" w:w="27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AI Shared Practice overlay</w:t>
            </w:r>
          </w:p>
        </w:tc>
        <w:tc>
          <w:tcPr>
            <w:tcW w:type="dxa" w:w="66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A proposed extension tailored to AI, data, model, governance, evaluation, and partner considerations.</w:t>
            </w:r>
          </w:p>
        </w:tc>
      </w:tr>
      <w:tr>
        <w:trPr>
          <w:cantSplit/>
        </w:trPr>
        <w:tc>
          <w:tcPr>
            <w:tcW w:type="dxa" w:w="2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Leadership decision</w:t>
            </w:r>
          </w:p>
        </w:tc>
        <w:tc>
          <w:tcPr>
            <w:tcW w:type="dxa" w:w="6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A point that requires formal approval before it becomes policy or a system-enforced control.</w:t>
            </w:r>
          </w:p>
        </w:tc>
      </w:tr>
    </w:tbl>
    <w:p>
      <w:pPr>
        <w:spacing w:after="0"/>
      </w:pPr>
    </w:p>
    <w:p>
      <w:pPr>
        <w:pStyle w:val="Heading2"/>
      </w:pPr>
      <w:r>
        <w:t>Contents</w:t>
      </w:r>
    </w:p>
    <w:p>
      <w:r>
        <w:fldChar w:fldCharType="begin"/>
        <w:instrText xml:space="preserve">TOC \o "1-3" \h \z \u</w:instrText>
        <w:fldChar w:fldCharType="separate"/>
        <w:t>Right-click and select Update Field to refresh this table.</w:t>
        <w:fldChar w:fldCharType="end"/>
      </w:r>
    </w:p>
    <w:p>
      <w:pPr>
        <w:pStyle w:val="Heading2"/>
      </w:pPr>
      <w:r>
        <w:t>Recommended leadership decisions</w:t>
      </w:r>
    </w:p>
    <w:p>
      <w:pPr>
        <w:pStyle w:val="ListNumber"/>
      </w:pPr>
      <w:r>
        <w:t>Approve one front door and the four routing outcomes: OWN, CO-SOLUTION, CONSULT, and HANDOFF.</w:t>
      </w:r>
    </w:p>
    <w:p>
      <w:pPr>
        <w:pStyle w:val="ListNumber"/>
      </w:pPr>
      <w:r>
        <w:t>Confirm Salesforce/Connected as the authoritative opportunity record and Seismic as the checklist/proposal workspace; Teams remains the collaboration channel.</w:t>
      </w:r>
    </w:p>
    <w:p>
      <w:pPr>
        <w:pStyle w:val="ListNumber"/>
      </w:pPr>
      <w:r>
        <w:t>Authorize the mandatory AI Risk &amp; Evidence Overlay for material AI work before a client-facing proposal.</w:t>
      </w:r>
    </w:p>
    <w:p>
      <w:pPr>
        <w:pStyle w:val="ListNumber"/>
      </w:pPr>
      <w:r>
        <w:t>Confirm that stage changes, commercial commitments, risk acceptance, and client-facing deliverables always require a named human approver.</w:t>
      </w:r>
    </w:p>
    <w:p>
      <w:pPr>
        <w:pStyle w:val="ListNumber"/>
      </w:pPr>
      <w:r>
        <w:t>Approve the 90-day pilot, service-level targets, governance cadence, and portfolio measures defined in this document.</w:t>
      </w:r>
    </w:p>
    <w:p>
      <w:r>
        <w:br w:type="page"/>
      </w:r>
    </w:p>
    <w:p>
      <w:pPr>
        <w:pStyle w:val="Heading1"/>
        <w:pBdr>
          <w:bottom w:val="single" w:sz="8" w:space="6" w:color="2E74B5"/>
        </w:pBdr>
      </w:pPr>
      <w:r>
        <w:t>1. Executive summary</w:t>
      </w:r>
    </w:p>
    <w:p>
      <w:r>
        <w:t>The proposed process keeps the established TGS lifecycle—Interest, Qualifying, Solutioning, Proposing, Negotiating, and Closed—while introducing a single AI intake, structured routing, progressive deal capture, AI-specific evidence, and explicit approval gates.</w:t>
      </w:r>
    </w:p>
    <w:p>
      <w:pPr>
        <w:shd w:fill="E8EEF5"/>
        <w:pBdr>
          <w:left w:val="single" w:sz="22" w:space="8" w:color="2E74B5"/>
        </w:pBdr>
        <w:spacing w:before="120" w:after="120"/>
        <w:keepLines/>
      </w:pPr>
      <w:r>
        <w:rPr>
          <w:b/>
          <w:color w:val="2E74B5"/>
        </w:rPr>
        <w:t xml:space="preserve">Core operating rule  </w:t>
      </w:r>
      <w:r>
        <w:t>No parallel CRM stage model is created. The AI Shared Practice process is an overlay that improves decisions and evidence inside the existing opportunity lifecycle.</w:t>
      </w:r>
    </w:p>
    <w:p>
      <w:pPr>
        <w:pStyle w:val="Heading2"/>
      </w:pPr>
      <w:r>
        <w:t>What stays</w:t>
      </w:r>
    </w:p>
    <w:p>
      <w:pPr>
        <w:pStyle w:val="ListBullet"/>
      </w:pPr>
      <w:r>
        <w:t>The Solution Executive is the pre-sales quarterback and remains accountable for solution integrity, pricing coherence, proposal readiness, and the transition to Delivery.</w:t>
      </w:r>
    </w:p>
    <w:p>
      <w:pPr>
        <w:pStyle w:val="ListBullet"/>
      </w:pPr>
      <w:r>
        <w:t>Sales creates and advances the opportunity in Connected/Salesforce and maintains the Value Framework with the Solution Executive and other contributors.</w:t>
      </w:r>
    </w:p>
    <w:p>
      <w:pPr>
        <w:pStyle w:val="ListBullet"/>
      </w:pPr>
      <w:r>
        <w:t>The TGS Solutioning Checklist is live from Qualifying, maintained through the pursuit, and snapshotted at Proposing and again at Won.</w:t>
      </w:r>
    </w:p>
    <w:p>
      <w:pPr>
        <w:pStyle w:val="ListBullet"/>
      </w:pPr>
      <w:r>
        <w:t>Practice and Delivery validate the technical solution, staffing model, feasibility, estimates, operating model, and transition assumptions.</w:t>
      </w:r>
    </w:p>
    <w:p>
      <w:pPr>
        <w:pStyle w:val="ListBullet"/>
      </w:pPr>
      <w:r>
        <w:t>Price Sheet, SOW/proposal, legal/procurement, contractual, compliance, security, data, access, delivery, and acceptance controls continue to apply.</w:t>
      </w:r>
    </w:p>
    <w:p>
      <w:pPr>
        <w:pStyle w:val="Heading2"/>
      </w:pPr>
      <w:r>
        <w:t>What the AI overlay adds</w:t>
      </w:r>
    </w:p>
    <w:p>
      <w:pPr>
        <w:pStyle w:val="ListBullet"/>
      </w:pPr>
      <w:r>
        <w:t>A minimum viable Deal Brief followed by progressive disclosure as confidence and spend increase.</w:t>
      </w:r>
    </w:p>
    <w:p>
      <w:pPr>
        <w:pStyle w:val="ListBullet"/>
      </w:pPr>
      <w:r>
        <w:t>A deterministic routing decision—OWN, CO-SOLUTION, CONSULT, or HANDOFF—with a recorded rationale and an accepted receiving owner.</w:t>
      </w:r>
    </w:p>
    <w:p>
      <w:pPr>
        <w:pStyle w:val="ListBullet"/>
      </w:pPr>
      <w:r>
        <w:t>AI use-case, model, data, autonomy, human-oversight, safety, evaluation, observability, change-control, and economics fields.</w:t>
      </w:r>
    </w:p>
    <w:p>
      <w:pPr>
        <w:pStyle w:val="ListBullet"/>
      </w:pPr>
      <w:r>
        <w:t>A proposal-readiness gate that requires evidence rather than narrative confidence alone.</w:t>
      </w:r>
    </w:p>
    <w:p>
      <w:pPr>
        <w:pStyle w:val="ListBullet"/>
      </w:pPr>
      <w:r>
        <w:t>A closed-loop outcome record linking the proposed One Metric That Matters (OMTM), baseline, acceptance thresholds, measured value, and reusable assets.</w:t>
      </w:r>
    </w:p>
    <w:p>
      <w:r>
        <w:br w:type="page"/>
      </w:r>
    </w:p>
    <w:p>
      <w:pPr>
        <w:pStyle w:val="Heading1"/>
        <w:pBdr>
          <w:bottom w:val="single" w:sz="8" w:space="6" w:color="2E74B5"/>
        </w:pBdr>
      </w:pPr>
      <w:r>
        <w:t>2. Governing principles</w:t>
      </w:r>
    </w:p>
    <w:p>
      <w:r>
        <w:t>These principles translate the existing Solution Executive expectations—customer focus, trusted partnership, technical fluency, complexity management, collaboration, decisive action, and clear communication—into operating controls.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4CE"/>
          <w:left w:val="single" w:sz="4" w:space="0" w:color="B8C4CE"/>
          <w:bottom w:val="single" w:sz="4" w:space="0" w:color="B8C4CE"/>
          <w:right w:val="single" w:sz="4" w:space="0" w:color="B8C4CE"/>
          <w:insideH w:val="single" w:sz="4" w:space="0" w:color="B8C4CE"/>
          <w:insideV w:val="single" w:sz="4" w:space="0" w:color="B8C4CE"/>
        </w:tblBorders>
      </w:tblPr>
      <w:tblGrid>
        <w:gridCol w:w="2200"/>
        <w:gridCol w:w="7160"/>
      </w:tblGrid>
      <w:tr>
        <w:trPr>
          <w:tblHeader w:val="true"/>
          <w:cantSplit/>
        </w:trPr>
        <w:tc>
          <w:tcPr>
            <w:tcW w:type="dxa" w:w="22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Principle</w:t>
            </w:r>
          </w:p>
        </w:tc>
        <w:tc>
          <w:tcPr>
            <w:tcW w:type="dxa" w:w="716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Operating implication</w:t>
            </w:r>
          </w:p>
        </w:tc>
      </w:tr>
      <w:tr>
        <w:trPr>
          <w:cantSplit/>
        </w:trPr>
        <w:tc>
          <w:tcPr>
            <w:tcW w:type="dxa" w:w="22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One front door</w:t>
            </w:r>
          </w:p>
        </w:tc>
        <w:tc>
          <w:tcPr>
            <w:tcW w:type="dxa" w:w="71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Every AI-related request is logged before work is committed; email or chat may start the conversation but is not the system of record.</w:t>
            </w:r>
          </w:p>
        </w:tc>
      </w:tr>
      <w:tr>
        <w:trPr>
          <w:cantSplit/>
        </w:trPr>
        <w:tc>
          <w:tcPr>
            <w:tcW w:type="dxa" w:w="22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Customer value first</w:t>
            </w:r>
          </w:p>
        </w:tc>
        <w:tc>
          <w:tcPr>
            <w:tcW w:type="dxa" w:w="71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Start with the business problem, desired outcome, OMTM, baseline, and decision to be improved—not the model or platform.</w:t>
            </w:r>
          </w:p>
        </w:tc>
      </w:tr>
      <w:tr>
        <w:trPr>
          <w:cantSplit/>
        </w:trPr>
        <w:tc>
          <w:tcPr>
            <w:tcW w:type="dxa" w:w="22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Progressive disclosure</w:t>
            </w:r>
          </w:p>
        </w:tc>
        <w:tc>
          <w:tcPr>
            <w:tcW w:type="dxa" w:w="71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Collect only what is necessary to make the next decision. More detail becomes mandatory at higher commitment and risk.</w:t>
            </w:r>
          </w:p>
        </w:tc>
      </w:tr>
      <w:tr>
        <w:trPr>
          <w:cantSplit/>
        </w:trPr>
        <w:tc>
          <w:tcPr>
            <w:tcW w:type="dxa" w:w="22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Evidence over optimism</w:t>
            </w:r>
          </w:p>
        </w:tc>
        <w:tc>
          <w:tcPr>
            <w:tcW w:type="dxa" w:w="71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Claims about quality, speed, cost, risk, feasibility, and value are supported by artifacts, estimates, tests, or named assumptions.</w:t>
            </w:r>
          </w:p>
        </w:tc>
      </w:tr>
      <w:tr>
        <w:trPr>
          <w:cantSplit/>
        </w:trPr>
        <w:tc>
          <w:tcPr>
            <w:tcW w:type="dxa" w:w="22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Named decision rights</w:t>
            </w:r>
          </w:p>
        </w:tc>
        <w:tc>
          <w:tcPr>
            <w:tcW w:type="dxa" w:w="71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Every route, gate, exception, risk acceptance, price, and handoff has a named accountable human.</w:t>
            </w:r>
          </w:p>
        </w:tc>
      </w:tr>
      <w:tr>
        <w:trPr>
          <w:cantSplit/>
        </w:trPr>
        <w:tc>
          <w:tcPr>
            <w:tcW w:type="dxa" w:w="22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Minimum-necessary data</w:t>
            </w:r>
          </w:p>
        </w:tc>
        <w:tc>
          <w:tcPr>
            <w:tcW w:type="dxa" w:w="71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Customer information placed in AI tools is limited to approved data, purposes, environments, and retention rules.</w:t>
            </w:r>
          </w:p>
        </w:tc>
      </w:tr>
      <w:tr>
        <w:trPr>
          <w:cantSplit/>
        </w:trPr>
        <w:tc>
          <w:tcPr>
            <w:tcW w:type="dxa" w:w="22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Reusable by design</w:t>
            </w:r>
          </w:p>
        </w:tc>
        <w:tc>
          <w:tcPr>
            <w:tcW w:type="dxa" w:w="71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Patterns, prompts, components, architecture decisions, controls, estimates, and lessons are captured for future pursuits.</w:t>
            </w:r>
          </w:p>
        </w:tc>
      </w:tr>
      <w:tr>
        <w:trPr>
          <w:cantSplit/>
        </w:trPr>
        <w:tc>
          <w:tcPr>
            <w:tcW w:type="dxa" w:w="22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Delivery is engaged early</w:t>
            </w:r>
          </w:p>
        </w:tc>
        <w:tc>
          <w:tcPr>
            <w:tcW w:type="dxa" w:w="71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Delivery confirms operability, staffing, transition assumptions, and success measures before commitments are made.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pBdr>
          <w:bottom w:val="single" w:sz="8" w:space="6" w:color="2E74B5"/>
        </w:pBdr>
      </w:pPr>
      <w:r>
        <w:t>3. Lifecycle at a glance</w:t>
      </w:r>
    </w:p>
    <w:p>
      <w:r>
        <w:t>The lifecycle below aligns each AI Shared Practice activity to an existing Connected stage. “AI gate” names are internal readiness checkpoints; they do not replace CRM stages.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4CE"/>
          <w:left w:val="single" w:sz="4" w:space="0" w:color="B8C4CE"/>
          <w:bottom w:val="single" w:sz="4" w:space="0" w:color="B8C4CE"/>
          <w:right w:val="single" w:sz="4" w:space="0" w:color="B8C4CE"/>
          <w:insideH w:val="single" w:sz="4" w:space="0" w:color="B8C4CE"/>
          <w:insideV w:val="single" w:sz="4" w:space="0" w:color="B8C4CE"/>
        </w:tblBorders>
      </w:tblPr>
      <w:tblGrid>
        <w:gridCol w:w="700"/>
        <w:gridCol w:w="1350"/>
        <w:gridCol w:w="1250"/>
        <w:gridCol w:w="1400"/>
        <w:gridCol w:w="2700"/>
        <w:gridCol w:w="1960"/>
      </w:tblGrid>
      <w:tr>
        <w:trPr>
          <w:tblHeader w:val="true"/>
          <w:cantSplit/>
        </w:trPr>
        <w:tc>
          <w:tcPr>
            <w:tcW w:type="dxa" w:w="7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5"/>
              </w:rPr>
              <w:t>Gate</w:t>
            </w:r>
          </w:p>
        </w:tc>
        <w:tc>
          <w:tcPr>
            <w:tcW w:type="dxa" w:w="135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5"/>
              </w:rPr>
              <w:t>AI activity</w:t>
            </w:r>
          </w:p>
        </w:tc>
        <w:tc>
          <w:tcPr>
            <w:tcW w:type="dxa" w:w="125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5"/>
              </w:rPr>
              <w:t>Connected stage</w:t>
            </w:r>
          </w:p>
        </w:tc>
        <w:tc>
          <w:tcPr>
            <w:tcW w:type="dxa" w:w="14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5"/>
              </w:rPr>
              <w:t>Accountable lead</w:t>
            </w:r>
          </w:p>
        </w:tc>
        <w:tc>
          <w:tcPr>
            <w:tcW w:type="dxa" w:w="27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5"/>
              </w:rPr>
              <w:t>Required evidence</w:t>
            </w:r>
          </w:p>
        </w:tc>
        <w:tc>
          <w:tcPr>
            <w:tcW w:type="dxa" w:w="196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5"/>
              </w:rPr>
              <w:t>Exit condition</w:t>
            </w:r>
          </w:p>
        </w:tc>
      </w:tr>
      <w:tr>
        <w:trPr>
          <w:cantSplit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AI-0</w:t>
            </w:r>
          </w:p>
        </w:tc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Signal &amp; intake</w:t>
            </w:r>
          </w:p>
        </w:tc>
        <w:tc>
          <w:tcPr>
            <w:tcW w:type="dxa" w:w="12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Interest</w:t>
            </w:r>
          </w:p>
        </w:tc>
        <w:tc>
          <w:tcPr>
            <w:tcW w:type="dxa" w:w="1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Sales / requestor</w:t>
            </w:r>
          </w:p>
        </w:tc>
        <w:tc>
          <w:tcPr>
            <w:tcW w:type="dxa" w:w="2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Minimum Deal Brief; opportunity link or creation action</w:t>
            </w:r>
          </w:p>
        </w:tc>
        <w:tc>
          <w:tcPr>
            <w:tcW w:type="dxa" w:w="19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Request is acknowledged and traceable</w:t>
            </w:r>
          </w:p>
        </w:tc>
      </w:tr>
      <w:tr>
        <w:trPr>
          <w:cantSplit/>
        </w:trPr>
        <w:tc>
          <w:tcPr>
            <w:tcW w:type="dxa" w:w="7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AI-1</w:t>
            </w:r>
          </w:p>
        </w:tc>
        <w:tc>
          <w:tcPr>
            <w:tcW w:type="dxa" w:w="135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Triage &amp; routing</w:t>
            </w:r>
          </w:p>
        </w:tc>
        <w:tc>
          <w:tcPr>
            <w:tcW w:type="dxa" w:w="125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Interest / Qualifying</w:t>
            </w:r>
          </w:p>
        </w:tc>
        <w:tc>
          <w:tcPr>
            <w:tcW w:type="dxa" w:w="14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AI Triage Lead</w:t>
            </w:r>
          </w:p>
        </w:tc>
        <w:tc>
          <w:tcPr>
            <w:tcW w:type="dxa" w:w="27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OWN / CO-SOLUTION / CONSULT / HANDOFF decision</w:t>
            </w:r>
          </w:p>
        </w:tc>
        <w:tc>
          <w:tcPr>
            <w:tcW w:type="dxa" w:w="19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Receiving owner accepts route</w:t>
            </w:r>
          </w:p>
        </w:tc>
      </w:tr>
      <w:tr>
        <w:trPr>
          <w:cantSplit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AI-2</w:t>
            </w:r>
          </w:p>
        </w:tc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Qualification</w:t>
            </w:r>
          </w:p>
        </w:tc>
        <w:tc>
          <w:tcPr>
            <w:tcW w:type="dxa" w:w="12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Qualifying</w:t>
            </w:r>
          </w:p>
        </w:tc>
        <w:tc>
          <w:tcPr>
            <w:tcW w:type="dxa" w:w="1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Sales + SE</w:t>
            </w:r>
          </w:p>
        </w:tc>
        <w:tc>
          <w:tcPr>
            <w:tcW w:type="dxa" w:w="2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Value hypothesis; OMTM; fit, urgency, sponsor, funding, risks</w:t>
            </w:r>
          </w:p>
        </w:tc>
        <w:tc>
          <w:tcPr>
            <w:tcW w:type="dxa" w:w="19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Pursue / nurture / decline decision</w:t>
            </w:r>
          </w:p>
        </w:tc>
      </w:tr>
      <w:tr>
        <w:trPr>
          <w:cantSplit/>
        </w:trPr>
        <w:tc>
          <w:tcPr>
            <w:tcW w:type="dxa" w:w="7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AI-3</w:t>
            </w:r>
          </w:p>
        </w:tc>
        <w:tc>
          <w:tcPr>
            <w:tcW w:type="dxa" w:w="135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Solution design</w:t>
            </w:r>
          </w:p>
        </w:tc>
        <w:tc>
          <w:tcPr>
            <w:tcW w:type="dxa" w:w="125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Solutioning</w:t>
            </w:r>
          </w:p>
        </w:tc>
        <w:tc>
          <w:tcPr>
            <w:tcW w:type="dxa" w:w="14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SE + AI Architect + Practice</w:t>
            </w:r>
          </w:p>
        </w:tc>
        <w:tc>
          <w:tcPr>
            <w:tcW w:type="dxa" w:w="27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Architecture, data flow, delivery model, estimate, risk/eval plans</w:t>
            </w:r>
          </w:p>
        </w:tc>
        <w:tc>
          <w:tcPr>
            <w:tcW w:type="dxa" w:w="19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Practice and Delivery validate feasibility</w:t>
            </w:r>
          </w:p>
        </w:tc>
      </w:tr>
      <w:tr>
        <w:trPr>
          <w:cantSplit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AI-4</w:t>
            </w:r>
          </w:p>
        </w:tc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Proposal readiness</w:t>
            </w:r>
          </w:p>
        </w:tc>
        <w:tc>
          <w:tcPr>
            <w:tcW w:type="dxa" w:w="12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Solutioning → Proposing</w:t>
            </w:r>
          </w:p>
        </w:tc>
        <w:tc>
          <w:tcPr>
            <w:tcW w:type="dxa" w:w="1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SE</w:t>
            </w:r>
          </w:p>
        </w:tc>
        <w:tc>
          <w:tcPr>
            <w:tcW w:type="dxa" w:w="2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Checklist snapshot; approvals; price; proposal evidence pack</w:t>
            </w:r>
          </w:p>
        </w:tc>
        <w:tc>
          <w:tcPr>
            <w:tcW w:type="dxa" w:w="19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No unresolved red mandatory item</w:t>
            </w:r>
          </w:p>
        </w:tc>
      </w:tr>
      <w:tr>
        <w:trPr>
          <w:cantSplit/>
        </w:trPr>
        <w:tc>
          <w:tcPr>
            <w:tcW w:type="dxa" w:w="7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AI-5</w:t>
            </w:r>
          </w:p>
        </w:tc>
        <w:tc>
          <w:tcPr>
            <w:tcW w:type="dxa" w:w="135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Proposal &amp; negotiation</w:t>
            </w:r>
          </w:p>
        </w:tc>
        <w:tc>
          <w:tcPr>
            <w:tcW w:type="dxa" w:w="125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Proposing / Negotiating</w:t>
            </w:r>
          </w:p>
        </w:tc>
        <w:tc>
          <w:tcPr>
            <w:tcW w:type="dxa" w:w="14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SE + Sales</w:t>
            </w:r>
          </w:p>
        </w:tc>
        <w:tc>
          <w:tcPr>
            <w:tcW w:type="dxa" w:w="27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Client proposal/SOW; decisions, concessions, changes</w:t>
            </w:r>
          </w:p>
        </w:tc>
        <w:tc>
          <w:tcPr>
            <w:tcW w:type="dxa" w:w="19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Commercial and delivery commitments controlled</w:t>
            </w:r>
          </w:p>
        </w:tc>
      </w:tr>
      <w:tr>
        <w:trPr>
          <w:cantSplit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AI-6</w:t>
            </w:r>
          </w:p>
        </w:tc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Closed-Won transition</w:t>
            </w:r>
          </w:p>
        </w:tc>
        <w:tc>
          <w:tcPr>
            <w:tcW w:type="dxa" w:w="12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Closed Won</w:t>
            </w:r>
          </w:p>
        </w:tc>
        <w:tc>
          <w:tcPr>
            <w:tcW w:type="dxa" w:w="1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SE + Delivery Lead</w:t>
            </w:r>
          </w:p>
        </w:tc>
        <w:tc>
          <w:tcPr>
            <w:tcW w:type="dxa" w:w="2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Final snapshot; accepted handoff; kickoff plan; outcome baseline</w:t>
            </w:r>
          </w:p>
        </w:tc>
        <w:tc>
          <w:tcPr>
            <w:tcW w:type="dxa" w:w="19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Delivery accepts accountable ownership</w:t>
            </w:r>
          </w:p>
        </w:tc>
      </w:tr>
      <w:tr>
        <w:trPr>
          <w:cantSplit/>
        </w:trPr>
        <w:tc>
          <w:tcPr>
            <w:tcW w:type="dxa" w:w="7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AI-7</w:t>
            </w:r>
          </w:p>
        </w:tc>
        <w:tc>
          <w:tcPr>
            <w:tcW w:type="dxa" w:w="135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Value &amp; reuse</w:t>
            </w:r>
          </w:p>
        </w:tc>
        <w:tc>
          <w:tcPr>
            <w:tcW w:type="dxa" w:w="125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Delivery / account growth</w:t>
            </w:r>
          </w:p>
        </w:tc>
        <w:tc>
          <w:tcPr>
            <w:tcW w:type="dxa" w:w="14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Delivery + Account + Practice</w:t>
            </w:r>
          </w:p>
        </w:tc>
        <w:tc>
          <w:tcPr>
            <w:tcW w:type="dxa" w:w="27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Measured outcome, value realization, lessons, reusable assets</w:t>
            </w:r>
          </w:p>
        </w:tc>
        <w:tc>
          <w:tcPr>
            <w:tcW w:type="dxa" w:w="19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Outcome recorded and next action identified</w:t>
            </w:r>
          </w:p>
        </w:tc>
      </w:tr>
    </w:tbl>
    <w:p>
      <w:pPr>
        <w:spacing w:after="0"/>
      </w:pPr>
    </w:p>
    <w:p>
      <w:pPr>
        <w:pStyle w:val="Heading2"/>
      </w:pPr>
      <w:r>
        <w:t>Control model</w:t>
      </w:r>
    </w:p>
    <w:p>
      <w:pPr>
        <w:pStyle w:val="ListBullet"/>
      </w:pPr>
      <w:r>
        <w:t>Green: complete and evidenced; proceed.</w:t>
      </w:r>
    </w:p>
    <w:p>
      <w:pPr>
        <w:pStyle w:val="ListBullet"/>
      </w:pPr>
      <w:r>
        <w:t>Amber: known gap with named owner, due date, and approved containment; proceed only if the gate approver accepts the exposure.</w:t>
      </w:r>
    </w:p>
    <w:p>
      <w:pPr>
        <w:pStyle w:val="ListBullet"/>
      </w:pPr>
      <w:r>
        <w:t>Red: blocking unknown, unaccepted risk, missing approval, or contradictory commitment; do not pass the gate.</w:t>
      </w:r>
    </w:p>
    <w:p>
      <w:r>
        <w:br w:type="page"/>
      </w:r>
    </w:p>
    <w:p>
      <w:pPr>
        <w:pStyle w:val="Heading1"/>
        <w:pBdr>
          <w:bottom w:val="single" w:sz="8" w:space="6" w:color="2E74B5"/>
        </w:pBdr>
      </w:pPr>
      <w:r>
        <w:t>4. Detailed operating process</w:t>
      </w:r>
    </w:p>
    <w:p>
      <w:r>
        <w:t>Each step defines the information required for the next decision and the evidence needed to advance. Service expectations are proposed pilot targets unless already required by existing policy.</w:t>
      </w:r>
    </w:p>
    <w:p>
      <w:pPr>
        <w:pStyle w:val="Heading2"/>
      </w:pPr>
      <w:r>
        <w:t>4.1. Signal and intake</w:t>
      </w:r>
    </w:p>
    <w:p>
      <w:pPr>
        <w:shd w:fill="E8EEF5"/>
        <w:pBdr>
          <w:left w:val="single" w:sz="22" w:space="8" w:color="2E74B5"/>
        </w:pBdr>
        <w:spacing w:before="120" w:after="120"/>
        <w:keepLines/>
      </w:pPr>
      <w:r>
        <w:rPr>
          <w:b/>
          <w:color w:val="2E74B5"/>
        </w:rPr>
        <w:t xml:space="preserve">Connected alignment  </w:t>
      </w:r>
      <w:r>
        <w:t>Interest  |  Primary accountable role: Sales / Account Lead</w:t>
      </w:r>
    </w:p>
    <w:p>
      <w:r>
        <w:rPr>
          <w:b/>
        </w:rPr>
        <w:t xml:space="preserve">Objective. </w:t>
      </w:r>
      <w:r>
        <w:t>Create a traceable opportunity signal without burdening the requestor with a full solution questionnaire.</w:t>
      </w:r>
    </w:p>
    <w:p>
      <w:pPr>
        <w:pStyle w:val="Heading3"/>
      </w:pPr>
      <w:r>
        <w:t>Required actions</w:t>
      </w:r>
    </w:p>
    <w:p>
      <w:pPr>
        <w:pStyle w:val="ListBullet"/>
      </w:pPr>
      <w:r>
        <w:t>Confirm whether a Connected opportunity exists; create or link one when the signal becomes a qualified pursuit.</w:t>
      </w:r>
    </w:p>
    <w:p>
      <w:pPr>
        <w:pStyle w:val="ListBullet"/>
      </w:pPr>
      <w:r>
        <w:t>Submit the Minimum Deal Brief through the single intake channel.</w:t>
      </w:r>
    </w:p>
    <w:p>
      <w:pPr>
        <w:pStyle w:val="ListBullet"/>
      </w:pPr>
      <w:r>
        <w:t>Attach or link available discovery notes, customer materials, RFx, account plan, or partner registration.</w:t>
      </w:r>
    </w:p>
    <w:p>
      <w:pPr>
        <w:pStyle w:val="ListBullet"/>
      </w:pPr>
      <w:r>
        <w:t>For an RFx, apply the existing lead-time and exception process and involve the Solution Executive early.</w:t>
      </w:r>
    </w:p>
    <w:p>
      <w:pPr>
        <w:pStyle w:val="Heading3"/>
      </w:pPr>
      <w:r>
        <w:t>Information to capture</w:t>
      </w:r>
    </w:p>
    <w:p>
      <w:pPr>
        <w:pStyle w:val="ListBullet"/>
      </w:pPr>
      <w:r>
        <w:t>Account/client and opportunity name or ID.</w:t>
      </w:r>
    </w:p>
    <w:p>
      <w:pPr>
        <w:pStyle w:val="ListBullet"/>
      </w:pPr>
      <w:r>
        <w:t>Requestor, Sales owner, customer sponsor/contact, source, and date received.</w:t>
      </w:r>
    </w:p>
    <w:p>
      <w:pPr>
        <w:pStyle w:val="ListBullet"/>
      </w:pPr>
      <w:r>
        <w:t>Business problem, affected users/workflow, desired outcome, OMTM hypothesis, and timing.</w:t>
      </w:r>
    </w:p>
    <w:p>
      <w:pPr>
        <w:pStyle w:val="ListBullet"/>
      </w:pPr>
      <w:r>
        <w:t>AI ask, known platform/provider, data sensitivity flag, rough commercial range, partner/funding status, and next customer event.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4CE"/>
          <w:left w:val="single" w:sz="4" w:space="0" w:color="B8C4CE"/>
          <w:bottom w:val="single" w:sz="4" w:space="0" w:color="B8C4CE"/>
          <w:right w:val="single" w:sz="4" w:space="0" w:color="B8C4CE"/>
          <w:insideH w:val="single" w:sz="4" w:space="0" w:color="B8C4CE"/>
          <w:insideV w:val="single" w:sz="4" w:space="0" w:color="B8C4CE"/>
        </w:tblBorders>
      </w:tblPr>
      <w:tblGrid>
        <w:gridCol w:w="3600"/>
        <w:gridCol w:w="5760"/>
      </w:tblGrid>
      <w:tr>
        <w:trPr>
          <w:tblHeader w:val="true"/>
          <w:cantSplit/>
        </w:trPr>
        <w:tc>
          <w:tcPr>
            <w:tcW w:type="dxa" w:w="36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Required output / evidence</w:t>
            </w:r>
          </w:p>
        </w:tc>
        <w:tc>
          <w:tcPr>
            <w:tcW w:type="dxa" w:w="576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Exit test</w:t>
            </w:r>
          </w:p>
        </w:tc>
      </w:tr>
      <w:tr>
        <w:trPr>
          <w:cantSplit/>
        </w:trPr>
        <w:tc>
          <w:tcPr>
            <w:tcW w:type="dxa" w:w="3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Minimum Deal Brief linked to the opportunity and queued for triage.</w:t>
            </w:r>
          </w:p>
        </w:tc>
        <w:tc>
          <w:tcPr>
            <w:tcW w:type="dxa" w:w="57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The request has enough information to route, ask targeted follow-ups, or explicitly hold as incomplete.</w:t>
            </w:r>
          </w:p>
        </w:tc>
      </w:tr>
    </w:tbl>
    <w:p>
      <w:pPr>
        <w:spacing w:after="0"/>
      </w:pPr>
    </w:p>
    <w:p>
      <w:pPr>
        <w:pStyle w:val="SmallNote"/>
      </w:pPr>
      <w:r>
        <w:rPr>
          <w:b/>
        </w:rPr>
        <w:t xml:space="preserve">Service expectation: </w:t>
      </w:r>
      <w:r>
        <w:t>Automatic acknowledgement within 1 business day.</w:t>
      </w:r>
    </w:p>
    <w:p>
      <w:pPr>
        <w:pStyle w:val="Heading2"/>
      </w:pPr>
      <w:r>
        <w:t>4.2. Triage and routing</w:t>
      </w:r>
    </w:p>
    <w:p>
      <w:pPr>
        <w:shd w:fill="E8EEF5"/>
        <w:pBdr>
          <w:left w:val="single" w:sz="22" w:space="8" w:color="2E74B5"/>
        </w:pBdr>
        <w:spacing w:before="120" w:after="120"/>
        <w:keepLines/>
      </w:pPr>
      <w:r>
        <w:rPr>
          <w:b/>
          <w:color w:val="2E74B5"/>
        </w:rPr>
        <w:t xml:space="preserve">Connected alignment  </w:t>
      </w:r>
      <w:r>
        <w:t>Interest / Qualifying  |  Primary accountable role: AI Triage Lead</w:t>
      </w:r>
    </w:p>
    <w:p>
      <w:r>
        <w:rPr>
          <w:b/>
        </w:rPr>
        <w:t xml:space="preserve">Objective. </w:t>
      </w:r>
      <w:r>
        <w:t>Decide how the AI Shared Practice will engage and ensure that a named owner accepts the work.</w:t>
      </w:r>
    </w:p>
    <w:p>
      <w:pPr>
        <w:pStyle w:val="Heading3"/>
      </w:pPr>
      <w:r>
        <w:t>Required actions</w:t>
      </w:r>
    </w:p>
    <w:p>
      <w:pPr>
        <w:pStyle w:val="ListBullet"/>
      </w:pPr>
      <w:r>
        <w:t>Review strategic fit, materiality of AI, stage/timing, customer commitment, capability fit, capacity, partner requirements, and risk triggers.</w:t>
      </w:r>
    </w:p>
    <w:p>
      <w:pPr>
        <w:pStyle w:val="ListBullet"/>
      </w:pPr>
      <w:r>
        <w:t>Choose exactly one engagement route and record the rationale.</w:t>
      </w:r>
    </w:p>
    <w:p>
      <w:pPr>
        <w:pStyle w:val="ListBullet"/>
      </w:pPr>
      <w:r>
        <w:t>Classify the anticipated engagement pattern as BUILD, GOVERN, or OPERATE after routing.</w:t>
      </w:r>
    </w:p>
    <w:p>
      <w:pPr>
        <w:pStyle w:val="ListBullet"/>
      </w:pPr>
      <w:r>
        <w:t>Assign an SE and AI Architect/SME when Solutioning support is required.</w:t>
      </w:r>
    </w:p>
    <w:p>
      <w:pPr>
        <w:pStyle w:val="ListBullet"/>
      </w:pPr>
      <w:r>
        <w:t>For HANDOFF, obtain explicit acceptance from the receiving practice before the AI Shared Practice exits.</w:t>
      </w:r>
    </w:p>
    <w:p>
      <w:pPr>
        <w:pStyle w:val="Heading3"/>
      </w:pPr>
      <w:r>
        <w:t>Information to capture</w:t>
      </w:r>
    </w:p>
    <w:p>
      <w:pPr>
        <w:pStyle w:val="ListBullet"/>
      </w:pPr>
      <w:r>
        <w:t>Route and rationale; engagement pattern; priority; named accountable owner; supporting roles.</w:t>
      </w:r>
    </w:p>
    <w:p>
      <w:pPr>
        <w:pStyle w:val="ListBullet"/>
      </w:pPr>
      <w:r>
        <w:t>Missing information, next decision, next customer event, and service deadline.</w:t>
      </w:r>
    </w:p>
    <w:p>
      <w:pPr>
        <w:pStyle w:val="ListBullet"/>
      </w:pPr>
      <w:r>
        <w:t>Conflict, capacity, policy, or capability exceptions and escalation path.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4CE"/>
          <w:left w:val="single" w:sz="4" w:space="0" w:color="B8C4CE"/>
          <w:bottom w:val="single" w:sz="4" w:space="0" w:color="B8C4CE"/>
          <w:right w:val="single" w:sz="4" w:space="0" w:color="B8C4CE"/>
          <w:insideH w:val="single" w:sz="4" w:space="0" w:color="B8C4CE"/>
          <w:insideV w:val="single" w:sz="4" w:space="0" w:color="B8C4CE"/>
        </w:tblBorders>
      </w:tblPr>
      <w:tblGrid>
        <w:gridCol w:w="3600"/>
        <w:gridCol w:w="5760"/>
      </w:tblGrid>
      <w:tr>
        <w:trPr>
          <w:tblHeader w:val="true"/>
          <w:cantSplit/>
        </w:trPr>
        <w:tc>
          <w:tcPr>
            <w:tcW w:type="dxa" w:w="36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Required output / evidence</w:t>
            </w:r>
          </w:p>
        </w:tc>
        <w:tc>
          <w:tcPr>
            <w:tcW w:type="dxa" w:w="576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Exit test</w:t>
            </w:r>
          </w:p>
        </w:tc>
      </w:tr>
      <w:tr>
        <w:trPr>
          <w:cantSplit/>
        </w:trPr>
        <w:tc>
          <w:tcPr>
            <w:tcW w:type="dxa" w:w="3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Triage Decision Record and accepted owner.</w:t>
            </w:r>
          </w:p>
        </w:tc>
        <w:tc>
          <w:tcPr>
            <w:tcW w:type="dxa" w:w="57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Route is recorded, owner accepts, next action is dated, and any unresolved conflict is escalated.</w:t>
            </w:r>
          </w:p>
        </w:tc>
      </w:tr>
    </w:tbl>
    <w:p>
      <w:pPr>
        <w:spacing w:after="0"/>
      </w:pPr>
    </w:p>
    <w:p>
      <w:pPr>
        <w:pStyle w:val="SmallNote"/>
      </w:pPr>
      <w:r>
        <w:rPr>
          <w:b/>
        </w:rPr>
        <w:t xml:space="preserve">Service expectation: </w:t>
      </w:r>
      <w:r>
        <w:t>At least 90% of complete intakes routed within 3 business days.</w:t>
      </w:r>
    </w:p>
    <w:p>
      <w:pPr>
        <w:pStyle w:val="Heading2"/>
      </w:pPr>
      <w:r>
        <w:t>4.3. Qualification and discovery</w:t>
      </w:r>
    </w:p>
    <w:p>
      <w:pPr>
        <w:shd w:fill="E8EEF5"/>
        <w:pBdr>
          <w:left w:val="single" w:sz="22" w:space="8" w:color="2E74B5"/>
        </w:pBdr>
        <w:spacing w:before="120" w:after="120"/>
        <w:keepLines/>
      </w:pPr>
      <w:r>
        <w:rPr>
          <w:b/>
          <w:color w:val="2E74B5"/>
        </w:rPr>
        <w:t xml:space="preserve">Connected alignment  </w:t>
      </w:r>
      <w:r>
        <w:t>Qualifying  |  Primary accountable role: Sales + Solution Executive</w:t>
      </w:r>
    </w:p>
    <w:p>
      <w:r>
        <w:rPr>
          <w:b/>
        </w:rPr>
        <w:t xml:space="preserve">Objective. </w:t>
      </w:r>
      <w:r>
        <w:t>Determine whether the opportunity is worth pursuing and establish a value-led discovery plan.</w:t>
      </w:r>
    </w:p>
    <w:p>
      <w:pPr>
        <w:pStyle w:val="Heading3"/>
      </w:pPr>
      <w:r>
        <w:t>Required actions</w:t>
      </w:r>
    </w:p>
    <w:p>
      <w:pPr>
        <w:pStyle w:val="ListBullet"/>
      </w:pPr>
      <w:r>
        <w:t>Validate the Value Driver, customer urgency, sponsor, budget path, competitive context, decision process, and timing.</w:t>
      </w:r>
    </w:p>
    <w:p>
      <w:pPr>
        <w:pStyle w:val="ListBullet"/>
      </w:pPr>
      <w:r>
        <w:t>Define the desired outcome, OMTM, baseline, target, measurement owner, and proof required.</w:t>
      </w:r>
    </w:p>
    <w:p>
      <w:pPr>
        <w:pStyle w:val="ListBullet"/>
      </w:pPr>
      <w:r>
        <w:t>Identify target users, workflow, decisions/actions improved, failure consequences, and adoption dependencies.</w:t>
      </w:r>
    </w:p>
    <w:p>
      <w:pPr>
        <w:pStyle w:val="ListBullet"/>
      </w:pPr>
      <w:r>
        <w:t>Open and begin the TGS Solutioning Checklist; flag contractual, data, security, privacy, IP, regulatory, and partner issues.</w:t>
      </w:r>
    </w:p>
    <w:p>
      <w:pPr>
        <w:pStyle w:val="ListBullet"/>
      </w:pPr>
      <w:r>
        <w:t>Choose pursue, nurture, decline, or redirect and document the reason.</w:t>
      </w:r>
    </w:p>
    <w:p>
      <w:pPr>
        <w:pStyle w:val="Heading3"/>
      </w:pPr>
      <w:r>
        <w:t>Information to capture</w:t>
      </w:r>
    </w:p>
    <w:p>
      <w:pPr>
        <w:pStyle w:val="ListBullet"/>
      </w:pPr>
      <w:r>
        <w:t>Value hypothesis; current-state pain; quantified baseline; target outcome and OMTM.</w:t>
      </w:r>
    </w:p>
    <w:p>
      <w:pPr>
        <w:pStyle w:val="ListBullet"/>
      </w:pPr>
      <w:r>
        <w:t>Buying committee, sponsor, champion, procurement/legal path, competition, funding, close date, and next event.</w:t>
      </w:r>
    </w:p>
    <w:p>
      <w:pPr>
        <w:pStyle w:val="ListBullet"/>
      </w:pPr>
      <w:r>
        <w:t>Initial AI risk/materiality profile, data availability, integration constraints, and evaluation approach.</w:t>
      </w:r>
    </w:p>
    <w:p>
      <w:pPr>
        <w:pStyle w:val="ListBullet"/>
      </w:pPr>
      <w:r>
        <w:t>Value Framework entries and discovery evidence links.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4CE"/>
          <w:left w:val="single" w:sz="4" w:space="0" w:color="B8C4CE"/>
          <w:bottom w:val="single" w:sz="4" w:space="0" w:color="B8C4CE"/>
          <w:right w:val="single" w:sz="4" w:space="0" w:color="B8C4CE"/>
          <w:insideH w:val="single" w:sz="4" w:space="0" w:color="B8C4CE"/>
          <w:insideV w:val="single" w:sz="4" w:space="0" w:color="B8C4CE"/>
        </w:tblBorders>
      </w:tblPr>
      <w:tblGrid>
        <w:gridCol w:w="3600"/>
        <w:gridCol w:w="5760"/>
      </w:tblGrid>
      <w:tr>
        <w:trPr>
          <w:tblHeader w:val="true"/>
          <w:cantSplit/>
        </w:trPr>
        <w:tc>
          <w:tcPr>
            <w:tcW w:type="dxa" w:w="36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Required output / evidence</w:t>
            </w:r>
          </w:p>
        </w:tc>
        <w:tc>
          <w:tcPr>
            <w:tcW w:type="dxa" w:w="576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Exit test</w:t>
            </w:r>
          </w:p>
        </w:tc>
      </w:tr>
      <w:tr>
        <w:trPr>
          <w:cantSplit/>
        </w:trPr>
        <w:tc>
          <w:tcPr>
            <w:tcW w:type="dxa" w:w="3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Qualification Decision and Discovery Summary.</w:t>
            </w:r>
          </w:p>
        </w:tc>
        <w:tc>
          <w:tcPr>
            <w:tcW w:type="dxa" w:w="57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Business value and buying path are credible; the use case is sufficiently bounded; material blockers have owners; Solutioning resources are justified.</w:t>
            </w:r>
          </w:p>
        </w:tc>
      </w:tr>
    </w:tbl>
    <w:p>
      <w:pPr>
        <w:spacing w:after="0"/>
      </w:pPr>
    </w:p>
    <w:p>
      <w:pPr>
        <w:pStyle w:val="SmallNote"/>
      </w:pPr>
      <w:r>
        <w:rPr>
          <w:b/>
        </w:rPr>
        <w:t xml:space="preserve">Service expectation: </w:t>
      </w:r>
      <w:r>
        <w:t>Qualification decision normally within 5 business days of a complete intake or first discovery session.</w:t>
      </w:r>
    </w:p>
    <w:p>
      <w:r>
        <w:br w:type="page"/>
      </w:r>
    </w:p>
    <w:p>
      <w:pPr>
        <w:pStyle w:val="Heading2"/>
      </w:pPr>
      <w:r>
        <w:t>4.4. Solution design and validation</w:t>
      </w:r>
    </w:p>
    <w:p>
      <w:pPr>
        <w:shd w:fill="E8EEF5"/>
        <w:pBdr>
          <w:left w:val="single" w:sz="22" w:space="8" w:color="2E74B5"/>
        </w:pBdr>
        <w:spacing w:before="120" w:after="120"/>
        <w:keepLines/>
      </w:pPr>
      <w:r>
        <w:rPr>
          <w:b/>
          <w:color w:val="2E74B5"/>
        </w:rPr>
        <w:t xml:space="preserve">Connected alignment  </w:t>
      </w:r>
      <w:r>
        <w:t>Solutioning  |  Primary accountable role: Solution Executive + AI Architect / Practice Lead</w:t>
      </w:r>
    </w:p>
    <w:p>
      <w:r>
        <w:rPr>
          <w:b/>
        </w:rPr>
        <w:t xml:space="preserve">Objective. </w:t>
      </w:r>
      <w:r>
        <w:t>Produce a feasible, operable, secure, measurable, and commercially coherent solution.</w:t>
      </w:r>
    </w:p>
    <w:p>
      <w:pPr>
        <w:pStyle w:val="Heading3"/>
      </w:pPr>
      <w:r>
        <w:t>Required actions</w:t>
      </w:r>
    </w:p>
    <w:p>
      <w:pPr>
        <w:pStyle w:val="ListBullet"/>
      </w:pPr>
      <w:r>
        <w:t>Run solution working sessions with Practice, Delivery, Sales, and required control functions.</w:t>
      </w:r>
    </w:p>
    <w:p>
      <w:pPr>
        <w:pStyle w:val="ListBullet"/>
      </w:pPr>
      <w:r>
        <w:t>Select build/buy/partner approach; document target architecture, data flow, model/provider, integrations, environments, and service model.</w:t>
      </w:r>
    </w:p>
    <w:p>
      <w:pPr>
        <w:pStyle w:val="ListBullet"/>
      </w:pPr>
      <w:r>
        <w:t>Define human oversight, autonomy boundaries, approved tools/actions, fallbacks, escalation, and incident response.</w:t>
      </w:r>
    </w:p>
    <w:p>
      <w:pPr>
        <w:pStyle w:val="ListBullet"/>
      </w:pPr>
      <w:r>
        <w:t>Create the evaluation plan: representative test set, quality/safety thresholds, latency, cost, reliability, and acceptance method.</w:t>
      </w:r>
    </w:p>
    <w:p>
      <w:pPr>
        <w:pStyle w:val="ListBullet"/>
      </w:pPr>
      <w:r>
        <w:t>Build estimates, price model, assumptions, staffing plan, delivery milestones, governance, and transition approach.</w:t>
      </w:r>
    </w:p>
    <w:p>
      <w:pPr>
        <w:pStyle w:val="ListBullet"/>
      </w:pPr>
      <w:r>
        <w:t>Maintain the Value Framework and Solutioning Checklist as the solution changes.</w:t>
      </w:r>
    </w:p>
    <w:p>
      <w:pPr>
        <w:pStyle w:val="Heading3"/>
      </w:pPr>
      <w:r>
        <w:t>Information to capture</w:t>
      </w:r>
    </w:p>
    <w:p>
      <w:pPr>
        <w:pStyle w:val="ListBullet"/>
      </w:pPr>
      <w:r>
        <w:t>Architecture decision record and data flow.</w:t>
      </w:r>
    </w:p>
    <w:p>
      <w:pPr>
        <w:pStyle w:val="ListBullet"/>
      </w:pPr>
      <w:r>
        <w:t>AI Risk &amp; Evidence Overlay; data classification and approved environment.</w:t>
      </w:r>
    </w:p>
    <w:p>
      <w:pPr>
        <w:pStyle w:val="ListBullet"/>
      </w:pPr>
      <w:r>
        <w:t>Evaluation plan, baselines, thresholds, acceptance owners, and evidence status.</w:t>
      </w:r>
    </w:p>
    <w:p>
      <w:pPr>
        <w:pStyle w:val="ListBullet"/>
      </w:pPr>
      <w:r>
        <w:t>Scope, exclusions, assumptions, dependencies, RACI, schedule, staffing, estimates, price, margin, partner costs/funding, and delivery model.</w:t>
      </w:r>
    </w:p>
    <w:p>
      <w:pPr>
        <w:pStyle w:val="ListBullet"/>
      </w:pPr>
      <w:r>
        <w:t>Open decisions, risks, owners, due dates, and client confirmation status.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4CE"/>
          <w:left w:val="single" w:sz="4" w:space="0" w:color="B8C4CE"/>
          <w:bottom w:val="single" w:sz="4" w:space="0" w:color="B8C4CE"/>
          <w:right w:val="single" w:sz="4" w:space="0" w:color="B8C4CE"/>
          <w:insideH w:val="single" w:sz="4" w:space="0" w:color="B8C4CE"/>
          <w:insideV w:val="single" w:sz="4" w:space="0" w:color="B8C4CE"/>
        </w:tblBorders>
      </w:tblPr>
      <w:tblGrid>
        <w:gridCol w:w="3600"/>
        <w:gridCol w:w="5760"/>
      </w:tblGrid>
      <w:tr>
        <w:trPr>
          <w:tblHeader w:val="true"/>
          <w:cantSplit/>
        </w:trPr>
        <w:tc>
          <w:tcPr>
            <w:tcW w:type="dxa" w:w="36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Required output / evidence</w:t>
            </w:r>
          </w:p>
        </w:tc>
        <w:tc>
          <w:tcPr>
            <w:tcW w:type="dxa" w:w="576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Exit test</w:t>
            </w:r>
          </w:p>
        </w:tc>
      </w:tr>
      <w:tr>
        <w:trPr>
          <w:cantSplit/>
        </w:trPr>
        <w:tc>
          <w:tcPr>
            <w:tcW w:type="dxa" w:w="3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Solution Evidence Pack and validated Price Sheet.</w:t>
            </w:r>
          </w:p>
        </w:tc>
        <w:tc>
          <w:tcPr>
            <w:tcW w:type="dxa" w:w="57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Practice and Delivery approve solution and pricing in writing; mandatory risks are resolved or formally accepted; proposal content can be traced to evidence.</w:t>
            </w:r>
          </w:p>
        </w:tc>
      </w:tr>
    </w:tbl>
    <w:p>
      <w:pPr>
        <w:spacing w:after="0"/>
      </w:pPr>
    </w:p>
    <w:p>
      <w:pPr>
        <w:pStyle w:val="SmallNote"/>
      </w:pPr>
      <w:r>
        <w:rPr>
          <w:b/>
        </w:rPr>
        <w:t xml:space="preserve">Service expectation: </w:t>
      </w:r>
      <w:r>
        <w:t>Working cadence set by pursuit priority; readiness reviewed at least weekly for active proposal-bound deals.</w:t>
      </w:r>
    </w:p>
    <w:p>
      <w:pPr>
        <w:pStyle w:val="Heading2"/>
      </w:pPr>
      <w:r>
        <w:t>4.5. Proposal readiness gate</w:t>
      </w:r>
    </w:p>
    <w:p>
      <w:pPr>
        <w:shd w:fill="E8EEF5"/>
        <w:pBdr>
          <w:left w:val="single" w:sz="22" w:space="8" w:color="2E74B5"/>
        </w:pBdr>
        <w:spacing w:before="120" w:after="120"/>
        <w:keepLines/>
      </w:pPr>
      <w:r>
        <w:rPr>
          <w:b/>
          <w:color w:val="2E74B5"/>
        </w:rPr>
        <w:t xml:space="preserve">Connected alignment  </w:t>
      </w:r>
      <w:r>
        <w:t>Solutioning → Proposing  |  Primary accountable role: Solution Executive</w:t>
      </w:r>
    </w:p>
    <w:p>
      <w:r>
        <w:rPr>
          <w:b/>
        </w:rPr>
        <w:t xml:space="preserve">Objective. </w:t>
      </w:r>
      <w:r>
        <w:t>Prevent a client-facing commitment before the solution, economics, risks, and acceptance method are ready.</w:t>
      </w:r>
    </w:p>
    <w:p>
      <w:pPr>
        <w:pStyle w:val="Heading3"/>
      </w:pPr>
      <w:r>
        <w:t>Required actions</w:t>
      </w:r>
    </w:p>
    <w:p>
      <w:pPr>
        <w:pStyle w:val="ListBullet"/>
      </w:pPr>
      <w:r>
        <w:t>Run the proposal-readiness checklist with Sales, Practice, Delivery, Proposal, and control partners.</w:t>
      </w:r>
    </w:p>
    <w:p>
      <w:pPr>
        <w:pStyle w:val="ListBullet"/>
      </w:pPr>
      <w:r>
        <w:t>Reconcile opportunity amount, revenue, gross profit, close date, service model, and Price Sheet.</w:t>
      </w:r>
    </w:p>
    <w:p>
      <w:pPr>
        <w:pStyle w:val="ListBullet"/>
      </w:pPr>
      <w:r>
        <w:t>Confirm the Value Framework matches the proposal story and measurable outcomes.</w:t>
      </w:r>
    </w:p>
    <w:p>
      <w:pPr>
        <w:pStyle w:val="ListBullet"/>
      </w:pPr>
      <w:r>
        <w:t>Save the required Solutioning Checklist snapshot in the opportunity record.</w:t>
      </w:r>
    </w:p>
    <w:p>
      <w:pPr>
        <w:pStyle w:val="ListBullet"/>
      </w:pPr>
      <w:r>
        <w:t>Obtain required written approvals for solution, pricing, exceptions, partners, data/security/privacy, and nonstandard terms.</w:t>
      </w:r>
    </w:p>
    <w:p>
      <w:pPr>
        <w:pStyle w:val="ListBullet"/>
      </w:pPr>
      <w:r>
        <w:t>Record all amber conditions with owner, due date, containment, and approver.</w:t>
      </w:r>
    </w:p>
    <w:p>
      <w:pPr>
        <w:pStyle w:val="Heading3"/>
      </w:pPr>
      <w:r>
        <w:t>Information to capture</w:t>
      </w:r>
    </w:p>
    <w:p>
      <w:pPr>
        <w:pStyle w:val="ListBullet"/>
      </w:pPr>
      <w:r>
        <w:t>Gate status by domain; approval evidence; unresolved items; proposal version; customer review plan.</w:t>
      </w:r>
    </w:p>
    <w:p>
      <w:pPr>
        <w:pStyle w:val="ListBullet"/>
      </w:pPr>
      <w:r>
        <w:t>Final scope, exclusions, assumptions, responsibilities, dependencies, acceptance criteria, service levels, warranties, credits, and change control.</w:t>
      </w:r>
    </w:p>
    <w:p>
      <w:pPr>
        <w:pStyle w:val="ListBullet"/>
      </w:pPr>
      <w:r>
        <w:t>AI limitations and responsible-use statements appropriate for the client.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4CE"/>
          <w:left w:val="single" w:sz="4" w:space="0" w:color="B8C4CE"/>
          <w:bottom w:val="single" w:sz="4" w:space="0" w:color="B8C4CE"/>
          <w:right w:val="single" w:sz="4" w:space="0" w:color="B8C4CE"/>
          <w:insideH w:val="single" w:sz="4" w:space="0" w:color="B8C4CE"/>
          <w:insideV w:val="single" w:sz="4" w:space="0" w:color="B8C4CE"/>
        </w:tblBorders>
      </w:tblPr>
      <w:tblGrid>
        <w:gridCol w:w="3600"/>
        <w:gridCol w:w="5760"/>
      </w:tblGrid>
      <w:tr>
        <w:trPr>
          <w:tblHeader w:val="true"/>
          <w:cantSplit/>
        </w:trPr>
        <w:tc>
          <w:tcPr>
            <w:tcW w:type="dxa" w:w="36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Required output / evidence</w:t>
            </w:r>
          </w:p>
        </w:tc>
        <w:tc>
          <w:tcPr>
            <w:tcW w:type="dxa" w:w="576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Exit test</w:t>
            </w:r>
          </w:p>
        </w:tc>
      </w:tr>
      <w:tr>
        <w:trPr>
          <w:cantSplit/>
        </w:trPr>
        <w:tc>
          <w:tcPr>
            <w:tcW w:type="dxa" w:w="3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Signed Proposal Readiness Record and Proposing snapshot.</w:t>
            </w:r>
          </w:p>
        </w:tc>
        <w:tc>
          <w:tcPr>
            <w:tcW w:type="dxa" w:w="57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No red mandatory item; all amber items accepted; commercial and delivery data reconcile; named approver authorizes stage advancement.</w:t>
            </w:r>
          </w:p>
        </w:tc>
      </w:tr>
    </w:tbl>
    <w:p>
      <w:pPr>
        <w:spacing w:after="0"/>
      </w:pPr>
    </w:p>
    <w:p>
      <w:pPr>
        <w:pStyle w:val="SmallNote"/>
      </w:pPr>
      <w:r>
        <w:rPr>
          <w:b/>
        </w:rPr>
        <w:t xml:space="preserve">Service expectation: </w:t>
      </w:r>
      <w:r>
        <w:t>Gate held before the opportunity is moved to Proposing or a proposal/SOW is presented.</w:t>
      </w:r>
    </w:p>
    <w:p>
      <w:r>
        <w:br w:type="page"/>
      </w:r>
    </w:p>
    <w:p>
      <w:pPr>
        <w:pStyle w:val="Heading2"/>
      </w:pPr>
      <w:r>
        <w:t>4.6. Proposing and negotiating</w:t>
      </w:r>
    </w:p>
    <w:p>
      <w:pPr>
        <w:shd w:fill="E8EEF5"/>
        <w:pBdr>
          <w:left w:val="single" w:sz="22" w:space="8" w:color="2E74B5"/>
        </w:pBdr>
        <w:spacing w:before="120" w:after="120"/>
        <w:keepLines/>
      </w:pPr>
      <w:r>
        <w:rPr>
          <w:b/>
          <w:color w:val="2E74B5"/>
        </w:rPr>
        <w:t xml:space="preserve">Connected alignment  </w:t>
      </w:r>
      <w:r>
        <w:t>Proposing / Negotiating  |  Primary accountable role: Solution Executive + Sales</w:t>
      </w:r>
    </w:p>
    <w:p>
      <w:r>
        <w:rPr>
          <w:b/>
        </w:rPr>
        <w:t xml:space="preserve">Objective. </w:t>
      </w:r>
      <w:r>
        <w:t>Protect solution integrity and economics while responding quickly to customer questions and changes.</w:t>
      </w:r>
    </w:p>
    <w:p>
      <w:pPr>
        <w:pStyle w:val="Heading3"/>
      </w:pPr>
      <w:r>
        <w:t>Required actions</w:t>
      </w:r>
    </w:p>
    <w:p>
      <w:pPr>
        <w:pStyle w:val="ListBullet"/>
      </w:pPr>
      <w:r>
        <w:t>Present the value narrative, proposed operating model, measurable outcomes, assumptions, and decision path.</w:t>
      </w:r>
    </w:p>
    <w:p>
      <w:pPr>
        <w:pStyle w:val="ListBullet"/>
      </w:pPr>
      <w:r>
        <w:t>Log customer feedback, objections, decisions, concessions, scope changes, redlines, and impact assessments.</w:t>
      </w:r>
    </w:p>
    <w:p>
      <w:pPr>
        <w:pStyle w:val="ListBullet"/>
      </w:pPr>
      <w:r>
        <w:t>Re-run affected technical, delivery, commercial, data, security, privacy, IP, and partner approvals after material changes.</w:t>
      </w:r>
    </w:p>
    <w:p>
      <w:pPr>
        <w:pStyle w:val="ListBullet"/>
      </w:pPr>
      <w:r>
        <w:t>Keep Connected stage, close date, value, gross profit, Value Framework, Price Sheet, and checklist current.</w:t>
      </w:r>
    </w:p>
    <w:p>
      <w:pPr>
        <w:pStyle w:val="ListBullet"/>
      </w:pPr>
      <w:r>
        <w:t>Maintain a clear trial close: what is agreed, what is open, who decides, and by when.</w:t>
      </w:r>
    </w:p>
    <w:p>
      <w:pPr>
        <w:pStyle w:val="Heading3"/>
      </w:pPr>
      <w:r>
        <w:t>Information to capture</w:t>
      </w:r>
    </w:p>
    <w:p>
      <w:pPr>
        <w:pStyle w:val="ListBullet"/>
      </w:pPr>
      <w:r>
        <w:t>Proposal/SOW versions and dates; client attendees and decisions.</w:t>
      </w:r>
    </w:p>
    <w:p>
      <w:pPr>
        <w:pStyle w:val="ListBullet"/>
      </w:pPr>
      <w:r>
        <w:t>Change log with scope, schedule, price, margin, risk, acceptance, and staffing impacts.</w:t>
      </w:r>
    </w:p>
    <w:p>
      <w:pPr>
        <w:pStyle w:val="ListBullet"/>
      </w:pPr>
      <w:r>
        <w:t>Approval trail and customer-confirmed next step.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4CE"/>
          <w:left w:val="single" w:sz="4" w:space="0" w:color="B8C4CE"/>
          <w:bottom w:val="single" w:sz="4" w:space="0" w:color="B8C4CE"/>
          <w:right w:val="single" w:sz="4" w:space="0" w:color="B8C4CE"/>
          <w:insideH w:val="single" w:sz="4" w:space="0" w:color="B8C4CE"/>
          <w:insideV w:val="single" w:sz="4" w:space="0" w:color="B8C4CE"/>
        </w:tblBorders>
      </w:tblPr>
      <w:tblGrid>
        <w:gridCol w:w="3600"/>
        <w:gridCol w:w="5760"/>
      </w:tblGrid>
      <w:tr>
        <w:trPr>
          <w:tblHeader w:val="true"/>
          <w:cantSplit/>
        </w:trPr>
        <w:tc>
          <w:tcPr>
            <w:tcW w:type="dxa" w:w="36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Required output / evidence</w:t>
            </w:r>
          </w:p>
        </w:tc>
        <w:tc>
          <w:tcPr>
            <w:tcW w:type="dxa" w:w="576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Exit test</w:t>
            </w:r>
          </w:p>
        </w:tc>
      </w:tr>
      <w:tr>
        <w:trPr>
          <w:cantSplit/>
        </w:trPr>
        <w:tc>
          <w:tcPr>
            <w:tcW w:type="dxa" w:w="3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Current Decision &amp; Change Log plus approved final commercial package.</w:t>
            </w:r>
          </w:p>
        </w:tc>
        <w:tc>
          <w:tcPr>
            <w:tcW w:type="dxa" w:w="57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Final commitments are internally approved, accurately reflected in the contract/SOW, and operationally deliverable.</w:t>
            </w:r>
          </w:p>
        </w:tc>
      </w:tr>
    </w:tbl>
    <w:p>
      <w:pPr>
        <w:spacing w:after="0"/>
      </w:pPr>
    </w:p>
    <w:p>
      <w:pPr>
        <w:pStyle w:val="SmallNote"/>
      </w:pPr>
      <w:r>
        <w:rPr>
          <w:b/>
        </w:rPr>
        <w:t xml:space="preserve">Service expectation: </w:t>
      </w:r>
      <w:r>
        <w:t>Material changes assessed before commitment; opportunity hygiene updated within 1 business day of a decision.</w:t>
      </w:r>
    </w:p>
    <w:p>
      <w:pPr>
        <w:pStyle w:val="Heading2"/>
      </w:pPr>
      <w:r>
        <w:t>4.7. Closed-Won transition</w:t>
      </w:r>
    </w:p>
    <w:p>
      <w:pPr>
        <w:shd w:fill="E8EEF5"/>
        <w:pBdr>
          <w:left w:val="single" w:sz="22" w:space="8" w:color="2E74B5"/>
        </w:pBdr>
        <w:spacing w:before="120" w:after="120"/>
        <w:keepLines/>
      </w:pPr>
      <w:r>
        <w:rPr>
          <w:b/>
          <w:color w:val="2E74B5"/>
        </w:rPr>
        <w:t xml:space="preserve">Connected alignment  </w:t>
      </w:r>
      <w:r>
        <w:t>Closed Won  |  Primary accountable role: Solution Executive + Delivery Lead</w:t>
      </w:r>
    </w:p>
    <w:p>
      <w:r>
        <w:rPr>
          <w:b/>
        </w:rPr>
        <w:t xml:space="preserve">Objective. </w:t>
      </w:r>
      <w:r>
        <w:t>Transfer a complete, accepted, and executable commitment to Delivery without losing pursuit knowledge.</w:t>
      </w:r>
    </w:p>
    <w:p>
      <w:pPr>
        <w:pStyle w:val="Heading3"/>
      </w:pPr>
      <w:r>
        <w:t>Required actions</w:t>
      </w:r>
    </w:p>
    <w:p>
      <w:pPr>
        <w:pStyle w:val="ListBullet"/>
      </w:pPr>
      <w:r>
        <w:t>Complete the final pass of the Solutioning Checklist and save the Won snapshot.</w:t>
      </w:r>
    </w:p>
    <w:p>
      <w:pPr>
        <w:pStyle w:val="ListBullet"/>
      </w:pPr>
      <w:r>
        <w:t>Review all Yes items and remaining Delivery-confirmation items with the Delivery Lead.</w:t>
      </w:r>
    </w:p>
    <w:p>
      <w:pPr>
        <w:pStyle w:val="ListBullet"/>
      </w:pPr>
      <w:r>
        <w:t>Transfer the signed SOW/contract, solution/evaluation artifacts, assumptions, decisions, risks, customer commitments, staffing plan, partner obligations, and access dependencies.</w:t>
      </w:r>
    </w:p>
    <w:p>
      <w:pPr>
        <w:pStyle w:val="ListBullet"/>
      </w:pPr>
      <w:r>
        <w:t>Confirm kickoff date, realistic start conditions, governance, escalation, incident response, measurement plan, and customer communications.</w:t>
      </w:r>
    </w:p>
    <w:p>
      <w:pPr>
        <w:pStyle w:val="ListBullet"/>
      </w:pPr>
      <w:r>
        <w:t>Require the Delivery Lead to accept ownership and document any inherited amber item.</w:t>
      </w:r>
    </w:p>
    <w:p>
      <w:pPr>
        <w:pStyle w:val="Heading3"/>
      </w:pPr>
      <w:r>
        <w:t>Information to capture</w:t>
      </w:r>
    </w:p>
    <w:p>
      <w:pPr>
        <w:pStyle w:val="ListBullet"/>
      </w:pPr>
      <w:r>
        <w:t>Final handoff pack; acceptance date; receiving owner; residual risks and owners.</w:t>
      </w:r>
    </w:p>
    <w:p>
      <w:pPr>
        <w:pStyle w:val="ListBullet"/>
      </w:pPr>
      <w:r>
        <w:t>Baseline and OMTM; acceptance tests; reporting cadence; success/benefit owner.</w:t>
      </w:r>
    </w:p>
    <w:p>
      <w:pPr>
        <w:pStyle w:val="ListBullet"/>
      </w:pPr>
      <w:r>
        <w:t>Start prerequisites: people, contracts, tools, data, environments, security/access, training, and customer dependencies.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4CE"/>
          <w:left w:val="single" w:sz="4" w:space="0" w:color="B8C4CE"/>
          <w:bottom w:val="single" w:sz="4" w:space="0" w:color="B8C4CE"/>
          <w:right w:val="single" w:sz="4" w:space="0" w:color="B8C4CE"/>
          <w:insideH w:val="single" w:sz="4" w:space="0" w:color="B8C4CE"/>
          <w:insideV w:val="single" w:sz="4" w:space="0" w:color="B8C4CE"/>
        </w:tblBorders>
      </w:tblPr>
      <w:tblGrid>
        <w:gridCol w:w="3600"/>
        <w:gridCol w:w="5760"/>
      </w:tblGrid>
      <w:tr>
        <w:trPr>
          <w:tblHeader w:val="true"/>
          <w:cantSplit/>
        </w:trPr>
        <w:tc>
          <w:tcPr>
            <w:tcW w:type="dxa" w:w="36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Required output / evidence</w:t>
            </w:r>
          </w:p>
        </w:tc>
        <w:tc>
          <w:tcPr>
            <w:tcW w:type="dxa" w:w="576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Exit test</w:t>
            </w:r>
          </w:p>
        </w:tc>
      </w:tr>
      <w:tr>
        <w:trPr>
          <w:cantSplit/>
        </w:trPr>
        <w:tc>
          <w:tcPr>
            <w:tcW w:type="dxa" w:w="3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Accepted Delivery Handoff and final checklist snapshot.</w:t>
            </w:r>
          </w:p>
        </w:tc>
        <w:tc>
          <w:tcPr>
            <w:tcW w:type="dxa" w:w="57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Delivery accepts ownership; prerequisites and residual exposures are visible; customer expectations match the executable plan.</w:t>
            </w:r>
          </w:p>
        </w:tc>
      </w:tr>
    </w:tbl>
    <w:p>
      <w:pPr>
        <w:spacing w:after="0"/>
      </w:pPr>
    </w:p>
    <w:p>
      <w:pPr>
        <w:pStyle w:val="SmallNote"/>
      </w:pPr>
      <w:r>
        <w:rPr>
          <w:b/>
        </w:rPr>
        <w:t xml:space="preserve">Service expectation: </w:t>
      </w:r>
      <w:r>
        <w:t>Handoff review before kickoff; no originating team exit until acceptance is recorded.</w:t>
      </w:r>
    </w:p>
    <w:p>
      <w:pPr>
        <w:pStyle w:val="Heading2"/>
      </w:pPr>
      <w:r>
        <w:t>4.8. Value realization and reuse</w:t>
      </w:r>
    </w:p>
    <w:p>
      <w:pPr>
        <w:shd w:fill="E8EEF5"/>
        <w:pBdr>
          <w:left w:val="single" w:sz="22" w:space="8" w:color="2E74B5"/>
        </w:pBdr>
        <w:spacing w:before="120" w:after="120"/>
        <w:keepLines/>
      </w:pPr>
      <w:r>
        <w:rPr>
          <w:b/>
          <w:color w:val="2E74B5"/>
        </w:rPr>
        <w:t xml:space="preserve">Connected alignment  </w:t>
      </w:r>
      <w:r>
        <w:t>Delivery / Account Growth  |  Primary accountable role: Delivery Lead + Account Lead + Practice</w:t>
      </w:r>
    </w:p>
    <w:p>
      <w:r>
        <w:rPr>
          <w:b/>
        </w:rPr>
        <w:t xml:space="preserve">Objective. </w:t>
      </w:r>
      <w:r>
        <w:t>Measure the promised outcome, capture learning, and turn delivery evidence into reusable growth assets.</w:t>
      </w:r>
    </w:p>
    <w:p>
      <w:pPr>
        <w:pStyle w:val="Heading3"/>
      </w:pPr>
      <w:r>
        <w:t>Required actions</w:t>
      </w:r>
    </w:p>
    <w:p>
      <w:pPr>
        <w:pStyle w:val="ListBullet"/>
      </w:pPr>
      <w:r>
        <w:t>Measure OMTM and acceptance results against the recorded baseline and target.</w:t>
      </w:r>
    </w:p>
    <w:p>
      <w:pPr>
        <w:pStyle w:val="ListBullet"/>
      </w:pPr>
      <w:r>
        <w:t>Track model/system quality, safety, reliability, cost, adoption, exceptions, incidents, drift, and change-control decisions.</w:t>
      </w:r>
    </w:p>
    <w:p>
      <w:pPr>
        <w:pStyle w:val="ListBullet"/>
      </w:pPr>
      <w:r>
        <w:t>Record quantified value, customer evidence, renewal/expansion signals, and unresolved value gaps.</w:t>
      </w:r>
    </w:p>
    <w:p>
      <w:pPr>
        <w:pStyle w:val="ListBullet"/>
      </w:pPr>
      <w:r>
        <w:t>Sanitize and catalog reusable patterns, estimates, controls, architecture decisions, prompts/components, lessons, and case-study candidates.</w:t>
      </w:r>
    </w:p>
    <w:p>
      <w:pPr>
        <w:pStyle w:val="ListBullet"/>
      </w:pPr>
      <w:r>
        <w:t>Feed portfolio insights into monthly and quarterly governance.</w:t>
      </w:r>
    </w:p>
    <w:p>
      <w:pPr>
        <w:pStyle w:val="Heading3"/>
      </w:pPr>
      <w:r>
        <w:t>Information to capture</w:t>
      </w:r>
    </w:p>
    <w:p>
      <w:pPr>
        <w:pStyle w:val="ListBullet"/>
      </w:pPr>
      <w:r>
        <w:t>Actual outcome, measurement period, value method, evidence link, customer confirmation, and realization status.</w:t>
      </w:r>
    </w:p>
    <w:p>
      <w:pPr>
        <w:pStyle w:val="ListBullet"/>
      </w:pPr>
      <w:r>
        <w:t>Operational metrics, incidents, corrective actions, model/version changes, and next review.</w:t>
      </w:r>
    </w:p>
    <w:p>
      <w:pPr>
        <w:pStyle w:val="ListBullet"/>
      </w:pPr>
      <w:r>
        <w:t>Reusable asset classification, owner, permissions, and next-best account action.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4CE"/>
          <w:left w:val="single" w:sz="4" w:space="0" w:color="B8C4CE"/>
          <w:bottom w:val="single" w:sz="4" w:space="0" w:color="B8C4CE"/>
          <w:right w:val="single" w:sz="4" w:space="0" w:color="B8C4CE"/>
          <w:insideH w:val="single" w:sz="4" w:space="0" w:color="B8C4CE"/>
          <w:insideV w:val="single" w:sz="4" w:space="0" w:color="B8C4CE"/>
        </w:tblBorders>
      </w:tblPr>
      <w:tblGrid>
        <w:gridCol w:w="3600"/>
        <w:gridCol w:w="5760"/>
      </w:tblGrid>
      <w:tr>
        <w:trPr>
          <w:tblHeader w:val="true"/>
          <w:cantSplit/>
        </w:trPr>
        <w:tc>
          <w:tcPr>
            <w:tcW w:type="dxa" w:w="36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Required output / evidence</w:t>
            </w:r>
          </w:p>
        </w:tc>
        <w:tc>
          <w:tcPr>
            <w:tcW w:type="dxa" w:w="576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Exit test</w:t>
            </w:r>
          </w:p>
        </w:tc>
      </w:tr>
      <w:tr>
        <w:trPr>
          <w:cantSplit/>
        </w:trPr>
        <w:tc>
          <w:tcPr>
            <w:tcW w:type="dxa" w:w="3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Outcome Record, reusable asset entry, and account growth action.</w:t>
            </w:r>
          </w:p>
        </w:tc>
        <w:tc>
          <w:tcPr>
            <w:tcW w:type="dxa" w:w="57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Value is measured or the measurement gap is explicitly owned; lessons are available for future pursuits.</w:t>
            </w:r>
          </w:p>
        </w:tc>
      </w:tr>
    </w:tbl>
    <w:p>
      <w:pPr>
        <w:spacing w:after="0"/>
      </w:pPr>
    </w:p>
    <w:p>
      <w:pPr>
        <w:pStyle w:val="SmallNote"/>
      </w:pPr>
      <w:r>
        <w:rPr>
          <w:b/>
        </w:rPr>
        <w:t xml:space="preserve">Service expectation: </w:t>
      </w:r>
      <w:r>
        <w:t>First outcome checkpoint within 30 days of go-live or the contractually agreed measurement period.</w:t>
      </w:r>
    </w:p>
    <w:p>
      <w:r>
        <w:br w:type="page"/>
      </w:r>
    </w:p>
    <w:p>
      <w:pPr>
        <w:pStyle w:val="Heading1"/>
        <w:pBdr>
          <w:bottom w:val="single" w:sz="8" w:space="6" w:color="2E74B5"/>
        </w:pBdr>
      </w:pPr>
      <w:r>
        <w:t>5. Engagement routing standard</w:t>
      </w:r>
    </w:p>
    <w:p>
      <w:r>
        <w:t>Routing clarifies accountability. It is separate from the delivery pattern—BUILD, GOVERN, or OPERATE—and should be revisited when scope or materiality changes.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4CE"/>
          <w:left w:val="single" w:sz="4" w:space="0" w:color="B8C4CE"/>
          <w:bottom w:val="single" w:sz="4" w:space="0" w:color="B8C4CE"/>
          <w:right w:val="single" w:sz="4" w:space="0" w:color="B8C4CE"/>
          <w:insideH w:val="single" w:sz="4" w:space="0" w:color="B8C4CE"/>
          <w:insideV w:val="single" w:sz="4" w:space="0" w:color="B8C4CE"/>
        </w:tblBorders>
      </w:tblPr>
      <w:tblGrid>
        <w:gridCol w:w="1100"/>
        <w:gridCol w:w="2200"/>
        <w:gridCol w:w="1900"/>
        <w:gridCol w:w="4160"/>
      </w:tblGrid>
      <w:tr>
        <w:trPr>
          <w:tblHeader w:val="true"/>
          <w:cantSplit/>
        </w:trPr>
        <w:tc>
          <w:tcPr>
            <w:tcW w:type="dxa" w:w="11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Route</w:t>
            </w:r>
          </w:p>
        </w:tc>
        <w:tc>
          <w:tcPr>
            <w:tcW w:type="dxa" w:w="22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Use when</w:t>
            </w:r>
          </w:p>
        </w:tc>
        <w:tc>
          <w:tcPr>
            <w:tcW w:type="dxa" w:w="19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Accountability</w:t>
            </w:r>
          </w:p>
        </w:tc>
        <w:tc>
          <w:tcPr>
            <w:tcW w:type="dxa" w:w="416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Minimum control</w:t>
            </w:r>
          </w:p>
        </w:tc>
      </w:tr>
      <w:tr>
        <w:trPr>
          <w:cantSplit/>
        </w:trPr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OWN</w:t>
            </w:r>
          </w:p>
        </w:tc>
        <w:tc>
          <w:tcPr>
            <w:tcW w:type="dxa" w:w="22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AI is the primary service or value proposition.</w:t>
            </w:r>
          </w:p>
        </w:tc>
        <w:tc>
          <w:tcPr>
            <w:tcW w:type="dxa" w:w="1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AI Shared Practice</w:t>
            </w:r>
          </w:p>
        </w:tc>
        <w:tc>
          <w:tcPr>
            <w:tcW w:type="dxa" w:w="41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Shared Practice owns solution strategy, evidence, governance, economics, and orchestration; other practices support.</w:t>
            </w:r>
          </w:p>
        </w:tc>
      </w:tr>
      <w:tr>
        <w:trPr>
          <w:cantSplit/>
        </w:trPr>
        <w:tc>
          <w:tcPr>
            <w:tcW w:type="dxa" w:w="11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CO-SOLUTION</w:t>
            </w:r>
          </w:p>
        </w:tc>
        <w:tc>
          <w:tcPr>
            <w:tcW w:type="dxa" w:w="22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AI is material, but another practice owns the broader solution.</w:t>
            </w:r>
          </w:p>
        </w:tc>
        <w:tc>
          <w:tcPr>
            <w:tcW w:type="dxa" w:w="19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Named joint owners; one overall accountable lead</w:t>
            </w:r>
          </w:p>
        </w:tc>
        <w:tc>
          <w:tcPr>
            <w:tcW w:type="dxa" w:w="41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Create one integrated solution plan, one commercial story, explicit workstream owners, and joint gate approvals.</w:t>
            </w:r>
          </w:p>
        </w:tc>
      </w:tr>
      <w:tr>
        <w:trPr>
          <w:cantSplit/>
        </w:trPr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CONSULT</w:t>
            </w:r>
          </w:p>
        </w:tc>
        <w:tc>
          <w:tcPr>
            <w:tcW w:type="dxa" w:w="22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AI contribution is bounded advisory or specialist input.</w:t>
            </w:r>
          </w:p>
        </w:tc>
        <w:tc>
          <w:tcPr>
            <w:tcW w:type="dxa" w:w="1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Primary practice</w:t>
            </w:r>
          </w:p>
        </w:tc>
        <w:tc>
          <w:tcPr>
            <w:tcW w:type="dxa" w:w="41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Record the requested advisory outcome, hours/deliverable, assumptions, and advice; primary practice owns the client commitment.</w:t>
            </w:r>
          </w:p>
        </w:tc>
      </w:tr>
      <w:tr>
        <w:trPr>
          <w:cantSplit/>
        </w:trPr>
        <w:tc>
          <w:tcPr>
            <w:tcW w:type="dxa" w:w="11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HANDOFF</w:t>
            </w:r>
          </w:p>
        </w:tc>
        <w:tc>
          <w:tcPr>
            <w:tcW w:type="dxa" w:w="22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AI is not material or another capability is the better fit.</w:t>
            </w:r>
          </w:p>
        </w:tc>
        <w:tc>
          <w:tcPr>
            <w:tcW w:type="dxa" w:w="19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Receiving practice</w:t>
            </w:r>
          </w:p>
        </w:tc>
        <w:tc>
          <w:tcPr>
            <w:tcW w:type="dxa" w:w="41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Document rationale and obtain receiving-owner acceptance before the AI Shared Practice exits.</w:t>
            </w:r>
          </w:p>
        </w:tc>
      </w:tr>
    </w:tbl>
    <w:p>
      <w:pPr>
        <w:spacing w:after="0"/>
      </w:pPr>
    </w:p>
    <w:p>
      <w:pPr>
        <w:pStyle w:val="Heading2"/>
      </w:pPr>
      <w:r>
        <w:t>Delivery-pattern classification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4CE"/>
          <w:left w:val="single" w:sz="4" w:space="0" w:color="B8C4CE"/>
          <w:bottom w:val="single" w:sz="4" w:space="0" w:color="B8C4CE"/>
          <w:right w:val="single" w:sz="4" w:space="0" w:color="B8C4CE"/>
          <w:insideH w:val="single" w:sz="4" w:space="0" w:color="B8C4CE"/>
          <w:insideV w:val="single" w:sz="4" w:space="0" w:color="B8C4CE"/>
        </w:tblBorders>
      </w:tblPr>
      <w:tblGrid>
        <w:gridCol w:w="1300"/>
        <w:gridCol w:w="3300"/>
        <w:gridCol w:w="4760"/>
      </w:tblGrid>
      <w:tr>
        <w:trPr>
          <w:tblHeader w:val="true"/>
          <w:cantSplit/>
        </w:trPr>
        <w:tc>
          <w:tcPr>
            <w:tcW w:type="dxa" w:w="13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Pattern</w:t>
            </w:r>
          </w:p>
        </w:tc>
        <w:tc>
          <w:tcPr>
            <w:tcW w:type="dxa" w:w="33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Typical purpose</w:t>
            </w:r>
          </w:p>
        </w:tc>
        <w:tc>
          <w:tcPr>
            <w:tcW w:type="dxa" w:w="476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Examples of evidence emphasis</w:t>
            </w:r>
          </w:p>
        </w:tc>
      </w:tr>
      <w:tr>
        <w:trPr>
          <w:cantSplit/>
        </w:trPr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BUILD</w:t>
            </w:r>
          </w:p>
        </w:tc>
        <w:tc>
          <w:tcPr>
            <w:tcW w:type="dxa" w:w="3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Create or integrate an AI-enabled product, workflow, agent, or accelerator.</w:t>
            </w:r>
          </w:p>
        </w:tc>
        <w:tc>
          <w:tcPr>
            <w:tcW w:type="dxa" w:w="47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Architecture, data, evaluation, human oversight, release/change control, operating cost.</w:t>
            </w:r>
          </w:p>
        </w:tc>
      </w:tr>
      <w:tr>
        <w:trPr>
          <w:cantSplit/>
        </w:trPr>
        <w:tc>
          <w:tcPr>
            <w:tcW w:type="dxa" w:w="13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GOVERN</w:t>
            </w:r>
          </w:p>
        </w:tc>
        <w:tc>
          <w:tcPr>
            <w:tcW w:type="dxa" w:w="33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Establish strategy, policy, portfolio governance, model risk, controls, or enablement.</w:t>
            </w:r>
          </w:p>
        </w:tc>
        <w:tc>
          <w:tcPr>
            <w:tcW w:type="dxa" w:w="47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Decision rights, policy/control mapping, inventory, risk tiers, compliance evidence, adoption.</w:t>
            </w:r>
          </w:p>
        </w:tc>
      </w:tr>
      <w:tr>
        <w:trPr>
          <w:cantSplit/>
        </w:trPr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OPERATE</w:t>
            </w:r>
          </w:p>
        </w:tc>
        <w:tc>
          <w:tcPr>
            <w:tcW w:type="dxa" w:w="3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Run, monitor, support, optimize, or continuously improve AI services.</w:t>
            </w:r>
          </w:p>
        </w:tc>
        <w:tc>
          <w:tcPr>
            <w:tcW w:type="dxa" w:w="47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SLO/SLA, observability, incidents, drift, cost, change control, support model, continuity.</w:t>
            </w:r>
          </w:p>
        </w:tc>
      </w:tr>
    </w:tbl>
    <w:p>
      <w:pPr>
        <w:spacing w:after="0"/>
      </w:pPr>
    </w:p>
    <w:p>
      <w:pPr>
        <w:shd w:fill="E8EEF5"/>
        <w:pBdr>
          <w:left w:val="single" w:sz="22" w:space="8" w:color="2E74B5"/>
        </w:pBdr>
        <w:spacing w:before="120" w:after="120"/>
        <w:keepLines/>
      </w:pPr>
      <w:r>
        <w:rPr>
          <w:b/>
          <w:color w:val="2E74B5"/>
        </w:rPr>
        <w:t xml:space="preserve">Re-route trigger  </w:t>
      </w:r>
      <w:r>
        <w:t>Reassess the route when AI materiality, scope, risk, commercial value, partner role, or accountable delivery practice changes.</w:t>
      </w:r>
    </w:p>
    <w:p>
      <w:r>
        <w:br w:type="page"/>
      </w:r>
    </w:p>
    <w:p>
      <w:pPr>
        <w:pStyle w:val="Heading1"/>
        <w:pBdr>
          <w:bottom w:val="single" w:sz="8" w:space="6" w:color="2E74B5"/>
        </w:pBdr>
      </w:pPr>
      <w:r>
        <w:t>6. Deal capture standard</w:t>
      </w:r>
    </w:p>
    <w:p>
      <w:r>
        <w:t>Deal information is captured progressively. The Minimum Deal Brief supports routing; the Full Deal Record supports proposal readiness and delivery transition. Avoid copying unnecessary customer-sensitive content into unapproved tools.</w:t>
      </w:r>
    </w:p>
    <w:p>
      <w:pPr>
        <w:pStyle w:val="Heading2"/>
      </w:pPr>
      <w:r>
        <w:t>6.1 Minimum Deal Brief — required for triage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4CE"/>
          <w:left w:val="single" w:sz="4" w:space="0" w:color="B8C4CE"/>
          <w:bottom w:val="single" w:sz="4" w:space="0" w:color="B8C4CE"/>
          <w:right w:val="single" w:sz="4" w:space="0" w:color="B8C4CE"/>
          <w:insideH w:val="single" w:sz="4" w:space="0" w:color="B8C4CE"/>
          <w:insideV w:val="single" w:sz="4" w:space="0" w:color="B8C4CE"/>
        </w:tblBorders>
      </w:tblPr>
      <w:tblGrid>
        <w:gridCol w:w="2200"/>
        <w:gridCol w:w="7160"/>
      </w:tblGrid>
      <w:tr>
        <w:trPr>
          <w:tblHeader w:val="true"/>
          <w:cantSplit/>
        </w:trPr>
        <w:tc>
          <w:tcPr>
            <w:tcW w:type="dxa" w:w="22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Field group</w:t>
            </w:r>
          </w:p>
        </w:tc>
        <w:tc>
          <w:tcPr>
            <w:tcW w:type="dxa" w:w="716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Minimum content</w:t>
            </w:r>
          </w:p>
        </w:tc>
      </w:tr>
      <w:tr>
        <w:trPr>
          <w:cantSplit/>
        </w:trPr>
        <w:tc>
          <w:tcPr>
            <w:tcW w:type="dxa" w:w="22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Opportunity identity</w:t>
            </w:r>
          </w:p>
        </w:tc>
        <w:tc>
          <w:tcPr>
            <w:tcW w:type="dxa" w:w="71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Account/client; opportunity name and ID/link; region/vertical; request date; source; Sales owner; requestor.</w:t>
            </w:r>
          </w:p>
        </w:tc>
      </w:tr>
      <w:tr>
        <w:trPr>
          <w:cantSplit/>
        </w:trPr>
        <w:tc>
          <w:tcPr>
            <w:tcW w:type="dxa" w:w="22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Customer context</w:t>
            </w:r>
          </w:p>
        </w:tc>
        <w:tc>
          <w:tcPr>
            <w:tcW w:type="dxa" w:w="71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Sponsor/contact; business problem; affected process/users; urgency; current-state pain; next customer event.</w:t>
            </w:r>
          </w:p>
        </w:tc>
      </w:tr>
      <w:tr>
        <w:trPr>
          <w:cantSplit/>
        </w:trPr>
        <w:tc>
          <w:tcPr>
            <w:tcW w:type="dxa" w:w="22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Value</w:t>
            </w:r>
          </w:p>
        </w:tc>
        <w:tc>
          <w:tcPr>
            <w:tcW w:type="dxa" w:w="71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Desired outcome; OMTM hypothesis; known baseline/target; decision or workflow to improve.</w:t>
            </w:r>
          </w:p>
        </w:tc>
      </w:tr>
      <w:tr>
        <w:trPr>
          <w:cantSplit/>
        </w:trPr>
        <w:tc>
          <w:tcPr>
            <w:tcW w:type="dxa" w:w="22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AI ask</w:t>
            </w:r>
          </w:p>
        </w:tc>
        <w:tc>
          <w:tcPr>
            <w:tcW w:type="dxa" w:w="71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Use case; BUILD/GOVERN/OPERATE hypothesis; known model/provider/platform; desired Shared Practice support.</w:t>
            </w:r>
          </w:p>
        </w:tc>
      </w:tr>
      <w:tr>
        <w:trPr>
          <w:cantSplit/>
        </w:trPr>
        <w:tc>
          <w:tcPr>
            <w:tcW w:type="dxa" w:w="22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Timing &amp; commercial</w:t>
            </w:r>
          </w:p>
        </w:tc>
        <w:tc>
          <w:tcPr>
            <w:tcW w:type="dxa" w:w="71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Stage; target decision/start; budget/funding path; rough value range; procurement or RFx timing.</w:t>
            </w:r>
          </w:p>
        </w:tc>
      </w:tr>
      <w:tr>
        <w:trPr>
          <w:cantSplit/>
        </w:trPr>
        <w:tc>
          <w:tcPr>
            <w:tcW w:type="dxa" w:w="22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Risk flags</w:t>
            </w:r>
          </w:p>
        </w:tc>
        <w:tc>
          <w:tcPr>
            <w:tcW w:type="dxa" w:w="71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Sensitive/regulatory data; production action/autonomy; customer-facing output; IP/content; partner/vendor dependency.</w:t>
            </w:r>
          </w:p>
        </w:tc>
      </w:tr>
      <w:tr>
        <w:trPr>
          <w:cantSplit/>
        </w:trPr>
        <w:tc>
          <w:tcPr>
            <w:tcW w:type="dxa" w:w="22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Attachments</w:t>
            </w:r>
          </w:p>
        </w:tc>
        <w:tc>
          <w:tcPr>
            <w:tcW w:type="dxa" w:w="71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Discovery notes, RFx, customer materials, account plan, partner registration, diagrams, or prior solution links.</w:t>
            </w:r>
          </w:p>
        </w:tc>
      </w:tr>
    </w:tbl>
    <w:p>
      <w:pPr>
        <w:spacing w:after="0"/>
      </w:pPr>
    </w:p>
    <w:p>
      <w:pPr>
        <w:pStyle w:val="Heading2"/>
      </w:pPr>
      <w:r>
        <w:t>6.2 Full Deal Record — required by proposal readiness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4CE"/>
          <w:left w:val="single" w:sz="4" w:space="0" w:color="B8C4CE"/>
          <w:bottom w:val="single" w:sz="4" w:space="0" w:color="B8C4CE"/>
          <w:right w:val="single" w:sz="4" w:space="0" w:color="B8C4CE"/>
          <w:insideH w:val="single" w:sz="4" w:space="0" w:color="B8C4CE"/>
          <w:insideV w:val="single" w:sz="4" w:space="0" w:color="B8C4CE"/>
        </w:tblBorders>
      </w:tblPr>
      <w:tblGrid>
        <w:gridCol w:w="2200"/>
        <w:gridCol w:w="7160"/>
      </w:tblGrid>
      <w:tr>
        <w:trPr>
          <w:tblHeader w:val="true"/>
          <w:cantSplit/>
        </w:trPr>
        <w:tc>
          <w:tcPr>
            <w:tcW w:type="dxa" w:w="22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Domain</w:t>
            </w:r>
          </w:p>
        </w:tc>
        <w:tc>
          <w:tcPr>
            <w:tcW w:type="dxa" w:w="716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Required information</w:t>
            </w:r>
          </w:p>
        </w:tc>
      </w:tr>
      <w:tr>
        <w:trPr>
          <w:cantSplit/>
        </w:trPr>
        <w:tc>
          <w:tcPr>
            <w:tcW w:type="dxa" w:w="22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Customer &amp; value</w:t>
            </w:r>
          </w:p>
        </w:tc>
        <w:tc>
          <w:tcPr>
            <w:tcW w:type="dxa" w:w="71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Value Driver, value message, desired outcome, OMTM, baseline, target, measurement method/owner, strategic fit, adoption dependency.</w:t>
            </w:r>
          </w:p>
        </w:tc>
      </w:tr>
      <w:tr>
        <w:trPr>
          <w:cantSplit/>
        </w:trPr>
        <w:tc>
          <w:tcPr>
            <w:tcW w:type="dxa" w:w="22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Buying process</w:t>
            </w:r>
          </w:p>
        </w:tc>
        <w:tc>
          <w:tcPr>
            <w:tcW w:type="dxa" w:w="71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Sponsor, champion, stakeholders, decision criteria/process, competition, budget, procurement, legal, RFx, dates, next event.</w:t>
            </w:r>
          </w:p>
        </w:tc>
      </w:tr>
      <w:tr>
        <w:trPr>
          <w:cantSplit/>
        </w:trPr>
        <w:tc>
          <w:tcPr>
            <w:tcW w:type="dxa" w:w="22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Use case &amp; workflow</w:t>
            </w:r>
          </w:p>
        </w:tc>
        <w:tc>
          <w:tcPr>
            <w:tcW w:type="dxa" w:w="71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Users, current/future workflow, decisions/actions, volumes, languages/channels, failure consequences, human intervention.</w:t>
            </w:r>
          </w:p>
        </w:tc>
      </w:tr>
      <w:tr>
        <w:trPr>
          <w:cantSplit/>
        </w:trPr>
        <w:tc>
          <w:tcPr>
            <w:tcW w:type="dxa" w:w="22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AI / model</w:t>
            </w:r>
          </w:p>
        </w:tc>
        <w:tc>
          <w:tcPr>
            <w:tcW w:type="dxa" w:w="71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Capability, provider/model/version, build/buy/partner, hosting, autonomy, prompts/context, tools/actions, grounding/RAG, guardrails, fallback.</w:t>
            </w:r>
          </w:p>
        </w:tc>
      </w:tr>
      <w:tr>
        <w:trPr>
          <w:cantSplit/>
        </w:trPr>
        <w:tc>
          <w:tcPr>
            <w:tcW w:type="dxa" w:w="22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Data</w:t>
            </w:r>
          </w:p>
        </w:tc>
        <w:tc>
          <w:tcPr>
            <w:tcW w:type="dxa" w:w="71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Sources/owners, classifications, PII/PHI/PCI/IP, consent/purpose, residency, transfer, retention/deletion, masking, access, lineage, quality.</w:t>
            </w:r>
          </w:p>
        </w:tc>
      </w:tr>
      <w:tr>
        <w:trPr>
          <w:cantSplit/>
        </w:trPr>
        <w:tc>
          <w:tcPr>
            <w:tcW w:type="dxa" w:w="22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Security &amp; responsible AI</w:t>
            </w:r>
          </w:p>
        </w:tc>
        <w:tc>
          <w:tcPr>
            <w:tcW w:type="dxa" w:w="71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Threats, prompt injection/jailbreak, leakage, bias/fairness, harmful output, explainability, human oversight, logging, incident response, kill switch.</w:t>
            </w:r>
          </w:p>
        </w:tc>
      </w:tr>
      <w:tr>
        <w:trPr>
          <w:cantSplit/>
        </w:trPr>
        <w:tc>
          <w:tcPr>
            <w:tcW w:type="dxa" w:w="22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Architecture &amp; operations</w:t>
            </w:r>
          </w:p>
        </w:tc>
        <w:tc>
          <w:tcPr>
            <w:tcW w:type="dxa" w:w="71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System/data flow, environments, integrations, IAM, observability, SLOs, rate limits, latency, capacity, continuity, change/model-version control.</w:t>
            </w:r>
          </w:p>
        </w:tc>
      </w:tr>
      <w:tr>
        <w:trPr>
          <w:cantSplit/>
        </w:trPr>
        <w:tc>
          <w:tcPr>
            <w:tcW w:type="dxa" w:w="22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Evaluation &amp; acceptance</w:t>
            </w:r>
          </w:p>
        </w:tc>
        <w:tc>
          <w:tcPr>
            <w:tcW w:type="dxa" w:w="71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Representative eval set, offline/online measures, thresholds, safety tests, client acceptance, warranty, performance monitoring, drift/re-test triggers.</w:t>
            </w:r>
          </w:p>
        </w:tc>
      </w:tr>
      <w:tr>
        <w:trPr>
          <w:cantSplit/>
        </w:trPr>
        <w:tc>
          <w:tcPr>
            <w:tcW w:type="dxa" w:w="22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Commercial</w:t>
            </w:r>
          </w:p>
        </w:tc>
        <w:tc>
          <w:tcPr>
            <w:tcW w:type="dxa" w:w="71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Scope/exclusions, assumptions, estimate, Price Sheet, revenue, GP, fees, usage/token/cloud costs, partner costs/funding, travel/tools, credits/penalties.</w:t>
            </w:r>
          </w:p>
        </w:tc>
      </w:tr>
      <w:tr>
        <w:trPr>
          <w:cantSplit/>
        </w:trPr>
        <w:tc>
          <w:tcPr>
            <w:tcW w:type="dxa" w:w="22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Delivery &amp; transition</w:t>
            </w:r>
          </w:p>
        </w:tc>
        <w:tc>
          <w:tcPr>
            <w:tcW w:type="dxa" w:w="71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Service model, milestones, team/RACI, skills/certs, locations, hours/on-call, onboarding, dependencies, governance, reporting, escalation, acceptance.</w:t>
            </w:r>
          </w:p>
        </w:tc>
      </w:tr>
      <w:tr>
        <w:trPr>
          <w:cantSplit/>
        </w:trPr>
        <w:tc>
          <w:tcPr>
            <w:tcW w:type="dxa" w:w="22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Decisions &amp; approvals</w:t>
            </w:r>
          </w:p>
        </w:tc>
        <w:tc>
          <w:tcPr>
            <w:tcW w:type="dxa" w:w="71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Decision, alternatives, rationale, owner, approver, date, evidence, expiry/revisit trigger, exception and containment.</w:t>
            </w:r>
          </w:p>
        </w:tc>
      </w:tr>
      <w:tr>
        <w:trPr>
          <w:cantSplit/>
        </w:trPr>
        <w:tc>
          <w:tcPr>
            <w:tcW w:type="dxa" w:w="22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Outcome &amp; reuse</w:t>
            </w:r>
          </w:p>
        </w:tc>
        <w:tc>
          <w:tcPr>
            <w:tcW w:type="dxa" w:w="71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Measured result, realization status, customer evidence, lessons, reusable asset, permissions, renewal/expansion action.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pBdr>
          <w:bottom w:val="single" w:sz="8" w:space="6" w:color="2E74B5"/>
        </w:pBdr>
      </w:pPr>
      <w:r>
        <w:t>7. AI Risk &amp; Evidence Overlay</w:t>
      </w:r>
    </w:p>
    <w:p>
      <w:r>
        <w:t>This overlay supplements—not replaces—the existing TGS Solutioning Checklist. It is mandatory when AI is material to the proposed solution or customer outcome.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4CE"/>
          <w:left w:val="single" w:sz="4" w:space="0" w:color="B8C4CE"/>
          <w:bottom w:val="single" w:sz="4" w:space="0" w:color="B8C4CE"/>
          <w:right w:val="single" w:sz="4" w:space="0" w:color="B8C4CE"/>
          <w:insideH w:val="single" w:sz="4" w:space="0" w:color="B8C4CE"/>
          <w:insideV w:val="single" w:sz="4" w:space="0" w:color="B8C4CE"/>
        </w:tblBorders>
      </w:tblPr>
      <w:tblGrid>
        <w:gridCol w:w="1450"/>
        <w:gridCol w:w="4300"/>
        <w:gridCol w:w="3610"/>
      </w:tblGrid>
      <w:tr>
        <w:trPr>
          <w:tblHeader w:val="true"/>
          <w:cantSplit/>
        </w:trPr>
        <w:tc>
          <w:tcPr>
            <w:tcW w:type="dxa" w:w="145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Domain</w:t>
            </w:r>
          </w:p>
        </w:tc>
        <w:tc>
          <w:tcPr>
            <w:tcW w:type="dxa" w:w="43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Questions to answer</w:t>
            </w:r>
          </w:p>
        </w:tc>
        <w:tc>
          <w:tcPr>
            <w:tcW w:type="dxa" w:w="361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Evidence required</w:t>
            </w:r>
          </w:p>
        </w:tc>
      </w:tr>
      <w:tr>
        <w:trPr>
          <w:cantSplit/>
        </w:trPr>
        <w:tc>
          <w:tcPr>
            <w:tcW w:type="dxa" w:w="1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Use &amp; impact</w:t>
            </w:r>
          </w:p>
        </w:tc>
        <w:tc>
          <w:tcPr>
            <w:tcW w:type="dxa" w:w="4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What decision, content, action, or workflow is affected? Who is impacted? What happens when the system is wrong?</w:t>
            </w:r>
          </w:p>
        </w:tc>
        <w:tc>
          <w:tcPr>
            <w:tcW w:type="dxa" w:w="361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Bounded use-case statement; prohibited uses; impact owner.</w:t>
            </w:r>
          </w:p>
        </w:tc>
      </w:tr>
      <w:tr>
        <w:trPr>
          <w:cantSplit/>
        </w:trPr>
        <w:tc>
          <w:tcPr>
            <w:tcW w:type="dxa" w:w="145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Autonomy &amp; oversight</w:t>
            </w:r>
          </w:p>
        </w:tc>
        <w:tc>
          <w:tcPr>
            <w:tcW w:type="dxa" w:w="43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Can the system take action? What requires review? Who can stop or override it?</w:t>
            </w:r>
          </w:p>
        </w:tc>
        <w:tc>
          <w:tcPr>
            <w:tcW w:type="dxa" w:w="361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Human-in-the-loop design; permissions; fallback; kill switch.</w:t>
            </w:r>
          </w:p>
        </w:tc>
      </w:tr>
      <w:tr>
        <w:trPr>
          <w:cantSplit/>
        </w:trPr>
        <w:tc>
          <w:tcPr>
            <w:tcW w:type="dxa" w:w="1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Data &amp; privacy</w:t>
            </w:r>
          </w:p>
        </w:tc>
        <w:tc>
          <w:tcPr>
            <w:tcW w:type="dxa" w:w="4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What data is used, where does it move, why is it allowed, and how long is it retained?</w:t>
            </w:r>
          </w:p>
        </w:tc>
        <w:tc>
          <w:tcPr>
            <w:tcW w:type="dxa" w:w="361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Data inventory/flow; classification; approval; retention/deletion controls.</w:t>
            </w:r>
          </w:p>
        </w:tc>
      </w:tr>
      <w:tr>
        <w:trPr>
          <w:cantSplit/>
        </w:trPr>
        <w:tc>
          <w:tcPr>
            <w:tcW w:type="dxa" w:w="145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Security</w:t>
            </w:r>
          </w:p>
        </w:tc>
        <w:tc>
          <w:tcPr>
            <w:tcW w:type="dxa" w:w="43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How are prompt injection, jailbreaks, data leakage, tool abuse, identity, secrets, and supply-chain risks controlled?</w:t>
            </w:r>
          </w:p>
        </w:tc>
        <w:tc>
          <w:tcPr>
            <w:tcW w:type="dxa" w:w="361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Threat model; controls; test evidence; incident response.</w:t>
            </w:r>
          </w:p>
        </w:tc>
      </w:tr>
      <w:tr>
        <w:trPr>
          <w:cantSplit/>
        </w:trPr>
        <w:tc>
          <w:tcPr>
            <w:tcW w:type="dxa" w:w="1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IP &amp; content</w:t>
            </w:r>
          </w:p>
        </w:tc>
        <w:tc>
          <w:tcPr>
            <w:tcW w:type="dxa" w:w="4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What rights govern inputs, outputs, training/grounding content, open source, partner assets, and generated content?</w:t>
            </w:r>
          </w:p>
        </w:tc>
        <w:tc>
          <w:tcPr>
            <w:tcW w:type="dxa" w:w="361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Rights/terms review; attribution/license controls; client disclosure.</w:t>
            </w:r>
          </w:p>
        </w:tc>
      </w:tr>
      <w:tr>
        <w:trPr>
          <w:cantSplit/>
        </w:trPr>
        <w:tc>
          <w:tcPr>
            <w:tcW w:type="dxa" w:w="145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Quality &amp; safety</w:t>
            </w:r>
          </w:p>
        </w:tc>
        <w:tc>
          <w:tcPr>
            <w:tcW w:type="dxa" w:w="43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How are accuracy, groundedness, harmful output, bias/fairness, robustness, and edge cases measured?</w:t>
            </w:r>
          </w:p>
        </w:tc>
        <w:tc>
          <w:tcPr>
            <w:tcW w:type="dxa" w:w="361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Representative evaluation set; thresholds; results; accepted residual risk.</w:t>
            </w:r>
          </w:p>
        </w:tc>
      </w:tr>
      <w:tr>
        <w:trPr>
          <w:cantSplit/>
        </w:trPr>
        <w:tc>
          <w:tcPr>
            <w:tcW w:type="dxa" w:w="1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Operations</w:t>
            </w:r>
          </w:p>
        </w:tc>
        <w:tc>
          <w:tcPr>
            <w:tcW w:type="dxa" w:w="4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How are versions, drift, cost, latency, reliability, logs, incidents, and changes monitored?</w:t>
            </w:r>
          </w:p>
        </w:tc>
        <w:tc>
          <w:tcPr>
            <w:tcW w:type="dxa" w:w="361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SLOs; dashboards; version/change record; re-test triggers; runbook.</w:t>
            </w:r>
          </w:p>
        </w:tc>
      </w:tr>
      <w:tr>
        <w:trPr>
          <w:cantSplit/>
        </w:trPr>
        <w:tc>
          <w:tcPr>
            <w:tcW w:type="dxa" w:w="145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Commercial &amp; vendor</w:t>
            </w:r>
          </w:p>
        </w:tc>
        <w:tc>
          <w:tcPr>
            <w:tcW w:type="dxa" w:w="43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What usage costs, quotas, lock-in, terms, partner roles, and failure dependencies exist?</w:t>
            </w:r>
          </w:p>
        </w:tc>
        <w:tc>
          <w:tcPr>
            <w:tcW w:type="dxa" w:w="361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Cost model; rate-limit plan; vendor/partner approvals; contingency.</w:t>
            </w:r>
          </w:p>
        </w:tc>
      </w:tr>
    </w:tbl>
    <w:p>
      <w:pPr>
        <w:spacing w:after="0"/>
      </w:pPr>
    </w:p>
    <w:p>
      <w:pPr>
        <w:pStyle w:val="Heading2"/>
      </w:pPr>
      <w:r>
        <w:t>Risk-tier trigger</w:t>
      </w:r>
    </w:p>
    <w:p>
      <w:pPr>
        <w:shd w:fill="FFF2CC"/>
        <w:pBdr>
          <w:left w:val="single" w:sz="22" w:space="8" w:color="BF6900"/>
        </w:pBdr>
        <w:spacing w:before="120" w:after="120"/>
        <w:keepLines/>
      </w:pPr>
      <w:r>
        <w:rPr>
          <w:b/>
          <w:color w:val="BF6900"/>
        </w:rPr>
        <w:t xml:space="preserve">Escalate early  </w:t>
      </w:r>
      <w:r>
        <w:t>Treat the opportunity as elevated-risk when it uses regulated/sensitive data, makes or materially influences consequential decisions, autonomously acts in production, creates public/customer-facing content at scale, or relies on nonstandard vendors/terms. The appropriate Legal, Privacy, Security, Risk, Compliance, or client control owner must approve before proposal.</w:t>
      </w:r>
    </w:p>
    <w:p>
      <w:r>
        <w:br w:type="page"/>
      </w:r>
    </w:p>
    <w:p>
      <w:pPr>
        <w:pStyle w:val="Heading1"/>
        <w:pBdr>
          <w:bottom w:val="single" w:sz="8" w:space="6" w:color="2E74B5"/>
        </w:pBdr>
      </w:pPr>
      <w:r>
        <w:t>8. Evidence and artifact pack</w:t>
      </w:r>
    </w:p>
    <w:p>
      <w:r>
        <w:t>Artifacts are linked from the authoritative opportunity record. The current version, accountable owner, approval status, and next review date should be visible without searching across chat threads.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4CE"/>
          <w:left w:val="single" w:sz="4" w:space="0" w:color="B8C4CE"/>
          <w:bottom w:val="single" w:sz="4" w:space="0" w:color="B8C4CE"/>
          <w:right w:val="single" w:sz="4" w:space="0" w:color="B8C4CE"/>
          <w:insideH w:val="single" w:sz="4" w:space="0" w:color="B8C4CE"/>
          <w:insideV w:val="single" w:sz="4" w:space="0" w:color="B8C4CE"/>
        </w:tblBorders>
      </w:tblPr>
      <w:tblGrid>
        <w:gridCol w:w="1900"/>
        <w:gridCol w:w="1700"/>
        <w:gridCol w:w="1650"/>
        <w:gridCol w:w="4110"/>
      </w:tblGrid>
      <w:tr>
        <w:trPr>
          <w:tblHeader w:val="true"/>
          <w:cantSplit/>
        </w:trPr>
        <w:tc>
          <w:tcPr>
            <w:tcW w:type="dxa" w:w="19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5"/>
              </w:rPr>
              <w:t>Artifact</w:t>
            </w:r>
          </w:p>
        </w:tc>
        <w:tc>
          <w:tcPr>
            <w:tcW w:type="dxa" w:w="17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5"/>
              </w:rPr>
              <w:t>Required by</w:t>
            </w:r>
          </w:p>
        </w:tc>
        <w:tc>
          <w:tcPr>
            <w:tcW w:type="dxa" w:w="165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5"/>
              </w:rPr>
              <w:t>Owner</w:t>
            </w:r>
          </w:p>
        </w:tc>
        <w:tc>
          <w:tcPr>
            <w:tcW w:type="dxa" w:w="411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5"/>
              </w:rPr>
              <w:t>Purpose</w:t>
            </w:r>
          </w:p>
        </w:tc>
      </w:tr>
      <w:tr>
        <w:trPr>
          <w:cantSplit/>
        </w:trPr>
        <w:tc>
          <w:tcPr>
            <w:tcW w:type="dxa" w:w="1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Value Framework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Qualifying; current through close</w:t>
            </w:r>
          </w:p>
        </w:tc>
        <w:tc>
          <w:tcPr>
            <w:tcW w:type="dxa" w:w="16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Sales + SE</w:t>
            </w:r>
          </w:p>
        </w:tc>
        <w:tc>
          <w:tcPr>
            <w:tcW w:type="dxa" w:w="411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Business problem, value message, desired outcomes, OMTM, enablement milestones, realization plan.</w:t>
            </w:r>
          </w:p>
        </w:tc>
      </w:tr>
      <w:tr>
        <w:trPr>
          <w:cantSplit/>
        </w:trPr>
        <w:tc>
          <w:tcPr>
            <w:tcW w:type="dxa" w:w="19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AI Use Case Canvas / Deal Brief</w:t>
            </w:r>
          </w:p>
        </w:tc>
        <w:tc>
          <w:tcPr>
            <w:tcW w:type="dxa" w:w="17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Intake / Qualifying</w:t>
            </w:r>
          </w:p>
        </w:tc>
        <w:tc>
          <w:tcPr>
            <w:tcW w:type="dxa" w:w="165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Sales + SE</w:t>
            </w:r>
          </w:p>
        </w:tc>
        <w:tc>
          <w:tcPr>
            <w:tcW w:type="dxa" w:w="411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Bounded use case, users, workflow, impact, timing, ask, initial risks.</w:t>
            </w:r>
          </w:p>
        </w:tc>
      </w:tr>
      <w:tr>
        <w:trPr>
          <w:cantSplit/>
        </w:trPr>
        <w:tc>
          <w:tcPr>
            <w:tcW w:type="dxa" w:w="1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Solutioning Checklist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Live from Qualifying; snapshots at Proposing and Won</w:t>
            </w:r>
          </w:p>
        </w:tc>
        <w:tc>
          <w:tcPr>
            <w:tcW w:type="dxa" w:w="16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SE</w:t>
            </w:r>
          </w:p>
        </w:tc>
        <w:tc>
          <w:tcPr>
            <w:tcW w:type="dxa" w:w="411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Existing contractual, compliance, solution, tools, physical, IAM, data, delivery, cost, acceptance, and partner controls.</w:t>
            </w:r>
          </w:p>
        </w:tc>
      </w:tr>
      <w:tr>
        <w:trPr>
          <w:cantSplit/>
        </w:trPr>
        <w:tc>
          <w:tcPr>
            <w:tcW w:type="dxa" w:w="19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Architecture &amp; Data Flow</w:t>
            </w:r>
          </w:p>
        </w:tc>
        <w:tc>
          <w:tcPr>
            <w:tcW w:type="dxa" w:w="17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Solutioning</w:t>
            </w:r>
          </w:p>
        </w:tc>
        <w:tc>
          <w:tcPr>
            <w:tcW w:type="dxa" w:w="165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AI Architect</w:t>
            </w:r>
          </w:p>
        </w:tc>
        <w:tc>
          <w:tcPr>
            <w:tcW w:type="dxa" w:w="411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Components, providers, environments, data flows, integrations, trust boundaries, access, observability.</w:t>
            </w:r>
          </w:p>
        </w:tc>
      </w:tr>
      <w:tr>
        <w:trPr>
          <w:cantSplit/>
        </w:trPr>
        <w:tc>
          <w:tcPr>
            <w:tcW w:type="dxa" w:w="1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AI Risk &amp; Evidence Overlay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Solutioning; approved by proposal gate</w:t>
            </w:r>
          </w:p>
        </w:tc>
        <w:tc>
          <w:tcPr>
            <w:tcW w:type="dxa" w:w="16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SE + control owners</w:t>
            </w:r>
          </w:p>
        </w:tc>
        <w:tc>
          <w:tcPr>
            <w:tcW w:type="dxa" w:w="411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Risk questions, evidence, approvals, accepted residual exposure.</w:t>
            </w:r>
          </w:p>
        </w:tc>
      </w:tr>
      <w:tr>
        <w:trPr>
          <w:cantSplit/>
        </w:trPr>
        <w:tc>
          <w:tcPr>
            <w:tcW w:type="dxa" w:w="19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Evaluation &amp; Acceptance Plan</w:t>
            </w:r>
          </w:p>
        </w:tc>
        <w:tc>
          <w:tcPr>
            <w:tcW w:type="dxa" w:w="17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Solutioning</w:t>
            </w:r>
          </w:p>
        </w:tc>
        <w:tc>
          <w:tcPr>
            <w:tcW w:type="dxa" w:w="165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AI Architect + Delivery + client owner</w:t>
            </w:r>
          </w:p>
        </w:tc>
        <w:tc>
          <w:tcPr>
            <w:tcW w:type="dxa" w:w="411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Test set, metrics, thresholds, safety tests, acceptance and re-test method.</w:t>
            </w:r>
          </w:p>
        </w:tc>
      </w:tr>
      <w:tr>
        <w:trPr>
          <w:cantSplit/>
        </w:trPr>
        <w:tc>
          <w:tcPr>
            <w:tcW w:type="dxa" w:w="1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Estimate, Price Sheet &amp; Commercial Assumptions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Solutioning; reconciled at Proposing</w:t>
            </w:r>
          </w:p>
        </w:tc>
        <w:tc>
          <w:tcPr>
            <w:tcW w:type="dxa" w:w="16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SE + Practice / Delivery</w:t>
            </w:r>
          </w:p>
        </w:tc>
        <w:tc>
          <w:tcPr>
            <w:tcW w:type="dxa" w:w="411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Effort, staffing, usage/cloud/vendor cost, revenue, GP, funding, exclusions, contingencies.</w:t>
            </w:r>
          </w:p>
        </w:tc>
      </w:tr>
      <w:tr>
        <w:trPr>
          <w:cantSplit/>
        </w:trPr>
        <w:tc>
          <w:tcPr>
            <w:tcW w:type="dxa" w:w="19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Proposal / SOW &amp; Change Log</w:t>
            </w:r>
          </w:p>
        </w:tc>
        <w:tc>
          <w:tcPr>
            <w:tcW w:type="dxa" w:w="17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Proposing / Negotiating</w:t>
            </w:r>
          </w:p>
        </w:tc>
        <w:tc>
          <w:tcPr>
            <w:tcW w:type="dxa" w:w="165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SE + Proposal / Sales</w:t>
            </w:r>
          </w:p>
        </w:tc>
        <w:tc>
          <w:tcPr>
            <w:tcW w:type="dxa" w:w="411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Versioned client commitment and controlled material changes.</w:t>
            </w:r>
          </w:p>
        </w:tc>
      </w:tr>
      <w:tr>
        <w:trPr>
          <w:cantSplit/>
        </w:trPr>
        <w:tc>
          <w:tcPr>
            <w:tcW w:type="dxa" w:w="1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Decision &amp; Approval Log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All stages</w:t>
            </w:r>
          </w:p>
        </w:tc>
        <w:tc>
          <w:tcPr>
            <w:tcW w:type="dxa" w:w="16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SE</w:t>
            </w:r>
          </w:p>
        </w:tc>
        <w:tc>
          <w:tcPr>
            <w:tcW w:type="dxa" w:w="411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Decision, rationale, alternatives, evidence, owner, approver, date, revisit trigger.</w:t>
            </w:r>
          </w:p>
        </w:tc>
      </w:tr>
      <w:tr>
        <w:trPr>
          <w:cantSplit/>
        </w:trPr>
        <w:tc>
          <w:tcPr>
            <w:tcW w:type="dxa" w:w="19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Delivery Handoff Pack</w:t>
            </w:r>
          </w:p>
        </w:tc>
        <w:tc>
          <w:tcPr>
            <w:tcW w:type="dxa" w:w="17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Won</w:t>
            </w:r>
          </w:p>
        </w:tc>
        <w:tc>
          <w:tcPr>
            <w:tcW w:type="dxa" w:w="165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SE + Delivery Lead</w:t>
            </w:r>
          </w:p>
        </w:tc>
        <w:tc>
          <w:tcPr>
            <w:tcW w:type="dxa" w:w="411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Final commitments, artifacts, risks, prerequisites, governance, baseline, accepted owner.</w:t>
            </w:r>
          </w:p>
        </w:tc>
      </w:tr>
      <w:tr>
        <w:trPr>
          <w:cantSplit/>
        </w:trPr>
        <w:tc>
          <w:tcPr>
            <w:tcW w:type="dxa" w:w="1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Outcome &amp; Reuse Record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Delivery / growth</w:t>
            </w:r>
          </w:p>
        </w:tc>
        <w:tc>
          <w:tcPr>
            <w:tcW w:type="dxa" w:w="16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Delivery + Practice + Account</w:t>
            </w:r>
          </w:p>
        </w:tc>
        <w:tc>
          <w:tcPr>
            <w:tcW w:type="dxa" w:w="411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Measured result, client evidence, lesson, reusable asset, permissions, next action.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pBdr>
          <w:bottom w:val="single" w:sz="8" w:space="6" w:color="2E74B5"/>
        </w:pBdr>
      </w:pPr>
      <w:r>
        <w:t>9. Proposal readiness checklist</w:t>
      </w:r>
    </w:p>
    <w:p>
      <w:r>
        <w:t>Use this page as the standard gate record. Status must be Green, Amber, or Red. Amber requires an approved owner, date, and containment; Red blocks advancement.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4CE"/>
          <w:left w:val="single" w:sz="4" w:space="0" w:color="B8C4CE"/>
          <w:bottom w:val="single" w:sz="4" w:space="0" w:color="B8C4CE"/>
          <w:right w:val="single" w:sz="4" w:space="0" w:color="B8C4CE"/>
          <w:insideH w:val="single" w:sz="4" w:space="0" w:color="B8C4CE"/>
          <w:insideV w:val="single" w:sz="4" w:space="0" w:color="B8C4CE"/>
        </w:tblBorders>
      </w:tblPr>
      <w:tblGrid>
        <w:gridCol w:w="3300"/>
        <w:gridCol w:w="1000"/>
        <w:gridCol w:w="3300"/>
        <w:gridCol w:w="1760"/>
      </w:tblGrid>
      <w:tr>
        <w:trPr>
          <w:tblHeader w:val="true"/>
          <w:cantSplit/>
        </w:trPr>
        <w:tc>
          <w:tcPr>
            <w:tcW w:type="dxa" w:w="33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4"/>
              </w:rPr>
              <w:t>Readiness item</w:t>
            </w:r>
          </w:p>
        </w:tc>
        <w:tc>
          <w:tcPr>
            <w:tcW w:type="dxa" w:w="10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4"/>
              </w:rPr>
              <w:t>Status</w:t>
            </w:r>
          </w:p>
        </w:tc>
        <w:tc>
          <w:tcPr>
            <w:tcW w:type="dxa" w:w="33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4"/>
              </w:rPr>
              <w:t>Evidence</w:t>
            </w:r>
          </w:p>
        </w:tc>
        <w:tc>
          <w:tcPr>
            <w:tcW w:type="dxa" w:w="176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4"/>
              </w:rPr>
              <w:t>Owner / date</w:t>
            </w:r>
          </w:p>
        </w:tc>
      </w:tr>
      <w:tr>
        <w:trPr>
          <w:cantSplit/>
        </w:trPr>
        <w:tc>
          <w:tcPr>
            <w:tcW w:type="dxa" w:w="3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☐ Opportunity stage, amount, revenue, GP, close date, service model, and Price Sheet reconcile.</w:t>
            </w:r>
          </w:p>
        </w:tc>
        <w:tc>
          <w:tcPr>
            <w:tcW w:type="dxa" w:w="10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G / A / R</w:t>
            </w:r>
          </w:p>
        </w:tc>
        <w:tc>
          <w:tcPr>
            <w:tcW w:type="dxa" w:w="3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Evidence link or note</w:t>
            </w:r>
          </w:p>
        </w:tc>
        <w:tc>
          <w:tcPr>
            <w:tcW w:type="dxa" w:w="17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Owner / due date</w:t>
            </w:r>
          </w:p>
        </w:tc>
      </w:tr>
      <w:tr>
        <w:trPr>
          <w:cantSplit/>
        </w:trPr>
        <w:tc>
          <w:tcPr>
            <w:tcW w:type="dxa" w:w="33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☐ Value Framework states the business problem, desired outcome, OMTM, baseline/target, and realization approach.</w:t>
            </w:r>
          </w:p>
        </w:tc>
        <w:tc>
          <w:tcPr>
            <w:tcW w:type="dxa" w:w="10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G / A / R</w:t>
            </w:r>
          </w:p>
        </w:tc>
        <w:tc>
          <w:tcPr>
            <w:tcW w:type="dxa" w:w="33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Evidence link or note</w:t>
            </w:r>
          </w:p>
        </w:tc>
        <w:tc>
          <w:tcPr>
            <w:tcW w:type="dxa" w:w="17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Owner / due date</w:t>
            </w:r>
          </w:p>
        </w:tc>
      </w:tr>
      <w:tr>
        <w:trPr>
          <w:cantSplit/>
        </w:trPr>
        <w:tc>
          <w:tcPr>
            <w:tcW w:type="dxa" w:w="3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☐ Customer sponsor, buying path, budget/funding, procurement/legal path, and next event are current.</w:t>
            </w:r>
          </w:p>
        </w:tc>
        <w:tc>
          <w:tcPr>
            <w:tcW w:type="dxa" w:w="10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G / A / R</w:t>
            </w:r>
          </w:p>
        </w:tc>
        <w:tc>
          <w:tcPr>
            <w:tcW w:type="dxa" w:w="3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Evidence link or note</w:t>
            </w:r>
          </w:p>
        </w:tc>
        <w:tc>
          <w:tcPr>
            <w:tcW w:type="dxa" w:w="17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Owner / due date</w:t>
            </w:r>
          </w:p>
        </w:tc>
      </w:tr>
      <w:tr>
        <w:trPr>
          <w:cantSplit/>
        </w:trPr>
        <w:tc>
          <w:tcPr>
            <w:tcW w:type="dxa" w:w="33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☐ Scope, exclusions, assumptions, dependencies, roles, milestones, staffing, and delivery model are explicit.</w:t>
            </w:r>
          </w:p>
        </w:tc>
        <w:tc>
          <w:tcPr>
            <w:tcW w:type="dxa" w:w="10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G / A / R</w:t>
            </w:r>
          </w:p>
        </w:tc>
        <w:tc>
          <w:tcPr>
            <w:tcW w:type="dxa" w:w="33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Evidence link or note</w:t>
            </w:r>
          </w:p>
        </w:tc>
        <w:tc>
          <w:tcPr>
            <w:tcW w:type="dxa" w:w="17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Owner / due date</w:t>
            </w:r>
          </w:p>
        </w:tc>
      </w:tr>
      <w:tr>
        <w:trPr>
          <w:cantSplit/>
        </w:trPr>
        <w:tc>
          <w:tcPr>
            <w:tcW w:type="dxa" w:w="3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☐ Practice and Delivery have approved solution feasibility and pricing in writing.</w:t>
            </w:r>
          </w:p>
        </w:tc>
        <w:tc>
          <w:tcPr>
            <w:tcW w:type="dxa" w:w="10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G / A / R</w:t>
            </w:r>
          </w:p>
        </w:tc>
        <w:tc>
          <w:tcPr>
            <w:tcW w:type="dxa" w:w="3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Evidence link or note</w:t>
            </w:r>
          </w:p>
        </w:tc>
        <w:tc>
          <w:tcPr>
            <w:tcW w:type="dxa" w:w="17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Owner / due date</w:t>
            </w:r>
          </w:p>
        </w:tc>
      </w:tr>
      <w:tr>
        <w:trPr>
          <w:cantSplit/>
        </w:trPr>
        <w:tc>
          <w:tcPr>
            <w:tcW w:type="dxa" w:w="33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☐ Architecture and data flow are current; environments, integrations, IAM, and operating requirements are defined.</w:t>
            </w:r>
          </w:p>
        </w:tc>
        <w:tc>
          <w:tcPr>
            <w:tcW w:type="dxa" w:w="10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G / A / R</w:t>
            </w:r>
          </w:p>
        </w:tc>
        <w:tc>
          <w:tcPr>
            <w:tcW w:type="dxa" w:w="33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Evidence link or note</w:t>
            </w:r>
          </w:p>
        </w:tc>
        <w:tc>
          <w:tcPr>
            <w:tcW w:type="dxa" w:w="17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Owner / due date</w:t>
            </w:r>
          </w:p>
        </w:tc>
      </w:tr>
      <w:tr>
        <w:trPr>
          <w:cantSplit/>
        </w:trPr>
        <w:tc>
          <w:tcPr>
            <w:tcW w:type="dxa" w:w="3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☐ AI model/provider, autonomy, oversight, fallback, limitations, and change-control approach are documented.</w:t>
            </w:r>
          </w:p>
        </w:tc>
        <w:tc>
          <w:tcPr>
            <w:tcW w:type="dxa" w:w="10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G / A / R</w:t>
            </w:r>
          </w:p>
        </w:tc>
        <w:tc>
          <w:tcPr>
            <w:tcW w:type="dxa" w:w="3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Evidence link or note</w:t>
            </w:r>
          </w:p>
        </w:tc>
        <w:tc>
          <w:tcPr>
            <w:tcW w:type="dxa" w:w="17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Owner / due date</w:t>
            </w:r>
          </w:p>
        </w:tc>
      </w:tr>
      <w:tr>
        <w:trPr>
          <w:cantSplit/>
        </w:trPr>
        <w:tc>
          <w:tcPr>
            <w:tcW w:type="dxa" w:w="33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☐ Data, security, privacy, IP/content, compliance, and partner/vendor risks have evidence and required approvals.</w:t>
            </w:r>
          </w:p>
        </w:tc>
        <w:tc>
          <w:tcPr>
            <w:tcW w:type="dxa" w:w="10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G / A / R</w:t>
            </w:r>
          </w:p>
        </w:tc>
        <w:tc>
          <w:tcPr>
            <w:tcW w:type="dxa" w:w="33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Evidence link or note</w:t>
            </w:r>
          </w:p>
        </w:tc>
        <w:tc>
          <w:tcPr>
            <w:tcW w:type="dxa" w:w="17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Owner / due date</w:t>
            </w:r>
          </w:p>
        </w:tc>
      </w:tr>
      <w:tr>
        <w:trPr>
          <w:cantSplit/>
        </w:trPr>
        <w:tc>
          <w:tcPr>
            <w:tcW w:type="dxa" w:w="3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☐ Evaluation set, measures, thresholds, safety tests, acceptance owner, and re-test triggers are defined.</w:t>
            </w:r>
          </w:p>
        </w:tc>
        <w:tc>
          <w:tcPr>
            <w:tcW w:type="dxa" w:w="10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G / A / R</w:t>
            </w:r>
          </w:p>
        </w:tc>
        <w:tc>
          <w:tcPr>
            <w:tcW w:type="dxa" w:w="3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Evidence link or note</w:t>
            </w:r>
          </w:p>
        </w:tc>
        <w:tc>
          <w:tcPr>
            <w:tcW w:type="dxa" w:w="17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Owner / due date</w:t>
            </w:r>
          </w:p>
        </w:tc>
      </w:tr>
      <w:tr>
        <w:trPr>
          <w:cantSplit/>
        </w:trPr>
        <w:tc>
          <w:tcPr>
            <w:tcW w:type="dxa" w:w="33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☐ Usage/cloud/vendor economics, quotas/rate limits, travel/tools, penalties/credits, and contingencies are priced.</w:t>
            </w:r>
          </w:p>
        </w:tc>
        <w:tc>
          <w:tcPr>
            <w:tcW w:type="dxa" w:w="10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G / A / R</w:t>
            </w:r>
          </w:p>
        </w:tc>
        <w:tc>
          <w:tcPr>
            <w:tcW w:type="dxa" w:w="33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Evidence link or note</w:t>
            </w:r>
          </w:p>
        </w:tc>
        <w:tc>
          <w:tcPr>
            <w:tcW w:type="dxa" w:w="17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Owner / due date</w:t>
            </w:r>
          </w:p>
        </w:tc>
      </w:tr>
      <w:tr>
        <w:trPr>
          <w:cantSplit/>
        </w:trPr>
        <w:tc>
          <w:tcPr>
            <w:tcW w:type="dxa" w:w="3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☐ SOW/proposal language matches the approved solution and makes no unsupported outcome or performance claim.</w:t>
            </w:r>
          </w:p>
        </w:tc>
        <w:tc>
          <w:tcPr>
            <w:tcW w:type="dxa" w:w="10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G / A / R</w:t>
            </w:r>
          </w:p>
        </w:tc>
        <w:tc>
          <w:tcPr>
            <w:tcW w:type="dxa" w:w="3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Evidence link or note</w:t>
            </w:r>
          </w:p>
        </w:tc>
        <w:tc>
          <w:tcPr>
            <w:tcW w:type="dxa" w:w="17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Owner / due date</w:t>
            </w:r>
          </w:p>
        </w:tc>
      </w:tr>
      <w:tr>
        <w:trPr>
          <w:cantSplit/>
        </w:trPr>
        <w:tc>
          <w:tcPr>
            <w:tcW w:type="dxa" w:w="33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☐ Solutioning Checklist is current and the Proposing snapshot is stored in the opportunity record.</w:t>
            </w:r>
          </w:p>
        </w:tc>
        <w:tc>
          <w:tcPr>
            <w:tcW w:type="dxa" w:w="10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G / A / R</w:t>
            </w:r>
          </w:p>
        </w:tc>
        <w:tc>
          <w:tcPr>
            <w:tcW w:type="dxa" w:w="33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Evidence link or note</w:t>
            </w:r>
          </w:p>
        </w:tc>
        <w:tc>
          <w:tcPr>
            <w:tcW w:type="dxa" w:w="17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Owner / due date</w:t>
            </w:r>
          </w:p>
        </w:tc>
      </w:tr>
      <w:tr>
        <w:trPr>
          <w:cantSplit/>
        </w:trPr>
        <w:tc>
          <w:tcPr>
            <w:tcW w:type="dxa" w:w="3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☐ All open decisions and exceptions have a named owner, due date, containment, and approver.</w:t>
            </w:r>
          </w:p>
        </w:tc>
        <w:tc>
          <w:tcPr>
            <w:tcW w:type="dxa" w:w="10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G / A / R</w:t>
            </w:r>
          </w:p>
        </w:tc>
        <w:tc>
          <w:tcPr>
            <w:tcW w:type="dxa" w:w="3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Evidence link or note</w:t>
            </w:r>
          </w:p>
        </w:tc>
        <w:tc>
          <w:tcPr>
            <w:tcW w:type="dxa" w:w="17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Owner / due date</w:t>
            </w:r>
          </w:p>
        </w:tc>
      </w:tr>
    </w:tbl>
    <w:p>
      <w:pPr>
        <w:spacing w:after="0"/>
      </w:pPr>
    </w:p>
    <w:p>
      <w:pPr>
        <w:pStyle w:val="SmallNote"/>
      </w:pPr>
      <w:r>
        <w:t>Gate decision:  ☐ Proceed   ☐ Proceed with approved amber conditions   ☐ Hold</w:t>
      </w:r>
    </w:p>
    <w:p>
      <w:pPr>
        <w:pStyle w:val="SmallNote"/>
      </w:pPr>
      <w:r>
        <w:t>Approver(s): ______________________________   Date: ______________   Next review: ______________</w:t>
      </w:r>
    </w:p>
    <w:p>
      <w:r>
        <w:br w:type="page"/>
      </w:r>
    </w:p>
    <w:p>
      <w:pPr>
        <w:pStyle w:val="Heading1"/>
        <w:pBdr>
          <w:bottom w:val="single" w:sz="8" w:space="6" w:color="2E74B5"/>
        </w:pBdr>
      </w:pPr>
      <w:r>
        <w:t>10. Delivery handoff acceptance</w:t>
      </w:r>
    </w:p>
    <w:p>
      <w:r>
        <w:t>The handoff is complete only when the receiving Delivery Lead has reviewed and accepted the package. This makes knowledge transfer an explicit control rather than an assumed meeting outcome.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4CE"/>
          <w:left w:val="single" w:sz="4" w:space="0" w:color="B8C4CE"/>
          <w:bottom w:val="single" w:sz="4" w:space="0" w:color="B8C4CE"/>
          <w:right w:val="single" w:sz="4" w:space="0" w:color="B8C4CE"/>
          <w:insideH w:val="single" w:sz="4" w:space="0" w:color="B8C4CE"/>
          <w:insideV w:val="single" w:sz="4" w:space="0" w:color="B8C4CE"/>
        </w:tblBorders>
      </w:tblPr>
      <w:tblGrid>
        <w:gridCol w:w="3300"/>
        <w:gridCol w:w="1000"/>
        <w:gridCol w:w="3300"/>
        <w:gridCol w:w="1760"/>
      </w:tblGrid>
      <w:tr>
        <w:trPr>
          <w:tblHeader w:val="true"/>
          <w:cantSplit/>
        </w:trPr>
        <w:tc>
          <w:tcPr>
            <w:tcW w:type="dxa" w:w="33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4"/>
              </w:rPr>
              <w:t>Readiness item</w:t>
            </w:r>
          </w:p>
        </w:tc>
        <w:tc>
          <w:tcPr>
            <w:tcW w:type="dxa" w:w="10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4"/>
              </w:rPr>
              <w:t>Status</w:t>
            </w:r>
          </w:p>
        </w:tc>
        <w:tc>
          <w:tcPr>
            <w:tcW w:type="dxa" w:w="33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4"/>
              </w:rPr>
              <w:t>Evidence</w:t>
            </w:r>
          </w:p>
        </w:tc>
        <w:tc>
          <w:tcPr>
            <w:tcW w:type="dxa" w:w="176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4"/>
              </w:rPr>
              <w:t>Owner / date</w:t>
            </w:r>
          </w:p>
        </w:tc>
      </w:tr>
      <w:tr>
        <w:trPr>
          <w:cantSplit/>
        </w:trPr>
        <w:tc>
          <w:tcPr>
            <w:tcW w:type="dxa" w:w="3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☐ Executed contract/SOW, final proposal, commercial assumptions, and current opportunity record are linked.</w:t>
            </w:r>
          </w:p>
        </w:tc>
        <w:tc>
          <w:tcPr>
            <w:tcW w:type="dxa" w:w="10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G / A / R</w:t>
            </w:r>
          </w:p>
        </w:tc>
        <w:tc>
          <w:tcPr>
            <w:tcW w:type="dxa" w:w="3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Evidence link or note</w:t>
            </w:r>
          </w:p>
        </w:tc>
        <w:tc>
          <w:tcPr>
            <w:tcW w:type="dxa" w:w="17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Owner / due date</w:t>
            </w:r>
          </w:p>
        </w:tc>
      </w:tr>
      <w:tr>
        <w:trPr>
          <w:cantSplit/>
        </w:trPr>
        <w:tc>
          <w:tcPr>
            <w:tcW w:type="dxa" w:w="33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☐ Final Solutioning Checklist snapshot is attached and reviewed; all Yes and residual confirmation items are discussed.</w:t>
            </w:r>
          </w:p>
        </w:tc>
        <w:tc>
          <w:tcPr>
            <w:tcW w:type="dxa" w:w="10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G / A / R</w:t>
            </w:r>
          </w:p>
        </w:tc>
        <w:tc>
          <w:tcPr>
            <w:tcW w:type="dxa" w:w="33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Evidence link or note</w:t>
            </w:r>
          </w:p>
        </w:tc>
        <w:tc>
          <w:tcPr>
            <w:tcW w:type="dxa" w:w="17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Owner / due date</w:t>
            </w:r>
          </w:p>
        </w:tc>
      </w:tr>
      <w:tr>
        <w:trPr>
          <w:cantSplit/>
        </w:trPr>
        <w:tc>
          <w:tcPr>
            <w:tcW w:type="dxa" w:w="3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☐ Solution, architecture, data flow, model/provider, evaluation, and AI risk artifacts are current.</w:t>
            </w:r>
          </w:p>
        </w:tc>
        <w:tc>
          <w:tcPr>
            <w:tcW w:type="dxa" w:w="10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G / A / R</w:t>
            </w:r>
          </w:p>
        </w:tc>
        <w:tc>
          <w:tcPr>
            <w:tcW w:type="dxa" w:w="3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Evidence link or note</w:t>
            </w:r>
          </w:p>
        </w:tc>
        <w:tc>
          <w:tcPr>
            <w:tcW w:type="dxa" w:w="17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Owner / due date</w:t>
            </w:r>
          </w:p>
        </w:tc>
      </w:tr>
      <w:tr>
        <w:trPr>
          <w:cantSplit/>
        </w:trPr>
        <w:tc>
          <w:tcPr>
            <w:tcW w:type="dxa" w:w="33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☐ Customer commitments, scope, exclusions, assumptions, dependencies, SLAs/SLOs, acceptance, warranty, and credits are understood.</w:t>
            </w:r>
          </w:p>
        </w:tc>
        <w:tc>
          <w:tcPr>
            <w:tcW w:type="dxa" w:w="10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G / A / R</w:t>
            </w:r>
          </w:p>
        </w:tc>
        <w:tc>
          <w:tcPr>
            <w:tcW w:type="dxa" w:w="33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Evidence link or note</w:t>
            </w:r>
          </w:p>
        </w:tc>
        <w:tc>
          <w:tcPr>
            <w:tcW w:type="dxa" w:w="17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Owner / due date</w:t>
            </w:r>
          </w:p>
        </w:tc>
      </w:tr>
      <w:tr>
        <w:trPr>
          <w:cantSplit/>
        </w:trPr>
        <w:tc>
          <w:tcPr>
            <w:tcW w:type="dxa" w:w="3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☐ Team, roles, skills, locations, hours, onboarding, access, equipment/tools, training, and partner obligations are executable.</w:t>
            </w:r>
          </w:p>
        </w:tc>
        <w:tc>
          <w:tcPr>
            <w:tcW w:type="dxa" w:w="10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G / A / R</w:t>
            </w:r>
          </w:p>
        </w:tc>
        <w:tc>
          <w:tcPr>
            <w:tcW w:type="dxa" w:w="3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Evidence link or note</w:t>
            </w:r>
          </w:p>
        </w:tc>
        <w:tc>
          <w:tcPr>
            <w:tcW w:type="dxa" w:w="17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Owner / due date</w:t>
            </w:r>
          </w:p>
        </w:tc>
      </w:tr>
      <w:tr>
        <w:trPr>
          <w:cantSplit/>
        </w:trPr>
        <w:tc>
          <w:tcPr>
            <w:tcW w:type="dxa" w:w="33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☐ Baseline, OMTM, acceptance thresholds, measurement method, benefit owner, and reporting cadence are assigned.</w:t>
            </w:r>
          </w:p>
        </w:tc>
        <w:tc>
          <w:tcPr>
            <w:tcW w:type="dxa" w:w="10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G / A / R</w:t>
            </w:r>
          </w:p>
        </w:tc>
        <w:tc>
          <w:tcPr>
            <w:tcW w:type="dxa" w:w="33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Evidence link or note</w:t>
            </w:r>
          </w:p>
        </w:tc>
        <w:tc>
          <w:tcPr>
            <w:tcW w:type="dxa" w:w="17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Owner / due date</w:t>
            </w:r>
          </w:p>
        </w:tc>
      </w:tr>
      <w:tr>
        <w:trPr>
          <w:cantSplit/>
        </w:trPr>
        <w:tc>
          <w:tcPr>
            <w:tcW w:type="dxa" w:w="3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☐ Open decisions, risks, exceptions, incidents, prerequisites, and amber conditions have accepted owners and dates.</w:t>
            </w:r>
          </w:p>
        </w:tc>
        <w:tc>
          <w:tcPr>
            <w:tcW w:type="dxa" w:w="10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G / A / R</w:t>
            </w:r>
          </w:p>
        </w:tc>
        <w:tc>
          <w:tcPr>
            <w:tcW w:type="dxa" w:w="3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Evidence link or note</w:t>
            </w:r>
          </w:p>
        </w:tc>
        <w:tc>
          <w:tcPr>
            <w:tcW w:type="dxa" w:w="17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Owner / due date</w:t>
            </w:r>
          </w:p>
        </w:tc>
      </w:tr>
      <w:tr>
        <w:trPr>
          <w:cantSplit/>
        </w:trPr>
        <w:tc>
          <w:tcPr>
            <w:tcW w:type="dxa" w:w="33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☐ Kickoff, governance, escalation, incident response, change control, version control, and customer communications are scheduled.</w:t>
            </w:r>
          </w:p>
        </w:tc>
        <w:tc>
          <w:tcPr>
            <w:tcW w:type="dxa" w:w="10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G / A / R</w:t>
            </w:r>
          </w:p>
        </w:tc>
        <w:tc>
          <w:tcPr>
            <w:tcW w:type="dxa" w:w="33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Evidence link or note</w:t>
            </w:r>
          </w:p>
        </w:tc>
        <w:tc>
          <w:tcPr>
            <w:tcW w:type="dxa" w:w="17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4"/>
              </w:rPr>
              <w:t>Owner / due date</w:t>
            </w:r>
          </w:p>
        </w:tc>
      </w:tr>
    </w:tbl>
    <w:p>
      <w:pPr>
        <w:spacing w:after="0"/>
      </w:pPr>
    </w:p>
    <w:p>
      <w:pPr>
        <w:pStyle w:val="SmallNote"/>
      </w:pPr>
      <w:r>
        <w:t>Delivery acceptance:  ☐ Accepted   ☐ Accepted with conditions   ☐ Not accepted</w:t>
      </w:r>
    </w:p>
    <w:p>
      <w:pPr>
        <w:pStyle w:val="SmallNote"/>
      </w:pPr>
      <w:r>
        <w:t>Receiving Delivery Lead: ______________________________   Date: ______________</w:t>
      </w:r>
    </w:p>
    <w:p>
      <w:pPr>
        <w:pStyle w:val="SmallNote"/>
      </w:pPr>
      <w:r>
        <w:t>Conditions / first actions: ____________________________________________________________________________</w:t>
      </w:r>
    </w:p>
    <w:p>
      <w:r>
        <w:br w:type="page"/>
      </w:r>
    </w:p>
    <w:p>
      <w:pPr>
        <w:pStyle w:val="Heading1"/>
        <w:pBdr>
          <w:bottom w:val="single" w:sz="8" w:space="6" w:color="2E74B5"/>
        </w:pBdr>
      </w:pPr>
      <w:r>
        <w:t>11. Roles and decision rights</w:t>
      </w:r>
    </w:p>
    <w:p>
      <w:r>
        <w:t>The RACI below is role-based so it remains usable when organizational assignments change. A = accountable, R = responsible, C = consulted, I = informed.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4CE"/>
          <w:left w:val="single" w:sz="4" w:space="0" w:color="B8C4CE"/>
          <w:bottom w:val="single" w:sz="4" w:space="0" w:color="B8C4CE"/>
          <w:right w:val="single" w:sz="4" w:space="0" w:color="B8C4CE"/>
          <w:insideH w:val="single" w:sz="4" w:space="0" w:color="B8C4CE"/>
          <w:insideV w:val="single" w:sz="4" w:space="0" w:color="B8C4CE"/>
        </w:tblBorders>
      </w:tblPr>
      <w:tblGrid>
        <w:gridCol w:w="2200"/>
        <w:gridCol w:w="900"/>
        <w:gridCol w:w="600"/>
        <w:gridCol w:w="800"/>
        <w:gridCol w:w="1200"/>
        <w:gridCol w:w="800"/>
        <w:gridCol w:w="700"/>
        <w:gridCol w:w="1260"/>
        <w:gridCol w:w="900"/>
      </w:tblGrid>
      <w:tr>
        <w:trPr>
          <w:tblHeader w:val="true"/>
          <w:cantSplit/>
        </w:trPr>
        <w:tc>
          <w:tcPr>
            <w:tcW w:type="dxa" w:w="22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3"/>
              </w:rPr>
              <w:t>Activity</w:t>
            </w:r>
          </w:p>
        </w:tc>
        <w:tc>
          <w:tcPr>
            <w:tcW w:type="dxa" w:w="9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3"/>
              </w:rPr>
              <w:t>Sales / Account</w:t>
            </w:r>
          </w:p>
        </w:tc>
        <w:tc>
          <w:tcPr>
            <w:tcW w:type="dxa" w:w="6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3"/>
              </w:rPr>
              <w:t>SE</w:t>
            </w:r>
          </w:p>
        </w:tc>
        <w:tc>
          <w:tcPr>
            <w:tcW w:type="dxa" w:w="8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3"/>
              </w:rPr>
              <w:t>AI Triage</w:t>
            </w:r>
          </w:p>
        </w:tc>
        <w:tc>
          <w:tcPr>
            <w:tcW w:type="dxa" w:w="12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3"/>
              </w:rPr>
              <w:t>AI Architect / Practice</w:t>
            </w:r>
          </w:p>
        </w:tc>
        <w:tc>
          <w:tcPr>
            <w:tcW w:type="dxa" w:w="8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3"/>
              </w:rPr>
              <w:t>Delivery</w:t>
            </w:r>
          </w:p>
        </w:tc>
        <w:tc>
          <w:tcPr>
            <w:tcW w:type="dxa" w:w="7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3"/>
              </w:rPr>
              <w:t>Proposal</w:t>
            </w:r>
          </w:p>
        </w:tc>
        <w:tc>
          <w:tcPr>
            <w:tcW w:type="dxa" w:w="126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3"/>
              </w:rPr>
              <w:t>Risk / Legal / Privacy</w:t>
            </w:r>
          </w:p>
        </w:tc>
        <w:tc>
          <w:tcPr>
            <w:tcW w:type="dxa" w:w="9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3"/>
              </w:rPr>
              <w:t>Front Office</w:t>
            </w:r>
          </w:p>
        </w:tc>
      </w:tr>
      <w:tr>
        <w:trPr>
          <w:cantSplit/>
        </w:trPr>
        <w:tc>
          <w:tcPr>
            <w:tcW w:type="dxa" w:w="22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Create/link opportunity and intake</w:t>
            </w:r>
          </w:p>
        </w:tc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A/R</w:t>
            </w:r>
          </w:p>
        </w:tc>
        <w:tc>
          <w:tcPr>
            <w:tcW w:type="dxa" w:w="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C</w:t>
            </w:r>
          </w:p>
        </w:tc>
        <w:tc>
          <w:tcPr>
            <w:tcW w:type="dxa" w:w="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I</w:t>
            </w:r>
          </w:p>
        </w:tc>
        <w:tc>
          <w:tcPr>
            <w:tcW w:type="dxa" w:w="12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I</w:t>
            </w:r>
          </w:p>
        </w:tc>
        <w:tc>
          <w:tcPr>
            <w:tcW w:type="dxa" w:w="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I</w:t>
            </w:r>
          </w:p>
        </w:tc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I</w:t>
            </w:r>
          </w:p>
        </w:tc>
        <w:tc>
          <w:tcPr>
            <w:tcW w:type="dxa" w:w="12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I</w:t>
            </w:r>
          </w:p>
        </w:tc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I</w:t>
            </w:r>
          </w:p>
        </w:tc>
      </w:tr>
      <w:tr>
        <w:trPr>
          <w:cantSplit/>
        </w:trPr>
        <w:tc>
          <w:tcPr>
            <w:tcW w:type="dxa" w:w="22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Route OWN / CO / CONSULT / HANDOFF</w:t>
            </w:r>
          </w:p>
        </w:tc>
        <w:tc>
          <w:tcPr>
            <w:tcW w:type="dxa" w:w="9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C</w:t>
            </w:r>
          </w:p>
        </w:tc>
        <w:tc>
          <w:tcPr>
            <w:tcW w:type="dxa" w:w="6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R</w:t>
            </w:r>
          </w:p>
        </w:tc>
        <w:tc>
          <w:tcPr>
            <w:tcW w:type="dxa" w:w="8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A/R</w:t>
            </w:r>
          </w:p>
        </w:tc>
        <w:tc>
          <w:tcPr>
            <w:tcW w:type="dxa" w:w="12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C</w:t>
            </w:r>
          </w:p>
        </w:tc>
        <w:tc>
          <w:tcPr>
            <w:tcW w:type="dxa" w:w="8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C</w:t>
            </w:r>
          </w:p>
        </w:tc>
        <w:tc>
          <w:tcPr>
            <w:tcW w:type="dxa" w:w="7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I</w:t>
            </w:r>
          </w:p>
        </w:tc>
        <w:tc>
          <w:tcPr>
            <w:tcW w:type="dxa" w:w="12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C</w:t>
            </w:r>
          </w:p>
        </w:tc>
        <w:tc>
          <w:tcPr>
            <w:tcW w:type="dxa" w:w="9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I</w:t>
            </w:r>
          </w:p>
        </w:tc>
      </w:tr>
      <w:tr>
        <w:trPr>
          <w:cantSplit/>
        </w:trPr>
        <w:tc>
          <w:tcPr>
            <w:tcW w:type="dxa" w:w="22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Qualify value and buying path</w:t>
            </w:r>
          </w:p>
        </w:tc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A/R</w:t>
            </w:r>
          </w:p>
        </w:tc>
        <w:tc>
          <w:tcPr>
            <w:tcW w:type="dxa" w:w="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R</w:t>
            </w:r>
          </w:p>
        </w:tc>
        <w:tc>
          <w:tcPr>
            <w:tcW w:type="dxa" w:w="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C</w:t>
            </w:r>
          </w:p>
        </w:tc>
        <w:tc>
          <w:tcPr>
            <w:tcW w:type="dxa" w:w="12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C</w:t>
            </w:r>
          </w:p>
        </w:tc>
        <w:tc>
          <w:tcPr>
            <w:tcW w:type="dxa" w:w="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C</w:t>
            </w:r>
          </w:p>
        </w:tc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I</w:t>
            </w:r>
          </w:p>
        </w:tc>
        <w:tc>
          <w:tcPr>
            <w:tcW w:type="dxa" w:w="12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C</w:t>
            </w:r>
          </w:p>
        </w:tc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I</w:t>
            </w:r>
          </w:p>
        </w:tc>
      </w:tr>
      <w:tr>
        <w:trPr>
          <w:cantSplit/>
        </w:trPr>
        <w:tc>
          <w:tcPr>
            <w:tcW w:type="dxa" w:w="22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Design solution and evidence</w:t>
            </w:r>
          </w:p>
        </w:tc>
        <w:tc>
          <w:tcPr>
            <w:tcW w:type="dxa" w:w="9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C</w:t>
            </w:r>
          </w:p>
        </w:tc>
        <w:tc>
          <w:tcPr>
            <w:tcW w:type="dxa" w:w="6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A/R</w:t>
            </w:r>
          </w:p>
        </w:tc>
        <w:tc>
          <w:tcPr>
            <w:tcW w:type="dxa" w:w="8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C</w:t>
            </w:r>
          </w:p>
        </w:tc>
        <w:tc>
          <w:tcPr>
            <w:tcW w:type="dxa" w:w="12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R</w:t>
            </w:r>
          </w:p>
        </w:tc>
        <w:tc>
          <w:tcPr>
            <w:tcW w:type="dxa" w:w="8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R</w:t>
            </w:r>
          </w:p>
        </w:tc>
        <w:tc>
          <w:tcPr>
            <w:tcW w:type="dxa" w:w="7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I</w:t>
            </w:r>
          </w:p>
        </w:tc>
        <w:tc>
          <w:tcPr>
            <w:tcW w:type="dxa" w:w="12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C</w:t>
            </w:r>
          </w:p>
        </w:tc>
        <w:tc>
          <w:tcPr>
            <w:tcW w:type="dxa" w:w="9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I</w:t>
            </w:r>
          </w:p>
        </w:tc>
      </w:tr>
      <w:tr>
        <w:trPr>
          <w:cantSplit/>
        </w:trPr>
        <w:tc>
          <w:tcPr>
            <w:tcW w:type="dxa" w:w="22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Approve technical feasibility</w:t>
            </w:r>
          </w:p>
        </w:tc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I</w:t>
            </w:r>
          </w:p>
        </w:tc>
        <w:tc>
          <w:tcPr>
            <w:tcW w:type="dxa" w:w="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R</w:t>
            </w:r>
          </w:p>
        </w:tc>
        <w:tc>
          <w:tcPr>
            <w:tcW w:type="dxa" w:w="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I</w:t>
            </w:r>
          </w:p>
        </w:tc>
        <w:tc>
          <w:tcPr>
            <w:tcW w:type="dxa" w:w="12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A/R</w:t>
            </w:r>
          </w:p>
        </w:tc>
        <w:tc>
          <w:tcPr>
            <w:tcW w:type="dxa" w:w="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R</w:t>
            </w:r>
          </w:p>
        </w:tc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I</w:t>
            </w:r>
          </w:p>
        </w:tc>
        <w:tc>
          <w:tcPr>
            <w:tcW w:type="dxa" w:w="12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C</w:t>
            </w:r>
          </w:p>
        </w:tc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I</w:t>
            </w:r>
          </w:p>
        </w:tc>
      </w:tr>
      <w:tr>
        <w:trPr>
          <w:cantSplit/>
        </w:trPr>
        <w:tc>
          <w:tcPr>
            <w:tcW w:type="dxa" w:w="22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Approve delivery operability / estimate</w:t>
            </w:r>
          </w:p>
        </w:tc>
        <w:tc>
          <w:tcPr>
            <w:tcW w:type="dxa" w:w="9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I</w:t>
            </w:r>
          </w:p>
        </w:tc>
        <w:tc>
          <w:tcPr>
            <w:tcW w:type="dxa" w:w="6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R</w:t>
            </w:r>
          </w:p>
        </w:tc>
        <w:tc>
          <w:tcPr>
            <w:tcW w:type="dxa" w:w="8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I</w:t>
            </w:r>
          </w:p>
        </w:tc>
        <w:tc>
          <w:tcPr>
            <w:tcW w:type="dxa" w:w="12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C</w:t>
            </w:r>
          </w:p>
        </w:tc>
        <w:tc>
          <w:tcPr>
            <w:tcW w:type="dxa" w:w="8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A/R</w:t>
            </w:r>
          </w:p>
        </w:tc>
        <w:tc>
          <w:tcPr>
            <w:tcW w:type="dxa" w:w="7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I</w:t>
            </w:r>
          </w:p>
        </w:tc>
        <w:tc>
          <w:tcPr>
            <w:tcW w:type="dxa" w:w="12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I</w:t>
            </w:r>
          </w:p>
        </w:tc>
        <w:tc>
          <w:tcPr>
            <w:tcW w:type="dxa" w:w="9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I</w:t>
            </w:r>
          </w:p>
        </w:tc>
      </w:tr>
      <w:tr>
        <w:trPr>
          <w:cantSplit/>
        </w:trPr>
        <w:tc>
          <w:tcPr>
            <w:tcW w:type="dxa" w:w="22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Approve policy / legal / privacy / risk exception</w:t>
            </w:r>
          </w:p>
        </w:tc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I</w:t>
            </w:r>
          </w:p>
        </w:tc>
        <w:tc>
          <w:tcPr>
            <w:tcW w:type="dxa" w:w="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R</w:t>
            </w:r>
          </w:p>
        </w:tc>
        <w:tc>
          <w:tcPr>
            <w:tcW w:type="dxa" w:w="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I</w:t>
            </w:r>
          </w:p>
        </w:tc>
        <w:tc>
          <w:tcPr>
            <w:tcW w:type="dxa" w:w="12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C</w:t>
            </w:r>
          </w:p>
        </w:tc>
        <w:tc>
          <w:tcPr>
            <w:tcW w:type="dxa" w:w="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C</w:t>
            </w:r>
          </w:p>
        </w:tc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I</w:t>
            </w:r>
          </w:p>
        </w:tc>
        <w:tc>
          <w:tcPr>
            <w:tcW w:type="dxa" w:w="12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A/R</w:t>
            </w:r>
          </w:p>
        </w:tc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C</w:t>
            </w:r>
          </w:p>
        </w:tc>
      </w:tr>
      <w:tr>
        <w:trPr>
          <w:cantSplit/>
        </w:trPr>
        <w:tc>
          <w:tcPr>
            <w:tcW w:type="dxa" w:w="22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Reconcile price and proposal readiness</w:t>
            </w:r>
          </w:p>
        </w:tc>
        <w:tc>
          <w:tcPr>
            <w:tcW w:type="dxa" w:w="9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C</w:t>
            </w:r>
          </w:p>
        </w:tc>
        <w:tc>
          <w:tcPr>
            <w:tcW w:type="dxa" w:w="6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A/R</w:t>
            </w:r>
          </w:p>
        </w:tc>
        <w:tc>
          <w:tcPr>
            <w:tcW w:type="dxa" w:w="8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I</w:t>
            </w:r>
          </w:p>
        </w:tc>
        <w:tc>
          <w:tcPr>
            <w:tcW w:type="dxa" w:w="12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C</w:t>
            </w:r>
          </w:p>
        </w:tc>
        <w:tc>
          <w:tcPr>
            <w:tcW w:type="dxa" w:w="8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C</w:t>
            </w:r>
          </w:p>
        </w:tc>
        <w:tc>
          <w:tcPr>
            <w:tcW w:type="dxa" w:w="7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R</w:t>
            </w:r>
          </w:p>
        </w:tc>
        <w:tc>
          <w:tcPr>
            <w:tcW w:type="dxa" w:w="12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C</w:t>
            </w:r>
          </w:p>
        </w:tc>
        <w:tc>
          <w:tcPr>
            <w:tcW w:type="dxa" w:w="9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I</w:t>
            </w:r>
          </w:p>
        </w:tc>
      </w:tr>
      <w:tr>
        <w:trPr>
          <w:cantSplit/>
        </w:trPr>
        <w:tc>
          <w:tcPr>
            <w:tcW w:type="dxa" w:w="22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Advance opportunity stage</w:t>
            </w:r>
          </w:p>
        </w:tc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A/R</w:t>
            </w:r>
          </w:p>
        </w:tc>
        <w:tc>
          <w:tcPr>
            <w:tcW w:type="dxa" w:w="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R</w:t>
            </w:r>
          </w:p>
        </w:tc>
        <w:tc>
          <w:tcPr>
            <w:tcW w:type="dxa" w:w="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I</w:t>
            </w:r>
          </w:p>
        </w:tc>
        <w:tc>
          <w:tcPr>
            <w:tcW w:type="dxa" w:w="12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I</w:t>
            </w:r>
          </w:p>
        </w:tc>
        <w:tc>
          <w:tcPr>
            <w:tcW w:type="dxa" w:w="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I</w:t>
            </w:r>
          </w:p>
        </w:tc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I</w:t>
            </w:r>
          </w:p>
        </w:tc>
        <w:tc>
          <w:tcPr>
            <w:tcW w:type="dxa" w:w="12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I</w:t>
            </w:r>
          </w:p>
        </w:tc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I</w:t>
            </w:r>
          </w:p>
        </w:tc>
      </w:tr>
      <w:tr>
        <w:trPr>
          <w:cantSplit/>
        </w:trPr>
        <w:tc>
          <w:tcPr>
            <w:tcW w:type="dxa" w:w="22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Negotiate solution / commercial change</w:t>
            </w:r>
          </w:p>
        </w:tc>
        <w:tc>
          <w:tcPr>
            <w:tcW w:type="dxa" w:w="9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A/R</w:t>
            </w:r>
          </w:p>
        </w:tc>
        <w:tc>
          <w:tcPr>
            <w:tcW w:type="dxa" w:w="6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R</w:t>
            </w:r>
          </w:p>
        </w:tc>
        <w:tc>
          <w:tcPr>
            <w:tcW w:type="dxa" w:w="8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I</w:t>
            </w:r>
          </w:p>
        </w:tc>
        <w:tc>
          <w:tcPr>
            <w:tcW w:type="dxa" w:w="12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C</w:t>
            </w:r>
          </w:p>
        </w:tc>
        <w:tc>
          <w:tcPr>
            <w:tcW w:type="dxa" w:w="8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C</w:t>
            </w:r>
          </w:p>
        </w:tc>
        <w:tc>
          <w:tcPr>
            <w:tcW w:type="dxa" w:w="7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C</w:t>
            </w:r>
          </w:p>
        </w:tc>
        <w:tc>
          <w:tcPr>
            <w:tcW w:type="dxa" w:w="12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C</w:t>
            </w:r>
          </w:p>
        </w:tc>
        <w:tc>
          <w:tcPr>
            <w:tcW w:type="dxa" w:w="9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I</w:t>
            </w:r>
          </w:p>
        </w:tc>
      </w:tr>
      <w:tr>
        <w:trPr>
          <w:cantSplit/>
        </w:trPr>
        <w:tc>
          <w:tcPr>
            <w:tcW w:type="dxa" w:w="22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Accept Delivery handoff</w:t>
            </w:r>
          </w:p>
        </w:tc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I</w:t>
            </w:r>
          </w:p>
        </w:tc>
        <w:tc>
          <w:tcPr>
            <w:tcW w:type="dxa" w:w="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R</w:t>
            </w:r>
          </w:p>
        </w:tc>
        <w:tc>
          <w:tcPr>
            <w:tcW w:type="dxa" w:w="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I</w:t>
            </w:r>
          </w:p>
        </w:tc>
        <w:tc>
          <w:tcPr>
            <w:tcW w:type="dxa" w:w="12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C</w:t>
            </w:r>
          </w:p>
        </w:tc>
        <w:tc>
          <w:tcPr>
            <w:tcW w:type="dxa" w:w="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A/R</w:t>
            </w:r>
          </w:p>
        </w:tc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I</w:t>
            </w:r>
          </w:p>
        </w:tc>
        <w:tc>
          <w:tcPr>
            <w:tcW w:type="dxa" w:w="12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I</w:t>
            </w:r>
          </w:p>
        </w:tc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I</w:t>
            </w:r>
          </w:p>
        </w:tc>
      </w:tr>
      <w:tr>
        <w:trPr>
          <w:cantSplit/>
        </w:trPr>
        <w:tc>
          <w:tcPr>
            <w:tcW w:type="dxa" w:w="22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Measure outcome and capture reuse</w:t>
            </w:r>
          </w:p>
        </w:tc>
        <w:tc>
          <w:tcPr>
            <w:tcW w:type="dxa" w:w="9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R</w:t>
            </w:r>
          </w:p>
        </w:tc>
        <w:tc>
          <w:tcPr>
            <w:tcW w:type="dxa" w:w="6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C</w:t>
            </w:r>
          </w:p>
        </w:tc>
        <w:tc>
          <w:tcPr>
            <w:tcW w:type="dxa" w:w="8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I</w:t>
            </w:r>
          </w:p>
        </w:tc>
        <w:tc>
          <w:tcPr>
            <w:tcW w:type="dxa" w:w="12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R</w:t>
            </w:r>
          </w:p>
        </w:tc>
        <w:tc>
          <w:tcPr>
            <w:tcW w:type="dxa" w:w="8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A/R</w:t>
            </w:r>
          </w:p>
        </w:tc>
        <w:tc>
          <w:tcPr>
            <w:tcW w:type="dxa" w:w="7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I</w:t>
            </w:r>
          </w:p>
        </w:tc>
        <w:tc>
          <w:tcPr>
            <w:tcW w:type="dxa" w:w="12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I</w:t>
            </w:r>
          </w:p>
        </w:tc>
        <w:tc>
          <w:tcPr>
            <w:tcW w:type="dxa" w:w="9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3"/>
              </w:rPr>
              <w:t>I</w:t>
            </w:r>
          </w:p>
        </w:tc>
      </w:tr>
    </w:tbl>
    <w:p>
      <w:pPr>
        <w:spacing w:after="0"/>
      </w:pPr>
    </w:p>
    <w:p>
      <w:pPr>
        <w:pStyle w:val="Heading2"/>
      </w:pPr>
      <w:r>
        <w:t>Non-delegable human approvals</w:t>
      </w:r>
    </w:p>
    <w:p>
      <w:pPr>
        <w:pStyle w:val="ListBullet"/>
      </w:pPr>
      <w:r>
        <w:t>Advance an opportunity stage or close an opportunity.</w:t>
      </w:r>
    </w:p>
    <w:p>
      <w:pPr>
        <w:pStyle w:val="ListBullet"/>
      </w:pPr>
      <w:r>
        <w:t>Approve a solution, estimate, Price Sheet, margin exception, or client-facing proposal/SOW.</w:t>
      </w:r>
    </w:p>
    <w:p>
      <w:pPr>
        <w:pStyle w:val="ListBullet"/>
      </w:pPr>
      <w:r>
        <w:t>Accept contractual, legal, security, privacy, data, IP, responsible-AI, or delivery risk.</w:t>
      </w:r>
    </w:p>
    <w:p>
      <w:pPr>
        <w:pStyle w:val="ListBullet"/>
      </w:pPr>
      <w:r>
        <w:t>Make a customer commitment, concession, unsupported claim, or change to scope/acceptance.</w:t>
      </w:r>
    </w:p>
    <w:p>
      <w:pPr>
        <w:pStyle w:val="ListBullet"/>
      </w:pPr>
      <w:r>
        <w:t>Accept the receiving ownership of a HANDOFF or Closed-Won transition.</w:t>
      </w:r>
    </w:p>
    <w:p>
      <w:r>
        <w:br w:type="page"/>
      </w:r>
    </w:p>
    <w:p>
      <w:pPr>
        <w:pStyle w:val="Heading1"/>
        <w:pBdr>
          <w:bottom w:val="single" w:sz="8" w:space="6" w:color="2E74B5"/>
        </w:pBdr>
      </w:pPr>
      <w:r>
        <w:t>12. Systems of record and collaboration</w:t>
      </w:r>
    </w:p>
    <w:p>
      <w:r>
        <w:t>The operating model uses systems according to purpose. Deterministic workflow should trigger tasks and approvals; AI may assist with content, summaries, and challenge questions but does not become the workflow engine.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4CE"/>
          <w:left w:val="single" w:sz="4" w:space="0" w:color="B8C4CE"/>
          <w:bottom w:val="single" w:sz="4" w:space="0" w:color="B8C4CE"/>
          <w:right w:val="single" w:sz="4" w:space="0" w:color="B8C4CE"/>
          <w:insideH w:val="single" w:sz="4" w:space="0" w:color="B8C4CE"/>
          <w:insideV w:val="single" w:sz="4" w:space="0" w:color="B8C4CE"/>
        </w:tblBorders>
      </w:tblPr>
      <w:tblGrid>
        <w:gridCol w:w="1900"/>
        <w:gridCol w:w="4300"/>
        <w:gridCol w:w="3160"/>
      </w:tblGrid>
      <w:tr>
        <w:trPr>
          <w:tblHeader w:val="true"/>
          <w:cantSplit/>
        </w:trPr>
        <w:tc>
          <w:tcPr>
            <w:tcW w:type="dxa" w:w="19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System / channel</w:t>
            </w:r>
          </w:p>
        </w:tc>
        <w:tc>
          <w:tcPr>
            <w:tcW w:type="dxa" w:w="43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Purpose</w:t>
            </w:r>
          </w:p>
        </w:tc>
        <w:tc>
          <w:tcPr>
            <w:tcW w:type="dxa" w:w="316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Control</w:t>
            </w:r>
          </w:p>
        </w:tc>
      </w:tr>
      <w:tr>
        <w:trPr>
          <w:cantSplit/>
        </w:trPr>
        <w:tc>
          <w:tcPr>
            <w:tcW w:type="dxa" w:w="1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Connected / Salesforce</w:t>
            </w:r>
          </w:p>
        </w:tc>
        <w:tc>
          <w:tcPr>
            <w:tcW w:type="dxa" w:w="4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Authoritative opportunity identity, owner, stage, dates, value, GP, Value Framework, routing, approvals, links, snapshots, outcome summary.</w:t>
            </w:r>
          </w:p>
        </w:tc>
        <w:tc>
          <w:tcPr>
            <w:tcW w:type="dxa" w:w="31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Required source of truth; updates within one business day of a material decision.</w:t>
            </w:r>
          </w:p>
        </w:tc>
      </w:tr>
      <w:tr>
        <w:trPr>
          <w:cantSplit/>
        </w:trPr>
        <w:tc>
          <w:tcPr>
            <w:tcW w:type="dxa" w:w="19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Seismic Workspace</w:t>
            </w:r>
          </w:p>
        </w:tc>
        <w:tc>
          <w:tcPr>
            <w:tcW w:type="dxa" w:w="43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Working Solutioning Checklist, proposal/SOW collaboration, supporting pursuit content.</w:t>
            </w:r>
          </w:p>
        </w:tc>
        <w:tc>
          <w:tcPr>
            <w:tcW w:type="dxa" w:w="31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Use established naming; save required snapshots back to opportunity record.</w:t>
            </w:r>
          </w:p>
        </w:tc>
      </w:tr>
      <w:tr>
        <w:trPr>
          <w:cantSplit/>
        </w:trPr>
        <w:tc>
          <w:tcPr>
            <w:tcW w:type="dxa" w:w="1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Price Sheet / approved estimator</w:t>
            </w:r>
          </w:p>
        </w:tc>
        <w:tc>
          <w:tcPr>
            <w:tcW w:type="dxa" w:w="4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Commercial assumptions, effort, cost, revenue, GP, partner and usage economics.</w:t>
            </w:r>
          </w:p>
        </w:tc>
        <w:tc>
          <w:tcPr>
            <w:tcW w:type="dxa" w:w="31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Must reconcile with opportunity and proposal before Proposing.</w:t>
            </w:r>
          </w:p>
        </w:tc>
      </w:tr>
      <w:tr>
        <w:trPr>
          <w:cantSplit/>
        </w:trPr>
        <w:tc>
          <w:tcPr>
            <w:tcW w:type="dxa" w:w="19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Teams</w:t>
            </w:r>
          </w:p>
        </w:tc>
        <w:tc>
          <w:tcPr>
            <w:tcW w:type="dxa" w:w="43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Working collaboration, triage/s council discussions, meeting notes, rapid questions.</w:t>
            </w:r>
          </w:p>
        </w:tc>
        <w:tc>
          <w:tcPr>
            <w:tcW w:type="dxa" w:w="31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Not the authoritative gate or approval record; link decisions back to the opportunity.</w:t>
            </w:r>
          </w:p>
        </w:tc>
      </w:tr>
      <w:tr>
        <w:trPr>
          <w:cantSplit/>
        </w:trPr>
        <w:tc>
          <w:tcPr>
            <w:tcW w:type="dxa" w:w="1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Approved architecture / document repository</w:t>
            </w:r>
          </w:p>
        </w:tc>
        <w:tc>
          <w:tcPr>
            <w:tcW w:type="dxa" w:w="4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Architecture, data flow, evaluation, risk, transition, and reusable assets.</w:t>
            </w:r>
          </w:p>
        </w:tc>
        <w:tc>
          <w:tcPr>
            <w:tcW w:type="dxa" w:w="31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Link current approved artifact; maintain version and owner.</w:t>
            </w:r>
          </w:p>
        </w:tc>
      </w:tr>
      <w:tr>
        <w:trPr>
          <w:cantSplit/>
        </w:trPr>
        <w:tc>
          <w:tcPr>
            <w:tcW w:type="dxa" w:w="19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Salesforce Flow / Power Automate</w:t>
            </w:r>
          </w:p>
        </w:tc>
        <w:tc>
          <w:tcPr>
            <w:tcW w:type="dxa" w:w="43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Acknowledgements, tasks, reminders, routing queues, approval requests, aging alerts, dashboards.</w:t>
            </w:r>
          </w:p>
        </w:tc>
        <w:tc>
          <w:tcPr>
            <w:tcW w:type="dxa" w:w="31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Deterministic rules and auditable triggers.</w:t>
            </w:r>
          </w:p>
        </w:tc>
      </w:tr>
      <w:tr>
        <w:trPr>
          <w:cantSplit/>
        </w:trPr>
        <w:tc>
          <w:tcPr>
            <w:tcW w:type="dxa" w:w="1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Approved AI assistants</w:t>
            </w:r>
          </w:p>
        </w:tc>
        <w:tc>
          <w:tcPr>
            <w:tcW w:type="dxa" w:w="4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Meeting summary, discovery gaps, checklist completeness, risk prompts, first drafts, comparison, portfolio synthesis.</w:t>
            </w:r>
          </w:p>
        </w:tc>
        <w:tc>
          <w:tcPr>
            <w:tcW w:type="dxa" w:w="31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Minimum-necessary approved data; human review; no autonomous approvals or commitments.</w:t>
            </w:r>
          </w:p>
        </w:tc>
      </w:tr>
    </w:tbl>
    <w:p>
      <w:pPr>
        <w:spacing w:after="0"/>
      </w:pPr>
    </w:p>
    <w:p>
      <w:pPr>
        <w:pStyle w:val="Heading2"/>
      </w:pPr>
      <w:r>
        <w:t>AI-assisted workflow opportunities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4CE"/>
          <w:left w:val="single" w:sz="4" w:space="0" w:color="B8C4CE"/>
          <w:bottom w:val="single" w:sz="4" w:space="0" w:color="B8C4CE"/>
          <w:right w:val="single" w:sz="4" w:space="0" w:color="B8C4CE"/>
          <w:insideH w:val="single" w:sz="4" w:space="0" w:color="B8C4CE"/>
          <w:insideV w:val="single" w:sz="4" w:space="0" w:color="B8C4CE"/>
        </w:tblBorders>
      </w:tblPr>
      <w:tblGrid>
        <w:gridCol w:w="1300"/>
        <w:gridCol w:w="4000"/>
        <w:gridCol w:w="4060"/>
      </w:tblGrid>
      <w:tr>
        <w:trPr>
          <w:tblHeader w:val="true"/>
          <w:cantSplit/>
        </w:trPr>
        <w:tc>
          <w:tcPr>
            <w:tcW w:type="dxa" w:w="13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Moment</w:t>
            </w:r>
          </w:p>
        </w:tc>
        <w:tc>
          <w:tcPr>
            <w:tcW w:type="dxa" w:w="40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AI can assist with</w:t>
            </w:r>
          </w:p>
        </w:tc>
        <w:tc>
          <w:tcPr>
            <w:tcW w:type="dxa" w:w="406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Human remains accountable for</w:t>
            </w:r>
          </w:p>
        </w:tc>
      </w:tr>
      <w:tr>
        <w:trPr>
          <w:cantSplit/>
        </w:trPr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Intake</w:t>
            </w:r>
          </w:p>
        </w:tc>
        <w:tc>
          <w:tcPr>
            <w:tcW w:type="dxa" w:w="40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Normalize notes, identify missing fields, draft acknowledgement.</w:t>
            </w:r>
          </w:p>
        </w:tc>
        <w:tc>
          <w:tcPr>
            <w:tcW w:type="dxa" w:w="40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Completeness decision, customer sensitivity, priority.</w:t>
            </w:r>
          </w:p>
        </w:tc>
      </w:tr>
      <w:tr>
        <w:trPr>
          <w:cantSplit/>
        </w:trPr>
        <w:tc>
          <w:tcPr>
            <w:tcW w:type="dxa" w:w="13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Discovery</w:t>
            </w:r>
          </w:p>
        </w:tc>
        <w:tc>
          <w:tcPr>
            <w:tcW w:type="dxa" w:w="40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Summarize meetings, map evidence to Value Framework, propose follow-up questions.</w:t>
            </w:r>
          </w:p>
        </w:tc>
        <w:tc>
          <w:tcPr>
            <w:tcW w:type="dxa" w:w="40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Interpretation, customer confirmation, qualification decision.</w:t>
            </w:r>
          </w:p>
        </w:tc>
      </w:tr>
      <w:tr>
        <w:trPr>
          <w:cantSplit/>
        </w:trPr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Solutioning</w:t>
            </w:r>
          </w:p>
        </w:tc>
        <w:tc>
          <w:tcPr>
            <w:tcW w:type="dxa" w:w="40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Draft artifact outlines, compare options, identify checklist/risk gaps, estimate sensitivity ranges.</w:t>
            </w:r>
          </w:p>
        </w:tc>
        <w:tc>
          <w:tcPr>
            <w:tcW w:type="dxa" w:w="40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Architecture, estimates, data/risk decisions, approvals.</w:t>
            </w:r>
          </w:p>
        </w:tc>
      </w:tr>
      <w:tr>
        <w:trPr>
          <w:cantSplit/>
        </w:trPr>
        <w:tc>
          <w:tcPr>
            <w:tcW w:type="dxa" w:w="13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Proposal</w:t>
            </w:r>
          </w:p>
        </w:tc>
        <w:tc>
          <w:tcPr>
            <w:tcW w:type="dxa" w:w="40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Check consistency across proposal, checklist, Price Sheet, Value Framework, and risk record.</w:t>
            </w:r>
          </w:p>
        </w:tc>
        <w:tc>
          <w:tcPr>
            <w:tcW w:type="dxa" w:w="40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Claims, price, terms, stage advancement, client delivery.</w:t>
            </w:r>
          </w:p>
        </w:tc>
      </w:tr>
      <w:tr>
        <w:trPr>
          <w:cantSplit/>
        </w:trPr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Transition</w:t>
            </w:r>
          </w:p>
        </w:tc>
        <w:tc>
          <w:tcPr>
            <w:tcW w:type="dxa" w:w="40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Assemble handoff index, summarize commitments and residual items.</w:t>
            </w:r>
          </w:p>
        </w:tc>
        <w:tc>
          <w:tcPr>
            <w:tcW w:type="dxa" w:w="40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Completeness, acceptance, kickoff expectations.</w:t>
            </w:r>
          </w:p>
        </w:tc>
      </w:tr>
      <w:tr>
        <w:trPr>
          <w:cantSplit/>
        </w:trPr>
        <w:tc>
          <w:tcPr>
            <w:tcW w:type="dxa" w:w="13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Portfolio</w:t>
            </w:r>
          </w:p>
        </w:tc>
        <w:tc>
          <w:tcPr>
            <w:tcW w:type="dxa" w:w="40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Generate status digest, stage-aging and reuse suggestions, recurring risk themes.</w:t>
            </w:r>
          </w:p>
        </w:tc>
        <w:tc>
          <w:tcPr>
            <w:tcW w:type="dxa" w:w="40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Prioritization, staffing, escalation, performance action.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pBdr>
          <w:bottom w:val="single" w:sz="8" w:space="6" w:color="2E74B5"/>
        </w:pBdr>
      </w:pPr>
      <w:r>
        <w:t>13. Governance cadence and service levels</w:t>
      </w:r>
    </w:p>
    <w:p>
      <w:r>
        <w:t>Cadence is intentionally light but explicit. Meetings are decision forums; status collection should be automated from the authoritative record wherever possible.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4CE"/>
          <w:left w:val="single" w:sz="4" w:space="0" w:color="B8C4CE"/>
          <w:bottom w:val="single" w:sz="4" w:space="0" w:color="B8C4CE"/>
          <w:right w:val="single" w:sz="4" w:space="0" w:color="B8C4CE"/>
          <w:insideH w:val="single" w:sz="4" w:space="0" w:color="B8C4CE"/>
          <w:insideV w:val="single" w:sz="4" w:space="0" w:color="B8C4CE"/>
        </w:tblBorders>
      </w:tblPr>
      <w:tblGrid>
        <w:gridCol w:w="1500"/>
        <w:gridCol w:w="1100"/>
        <w:gridCol w:w="1550"/>
        <w:gridCol w:w="2900"/>
        <w:gridCol w:w="2310"/>
      </w:tblGrid>
      <w:tr>
        <w:trPr>
          <w:tblHeader w:val="true"/>
          <w:cantSplit/>
        </w:trPr>
        <w:tc>
          <w:tcPr>
            <w:tcW w:type="dxa" w:w="15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Forum</w:t>
            </w:r>
          </w:p>
        </w:tc>
        <w:tc>
          <w:tcPr>
            <w:tcW w:type="dxa" w:w="11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Frequency</w:t>
            </w:r>
          </w:p>
        </w:tc>
        <w:tc>
          <w:tcPr>
            <w:tcW w:type="dxa" w:w="155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Chair</w:t>
            </w:r>
          </w:p>
        </w:tc>
        <w:tc>
          <w:tcPr>
            <w:tcW w:type="dxa" w:w="29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Decisions</w:t>
            </w:r>
          </w:p>
        </w:tc>
        <w:tc>
          <w:tcPr>
            <w:tcW w:type="dxa" w:w="231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Inputs</w:t>
            </w:r>
          </w:p>
        </w:tc>
      </w:tr>
      <w:tr>
        <w:trPr>
          <w:cantSplit/>
        </w:trPr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Async intake watch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Business days</w:t>
            </w:r>
          </w:p>
        </w:tc>
        <w:tc>
          <w:tcPr>
            <w:tcW w:type="dxa" w:w="15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AI Triage Lead / delegate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Acknowledge, flag incomplete or urgent intakes, assign next action.</w:t>
            </w:r>
          </w:p>
        </w:tc>
        <w:tc>
          <w:tcPr>
            <w:tcW w:type="dxa" w:w="231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New requests; aging; missing minimum fields.</w:t>
            </w:r>
          </w:p>
        </w:tc>
      </w:tr>
      <w:tr>
        <w:trPr>
          <w:cantSplit/>
        </w:trPr>
        <w:tc>
          <w:tcPr>
            <w:tcW w:type="dxa" w:w="15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Triage</w:t>
            </w:r>
          </w:p>
        </w:tc>
        <w:tc>
          <w:tcPr>
            <w:tcW w:type="dxa" w:w="11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Twice weekly</w:t>
            </w:r>
          </w:p>
        </w:tc>
        <w:tc>
          <w:tcPr>
            <w:tcW w:type="dxa" w:w="155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AI Triage Lead</w:t>
            </w:r>
          </w:p>
        </w:tc>
        <w:tc>
          <w:tcPr>
            <w:tcW w:type="dxa" w:w="29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Route, prioritize, assign owner, escalate capacity/fit conflicts.</w:t>
            </w:r>
          </w:p>
        </w:tc>
        <w:tc>
          <w:tcPr>
            <w:tcW w:type="dxa" w:w="231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New/changed intakes; route SLA; owner acceptance.</w:t>
            </w:r>
          </w:p>
        </w:tc>
      </w:tr>
      <w:tr>
        <w:trPr>
          <w:cantSplit/>
        </w:trPr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Solution Council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Weekly</w:t>
            </w:r>
          </w:p>
        </w:tc>
        <w:tc>
          <w:tcPr>
            <w:tcW w:type="dxa" w:w="15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SE / Practice Lead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Resolve red/amber issues, approve approach, align resources and proposal gates.</w:t>
            </w:r>
          </w:p>
        </w:tc>
        <w:tc>
          <w:tcPr>
            <w:tcW w:type="dxa" w:w="231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High-value/high-risk pursuits; upcoming proposals; decisions.</w:t>
            </w:r>
          </w:p>
        </w:tc>
      </w:tr>
      <w:tr>
        <w:trPr>
          <w:cantSplit/>
        </w:trPr>
        <w:tc>
          <w:tcPr>
            <w:tcW w:type="dxa" w:w="15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Portfolio Review</w:t>
            </w:r>
          </w:p>
        </w:tc>
        <w:tc>
          <w:tcPr>
            <w:tcW w:type="dxa" w:w="11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Monthly</w:t>
            </w:r>
          </w:p>
        </w:tc>
        <w:tc>
          <w:tcPr>
            <w:tcW w:type="dxa" w:w="155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Shared Practice leader</w:t>
            </w:r>
          </w:p>
        </w:tc>
        <w:tc>
          <w:tcPr>
            <w:tcW w:type="dxa" w:w="29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Review pipeline, conversions, aging, risk, capacity, outcomes, reuse, gaps.</w:t>
            </w:r>
          </w:p>
        </w:tc>
        <w:tc>
          <w:tcPr>
            <w:tcW w:type="dxa" w:w="231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Owned/influenced/routed pipeline and delivery evidence.</w:t>
            </w:r>
          </w:p>
        </w:tc>
      </w:tr>
      <w:tr>
        <w:trPr>
          <w:cantSplit/>
        </w:trPr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Operating-model review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Quarterly</w:t>
            </w:r>
          </w:p>
        </w:tc>
        <w:tc>
          <w:tcPr>
            <w:tcW w:type="dxa" w:w="15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Executive sponsor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Approve policy, field, routing, SLA, governance, capability, and automation changes.</w:t>
            </w:r>
          </w:p>
        </w:tc>
        <w:tc>
          <w:tcPr>
            <w:tcW w:type="dxa" w:w="231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Trend evidence; audit exceptions; feedback; capacity.</w:t>
            </w:r>
          </w:p>
        </w:tc>
      </w:tr>
    </w:tbl>
    <w:p>
      <w:pPr>
        <w:spacing w:after="0"/>
      </w:pPr>
    </w:p>
    <w:p>
      <w:pPr>
        <w:pStyle w:val="Heading2"/>
      </w:pPr>
      <w:r>
        <w:t>Pilot service-level targets</w:t>
      </w:r>
    </w:p>
    <w:p>
      <w:pPr>
        <w:pStyle w:val="ListBullet"/>
      </w:pPr>
      <w:r>
        <w:t>Acknowledge a complete or incomplete intake within 1 business day.</w:t>
      </w:r>
    </w:p>
    <w:p>
      <w:pPr>
        <w:pStyle w:val="ListBullet"/>
      </w:pPr>
      <w:r>
        <w:t>Route at least 90% of complete intakes within 3 business days.</w:t>
      </w:r>
    </w:p>
    <w:p>
      <w:pPr>
        <w:pStyle w:val="ListBullet"/>
      </w:pPr>
      <w:r>
        <w:t>Record 100% of routing and gate decisions with named owner, date, and rationale.</w:t>
      </w:r>
    </w:p>
    <w:p>
      <w:pPr>
        <w:pStyle w:val="ListBullet"/>
      </w:pPr>
      <w:r>
        <w:t>Update opportunity hygiene within 1 business day of a material decision.</w:t>
      </w:r>
    </w:p>
    <w:p>
      <w:pPr>
        <w:pStyle w:val="ListBullet"/>
      </w:pPr>
      <w:r>
        <w:t>Do not exit a HANDOFF or Won transition until receiving-owner acceptance is recorded.</w:t>
      </w:r>
    </w:p>
    <w:p>
      <w:r>
        <w:br w:type="page"/>
      </w:r>
    </w:p>
    <w:p>
      <w:pPr>
        <w:pStyle w:val="Heading1"/>
        <w:pBdr>
          <w:bottom w:val="single" w:sz="8" w:space="6" w:color="2E74B5"/>
        </w:pBdr>
      </w:pPr>
      <w:r>
        <w:t>14. Measures and management views</w:t>
      </w:r>
    </w:p>
    <w:p>
      <w:r>
        <w:t>Metrics should reveal flow, quality, value, and learning—not reward premature stage advancement or inflated pipeline.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4CE"/>
          <w:left w:val="single" w:sz="4" w:space="0" w:color="B8C4CE"/>
          <w:bottom w:val="single" w:sz="4" w:space="0" w:color="B8C4CE"/>
          <w:right w:val="single" w:sz="4" w:space="0" w:color="B8C4CE"/>
          <w:insideH w:val="single" w:sz="4" w:space="0" w:color="B8C4CE"/>
          <w:insideV w:val="single" w:sz="4" w:space="0" w:color="B8C4CE"/>
        </w:tblBorders>
      </w:tblPr>
      <w:tblGrid>
        <w:gridCol w:w="1350"/>
        <w:gridCol w:w="4650"/>
        <w:gridCol w:w="1200"/>
        <w:gridCol w:w="2160"/>
      </w:tblGrid>
      <w:tr>
        <w:trPr>
          <w:tblHeader w:val="true"/>
          <w:cantSplit/>
        </w:trPr>
        <w:tc>
          <w:tcPr>
            <w:tcW w:type="dxa" w:w="135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Dimension</w:t>
            </w:r>
          </w:p>
        </w:tc>
        <w:tc>
          <w:tcPr>
            <w:tcW w:type="dxa" w:w="465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Measures</w:t>
            </w:r>
          </w:p>
        </w:tc>
        <w:tc>
          <w:tcPr>
            <w:tcW w:type="dxa" w:w="12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Cadence</w:t>
            </w:r>
          </w:p>
        </w:tc>
        <w:tc>
          <w:tcPr>
            <w:tcW w:type="dxa" w:w="216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Management use</w:t>
            </w:r>
          </w:p>
        </w:tc>
      </w:tr>
      <w:tr>
        <w:trPr>
          <w:cantSplit/>
        </w:trPr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Flow</w:t>
            </w:r>
          </w:p>
        </w:tc>
        <w:tc>
          <w:tcPr>
            <w:tcW w:type="dxa" w:w="46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Intake volume; acknowledgement time; routing time; stage age; time to proposal gate; time to handoff acceptance.</w:t>
            </w:r>
          </w:p>
        </w:tc>
        <w:tc>
          <w:tcPr>
            <w:tcW w:type="dxa" w:w="12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Weekly / monthly</w:t>
            </w:r>
          </w:p>
        </w:tc>
        <w:tc>
          <w:tcPr>
            <w:tcW w:type="dxa" w:w="21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Identify bottlenecks and capacity needs.</w:t>
            </w:r>
          </w:p>
        </w:tc>
      </w:tr>
      <w:tr>
        <w:trPr>
          <w:cantSplit/>
        </w:trPr>
        <w:tc>
          <w:tcPr>
            <w:tcW w:type="dxa" w:w="135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Pipeline</w:t>
            </w:r>
          </w:p>
        </w:tc>
        <w:tc>
          <w:tcPr>
            <w:tcW w:type="dxa" w:w="465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Owned, co-solutioned, consulted, and handed-off pipeline; BUILD/GOVERN/OPERATE mix; revenue, GP, probability, close timing.</w:t>
            </w:r>
          </w:p>
        </w:tc>
        <w:tc>
          <w:tcPr>
            <w:tcW w:type="dxa" w:w="12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Monthly</w:t>
            </w:r>
          </w:p>
        </w:tc>
        <w:tc>
          <w:tcPr>
            <w:tcW w:type="dxa" w:w="21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Portfolio focus and forecast transparency.</w:t>
            </w:r>
          </w:p>
        </w:tc>
      </w:tr>
      <w:tr>
        <w:trPr>
          <w:cantSplit/>
        </w:trPr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Quality</w:t>
            </w:r>
          </w:p>
        </w:tc>
        <w:tc>
          <w:tcPr>
            <w:tcW w:type="dxa" w:w="46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Minimum-field completeness; gate first-pass rate; red/amber aging; estimate-to-actual; proposal rework; checklist compliance.</w:t>
            </w:r>
          </w:p>
        </w:tc>
        <w:tc>
          <w:tcPr>
            <w:tcW w:type="dxa" w:w="12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Monthly</w:t>
            </w:r>
          </w:p>
        </w:tc>
        <w:tc>
          <w:tcPr>
            <w:tcW w:type="dxa" w:w="21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Improve evidence and solution discipline.</w:t>
            </w:r>
          </w:p>
        </w:tc>
      </w:tr>
      <w:tr>
        <w:trPr>
          <w:cantSplit/>
        </w:trPr>
        <w:tc>
          <w:tcPr>
            <w:tcW w:type="dxa" w:w="135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Conversion</w:t>
            </w:r>
          </w:p>
        </w:tc>
        <w:tc>
          <w:tcPr>
            <w:tcW w:type="dxa" w:w="465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Qualified-to-solutioning, solutioning-to-proposing, win rate, loss/decline reasons, cycle time.</w:t>
            </w:r>
          </w:p>
        </w:tc>
        <w:tc>
          <w:tcPr>
            <w:tcW w:type="dxa" w:w="12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Monthly / quarterly</w:t>
            </w:r>
          </w:p>
        </w:tc>
        <w:tc>
          <w:tcPr>
            <w:tcW w:type="dxa" w:w="21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Improve qualification and offer fit.</w:t>
            </w:r>
          </w:p>
        </w:tc>
      </w:tr>
      <w:tr>
        <w:trPr>
          <w:cantSplit/>
        </w:trPr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Risk &amp; control</w:t>
            </w:r>
          </w:p>
        </w:tc>
        <w:tc>
          <w:tcPr>
            <w:tcW w:type="dxa" w:w="46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Required approvals present; exceptions; data/security/privacy/IP issues; incidents; model changes and re-tests.</w:t>
            </w:r>
          </w:p>
        </w:tc>
        <w:tc>
          <w:tcPr>
            <w:tcW w:type="dxa" w:w="12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Monthly</w:t>
            </w:r>
          </w:p>
        </w:tc>
        <w:tc>
          <w:tcPr>
            <w:tcW w:type="dxa" w:w="21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Demonstrate traceability and reduce surprises.</w:t>
            </w:r>
          </w:p>
        </w:tc>
      </w:tr>
      <w:tr>
        <w:trPr>
          <w:cantSplit/>
        </w:trPr>
        <w:tc>
          <w:tcPr>
            <w:tcW w:type="dxa" w:w="135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Value</w:t>
            </w:r>
          </w:p>
        </w:tc>
        <w:tc>
          <w:tcPr>
            <w:tcW w:type="dxa" w:w="465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OMTM baseline/target coverage; acceptance pass rate; realized value; customer confirmation; renewal/expansion signal.</w:t>
            </w:r>
          </w:p>
        </w:tc>
        <w:tc>
          <w:tcPr>
            <w:tcW w:type="dxa" w:w="12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Monthly / quarterly</w:t>
            </w:r>
          </w:p>
        </w:tc>
        <w:tc>
          <w:tcPr>
            <w:tcW w:type="dxa" w:w="21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Connect pipeline to customer outcomes.</w:t>
            </w:r>
          </w:p>
        </w:tc>
      </w:tr>
      <w:tr>
        <w:trPr>
          <w:cantSplit/>
        </w:trPr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Reuse &amp; capability</w:t>
            </w:r>
          </w:p>
        </w:tc>
        <w:tc>
          <w:tcPr>
            <w:tcW w:type="dxa" w:w="46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Reusable assets created/used; partner leverage; accelerator adoption; skill/capacity gaps.</w:t>
            </w:r>
          </w:p>
        </w:tc>
        <w:tc>
          <w:tcPr>
            <w:tcW w:type="dxa" w:w="12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Quarterly</w:t>
            </w:r>
          </w:p>
        </w:tc>
        <w:tc>
          <w:tcPr>
            <w:tcW w:type="dxa" w:w="21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Scale what works and direct enablement investment.</w:t>
            </w:r>
          </w:p>
        </w:tc>
      </w:tr>
    </w:tbl>
    <w:p>
      <w:pPr>
        <w:spacing w:after="0"/>
      </w:pPr>
    </w:p>
    <w:p>
      <w:pPr>
        <w:shd w:fill="E8EEF5"/>
        <w:pBdr>
          <w:left w:val="single" w:sz="22" w:space="8" w:color="2E74B5"/>
        </w:pBdr>
        <w:spacing w:before="120" w:after="120"/>
        <w:keepLines/>
      </w:pPr>
      <w:r>
        <w:rPr>
          <w:b/>
          <w:color w:val="2E74B5"/>
        </w:rPr>
        <w:t xml:space="preserve">Minimum dashboard  </w:t>
      </w:r>
      <w:r>
        <w:t>Show new intake, routing SLA, active pipeline by route and pattern, stage aging, upcoming proposal gates, red/amber issues, capacity, win/loss, handoff status, outcome measurement, and reusable assets.</w:t>
      </w:r>
    </w:p>
    <w:p>
      <w:r>
        <w:br w:type="page"/>
      </w:r>
    </w:p>
    <w:p>
      <w:pPr>
        <w:pStyle w:val="Heading1"/>
        <w:pBdr>
          <w:bottom w:val="single" w:sz="8" w:space="6" w:color="2E74B5"/>
        </w:pBdr>
      </w:pPr>
      <w:r>
        <w:t>15. Ninety-day implementation roadmap</w:t>
      </w:r>
    </w:p>
    <w:p>
      <w:r>
        <w:t>The rollout starts with process, fields, ownership, and evidence. Automation follows only after decision rights and source-of-truth rules are stable.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4CE"/>
          <w:left w:val="single" w:sz="4" w:space="0" w:color="B8C4CE"/>
          <w:bottom w:val="single" w:sz="4" w:space="0" w:color="B8C4CE"/>
          <w:right w:val="single" w:sz="4" w:space="0" w:color="B8C4CE"/>
          <w:insideH w:val="single" w:sz="4" w:space="0" w:color="B8C4CE"/>
          <w:insideV w:val="single" w:sz="4" w:space="0" w:color="B8C4CE"/>
        </w:tblBorders>
      </w:tblPr>
      <w:tblGrid>
        <w:gridCol w:w="1300"/>
        <w:gridCol w:w="1100"/>
        <w:gridCol w:w="4560"/>
        <w:gridCol w:w="2400"/>
      </w:tblGrid>
      <w:tr>
        <w:trPr>
          <w:tblHeader w:val="true"/>
          <w:cantSplit/>
        </w:trPr>
        <w:tc>
          <w:tcPr>
            <w:tcW w:type="dxa" w:w="13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Phase</w:t>
            </w:r>
          </w:p>
        </w:tc>
        <w:tc>
          <w:tcPr>
            <w:tcW w:type="dxa" w:w="11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Timing</w:t>
            </w:r>
          </w:p>
        </w:tc>
        <w:tc>
          <w:tcPr>
            <w:tcW w:type="dxa" w:w="456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Actions</w:t>
            </w:r>
          </w:p>
        </w:tc>
        <w:tc>
          <w:tcPr>
            <w:tcW w:type="dxa" w:w="24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Exit evidence</w:t>
            </w:r>
          </w:p>
        </w:tc>
      </w:tr>
      <w:tr>
        <w:trPr>
          <w:cantSplit/>
        </w:trPr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0. Align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Weeks 1–2</w:t>
            </w:r>
          </w:p>
        </w:tc>
        <w:tc>
          <w:tcPr>
            <w:tcW w:type="dxa" w:w="45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Approve scope, routes, field minimums, risk triggers, RACI, SLAs, system ownership, and pilot accounts.</w:t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Leadership-approved operating decisions and pilot roster.</w:t>
            </w:r>
          </w:p>
        </w:tc>
      </w:tr>
      <w:tr>
        <w:trPr>
          <w:cantSplit/>
        </w:trPr>
        <w:tc>
          <w:tcPr>
            <w:tcW w:type="dxa" w:w="13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1. MVP</w:t>
            </w:r>
          </w:p>
        </w:tc>
        <w:tc>
          <w:tcPr>
            <w:tcW w:type="dxa" w:w="11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Days 1–30</w:t>
            </w:r>
          </w:p>
        </w:tc>
        <w:tc>
          <w:tcPr>
            <w:tcW w:type="dxa" w:w="45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Configure intake and routing record; publish templates; stand up Teams channels and triage; train SE/Sales/Practice/Delivery; baseline measures.</w:t>
            </w:r>
          </w:p>
        </w:tc>
        <w:tc>
          <w:tcPr>
            <w:tcW w:type="dxa" w:w="24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One front door, named owners, live cadence, manual evidence-based gates.</w:t>
            </w:r>
          </w:p>
        </w:tc>
      </w:tr>
      <w:tr>
        <w:trPr>
          <w:cantSplit/>
        </w:trPr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2. Automate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Days 31–60</w:t>
            </w:r>
          </w:p>
        </w:tc>
        <w:tc>
          <w:tcPr>
            <w:tcW w:type="dxa" w:w="45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Add acknowledgements, tasks, SLA/aging alerts, approval workflow, consistency checks, and approved AI-assisted summaries/gap prompts.</w:t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Auditable workflow and reduced administrative effort.</w:t>
            </w:r>
          </w:p>
        </w:tc>
      </w:tr>
      <w:tr>
        <w:trPr>
          <w:cantSplit/>
        </w:trPr>
        <w:tc>
          <w:tcPr>
            <w:tcW w:type="dxa" w:w="13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3. Measure &amp; reuse</w:t>
            </w:r>
          </w:p>
        </w:tc>
        <w:tc>
          <w:tcPr>
            <w:tcW w:type="dxa" w:w="11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Days 61–90</w:t>
            </w:r>
          </w:p>
        </w:tc>
        <w:tc>
          <w:tcPr>
            <w:tcW w:type="dxa" w:w="45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Launch dashboards, outcome record, reuse taxonomy, closed-loop retrospectives, and policy/control review.</w:t>
            </w:r>
          </w:p>
        </w:tc>
        <w:tc>
          <w:tcPr>
            <w:tcW w:type="dxa" w:w="24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Portfolio transparency and first continuous-improvement backlog.</w:t>
            </w:r>
          </w:p>
        </w:tc>
      </w:tr>
      <w:tr>
        <w:trPr>
          <w:cantSplit/>
        </w:trPr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4. Scale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Quarterly</w:t>
            </w:r>
          </w:p>
        </w:tc>
        <w:tc>
          <w:tcPr>
            <w:tcW w:type="dxa" w:w="45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Tune fields and SLAs; expand integrations; improve estimators/evaluation assets; address capability and partner gaps.</w:t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Versioned operating model with governed changes.</w:t>
            </w:r>
          </w:p>
        </w:tc>
      </w:tr>
    </w:tbl>
    <w:p>
      <w:pPr>
        <w:spacing w:after="0"/>
      </w:pPr>
    </w:p>
    <w:p>
      <w:pPr>
        <w:pStyle w:val="Heading2"/>
      </w:pPr>
      <w:r>
        <w:t>Pilot acceptance criteria</w:t>
      </w:r>
    </w:p>
    <w:p>
      <w:pPr>
        <w:pStyle w:val="ListBullet"/>
      </w:pPr>
      <w:r>
        <w:t>At least 10 representative opportunities have used the intake and routing process.</w:t>
      </w:r>
    </w:p>
    <w:p>
      <w:pPr>
        <w:pStyle w:val="ListBullet"/>
      </w:pPr>
      <w:r>
        <w:t>At least 90% of complete intakes meet the routing SLA and 100% have a decision record.</w:t>
      </w:r>
    </w:p>
    <w:p>
      <w:pPr>
        <w:pStyle w:val="ListBullet"/>
      </w:pPr>
      <w:r>
        <w:t>Every proposal-bound AI opportunity has the required checklist snapshot, AI overlay, and human approvals.</w:t>
      </w:r>
    </w:p>
    <w:p>
      <w:pPr>
        <w:pStyle w:val="ListBullet"/>
      </w:pPr>
      <w:r>
        <w:t>Every pilot Closed-Won opportunity has an accepted handoff and defined OMTM measurement plan.</w:t>
      </w:r>
    </w:p>
    <w:p>
      <w:pPr>
        <w:pStyle w:val="ListBullet"/>
      </w:pPr>
      <w:r>
        <w:t>Users can identify the authoritative record, current owner, next decision, red/amber items, and evidence links without searching chat history.</w:t>
      </w:r>
    </w:p>
    <w:p>
      <w:r>
        <w:br w:type="page"/>
      </w:r>
    </w:p>
    <w:p>
      <w:pPr>
        <w:pStyle w:val="Heading1"/>
        <w:pBdr>
          <w:bottom w:val="single" w:sz="8" w:space="6" w:color="2E74B5"/>
        </w:pBdr>
      </w:pPr>
      <w:r>
        <w:t>Appendix A. Copy-ready Deal Brief</w:t>
      </w:r>
    </w:p>
    <w:p>
      <w:r>
        <w:t>This form can be implemented as a Salesforce screen flow, controlled form, or opportunity section. The labels are intentionally plain-language.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4CE"/>
          <w:left w:val="single" w:sz="4" w:space="0" w:color="B8C4CE"/>
          <w:bottom w:val="single" w:sz="4" w:space="0" w:color="B8C4CE"/>
          <w:right w:val="single" w:sz="4" w:space="0" w:color="B8C4CE"/>
          <w:insideH w:val="single" w:sz="4" w:space="0" w:color="B8C4CE"/>
          <w:insideV w:val="single" w:sz="4" w:space="0" w:color="B8C4CE"/>
        </w:tblBorders>
      </w:tblPr>
      <w:tblGrid>
        <w:gridCol w:w="3600"/>
        <w:gridCol w:w="5760"/>
      </w:tblGrid>
      <w:tr>
        <w:trPr>
          <w:tblHeader w:val="true"/>
          <w:cantSplit/>
        </w:trPr>
        <w:tc>
          <w:tcPr>
            <w:tcW w:type="dxa" w:w="36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Deal Brief field</w:t>
            </w:r>
          </w:p>
        </w:tc>
        <w:tc>
          <w:tcPr>
            <w:tcW w:type="dxa" w:w="576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Entry</w:t>
            </w:r>
          </w:p>
        </w:tc>
      </w:tr>
      <w:tr>
        <w:trPr>
          <w:cantSplit/>
        </w:trPr>
        <w:tc>
          <w:tcPr>
            <w:tcW w:type="dxa" w:w="3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Account / client</w:t>
            </w:r>
          </w:p>
        </w:tc>
        <w:tc>
          <w:tcPr>
            <w:tcW w:type="dxa" w:w="57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36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Opportunity name and Connected link/ID</w:t>
            </w:r>
          </w:p>
        </w:tc>
        <w:tc>
          <w:tcPr>
            <w:tcW w:type="dxa" w:w="57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3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Requestor / Sales owner / SE</w:t>
            </w:r>
          </w:p>
        </w:tc>
        <w:tc>
          <w:tcPr>
            <w:tcW w:type="dxa" w:w="57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36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Customer sponsor / champion</w:t>
            </w:r>
          </w:p>
        </w:tc>
        <w:tc>
          <w:tcPr>
            <w:tcW w:type="dxa" w:w="57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3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Date received / source / next customer event</w:t>
            </w:r>
          </w:p>
        </w:tc>
        <w:tc>
          <w:tcPr>
            <w:tcW w:type="dxa" w:w="57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36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Business problem and affected workflow/users</w:t>
            </w:r>
          </w:p>
        </w:tc>
        <w:tc>
          <w:tcPr>
            <w:tcW w:type="dxa" w:w="57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3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Desired outcome / OMTM / baseline / target</w:t>
            </w:r>
          </w:p>
        </w:tc>
        <w:tc>
          <w:tcPr>
            <w:tcW w:type="dxa" w:w="57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36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AI use case and desired Shared Practice support</w:t>
            </w:r>
          </w:p>
        </w:tc>
        <w:tc>
          <w:tcPr>
            <w:tcW w:type="dxa" w:w="57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3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Known model, provider, platform, partner, or funding</w:t>
            </w:r>
          </w:p>
        </w:tc>
        <w:tc>
          <w:tcPr>
            <w:tcW w:type="dxa" w:w="57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36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Stage / target decision / target start / rough value</w:t>
            </w:r>
          </w:p>
        </w:tc>
        <w:tc>
          <w:tcPr>
            <w:tcW w:type="dxa" w:w="57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3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Data, autonomy, customer-facing, regulated, IP, or vendor risk flags</w:t>
            </w:r>
          </w:p>
        </w:tc>
        <w:tc>
          <w:tcPr>
            <w:tcW w:type="dxa" w:w="57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36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Attachments / links</w:t>
            </w:r>
          </w:p>
        </w:tc>
        <w:tc>
          <w:tcPr>
            <w:tcW w:type="dxa" w:w="57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3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Triage route and rationale</w:t>
            </w:r>
          </w:p>
        </w:tc>
        <w:tc>
          <w:tcPr>
            <w:tcW w:type="dxa" w:w="57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36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BUILD / GOVERN / OPERATE</w:t>
            </w:r>
          </w:p>
        </w:tc>
        <w:tc>
          <w:tcPr>
            <w:tcW w:type="dxa" w:w="57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3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Accepted owner / date / next action / due date</w:t>
            </w:r>
          </w:p>
        </w:tc>
        <w:tc>
          <w:tcPr>
            <w:tcW w:type="dxa" w:w="57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pBdr>
          <w:bottom w:val="single" w:sz="8" w:space="6" w:color="2E74B5"/>
        </w:pBdr>
      </w:pPr>
      <w:r>
        <w:t>Appendix B. Decision and change log</w:t>
      </w:r>
    </w:p>
    <w:p>
      <w:r>
        <w:t>Use for route decisions, scope changes, architecture choices, risk acceptance, pricing exceptions, and negotiation commitments.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4CE"/>
          <w:left w:val="single" w:sz="4" w:space="0" w:color="B8C4CE"/>
          <w:bottom w:val="single" w:sz="4" w:space="0" w:color="B8C4CE"/>
          <w:right w:val="single" w:sz="4" w:space="0" w:color="B8C4CE"/>
          <w:insideH w:val="single" w:sz="4" w:space="0" w:color="B8C4CE"/>
          <w:insideV w:val="single" w:sz="4" w:space="0" w:color="B8C4CE"/>
        </w:tblBorders>
      </w:tblPr>
      <w:tblGrid>
        <w:gridCol w:w="850"/>
        <w:gridCol w:w="1750"/>
        <w:gridCol w:w="1950"/>
        <w:gridCol w:w="1350"/>
        <w:gridCol w:w="900"/>
        <w:gridCol w:w="900"/>
        <w:gridCol w:w="1660"/>
      </w:tblGrid>
      <w:tr>
        <w:trPr>
          <w:tblHeader w:val="true"/>
          <w:cantSplit/>
        </w:trPr>
        <w:tc>
          <w:tcPr>
            <w:tcW w:type="dxa" w:w="85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5"/>
              </w:rPr>
              <w:t>Date</w:t>
            </w:r>
          </w:p>
        </w:tc>
        <w:tc>
          <w:tcPr>
            <w:tcW w:type="dxa" w:w="175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5"/>
              </w:rPr>
              <w:t>Decision / change</w:t>
            </w:r>
          </w:p>
        </w:tc>
        <w:tc>
          <w:tcPr>
            <w:tcW w:type="dxa" w:w="195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5"/>
              </w:rPr>
              <w:t>Alternatives &amp; rationale</w:t>
            </w:r>
          </w:p>
        </w:tc>
        <w:tc>
          <w:tcPr>
            <w:tcW w:type="dxa" w:w="135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5"/>
              </w:rPr>
              <w:t>Impact</w:t>
            </w:r>
          </w:p>
        </w:tc>
        <w:tc>
          <w:tcPr>
            <w:tcW w:type="dxa" w:w="9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5"/>
              </w:rPr>
              <w:t>Owner</w:t>
            </w:r>
          </w:p>
        </w:tc>
        <w:tc>
          <w:tcPr>
            <w:tcW w:type="dxa" w:w="9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5"/>
              </w:rPr>
              <w:t>Approver</w:t>
            </w:r>
          </w:p>
        </w:tc>
        <w:tc>
          <w:tcPr>
            <w:tcW w:type="dxa" w:w="166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5"/>
              </w:rPr>
              <w:t>Evidence / revisit trigger</w:t>
            </w:r>
          </w:p>
        </w:tc>
      </w:tr>
      <w:tr>
        <w:trPr>
          <w:cantSplit/>
        </w:trPr>
        <w:tc>
          <w:tcPr>
            <w:tcW w:type="dxa" w:w="8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9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</w:tr>
      <w:tr>
        <w:trPr>
          <w:cantSplit/>
        </w:trPr>
        <w:tc>
          <w:tcPr>
            <w:tcW w:type="dxa" w:w="85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75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95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35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9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9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6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</w:tr>
      <w:tr>
        <w:trPr>
          <w:cantSplit/>
        </w:trPr>
        <w:tc>
          <w:tcPr>
            <w:tcW w:type="dxa" w:w="8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9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</w:tr>
      <w:tr>
        <w:trPr>
          <w:cantSplit/>
        </w:trPr>
        <w:tc>
          <w:tcPr>
            <w:tcW w:type="dxa" w:w="85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75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95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35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9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9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6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</w:tr>
      <w:tr>
        <w:trPr>
          <w:cantSplit/>
        </w:trPr>
        <w:tc>
          <w:tcPr>
            <w:tcW w:type="dxa" w:w="8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9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</w:tr>
      <w:tr>
        <w:trPr>
          <w:cantSplit/>
        </w:trPr>
        <w:tc>
          <w:tcPr>
            <w:tcW w:type="dxa" w:w="85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75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95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35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9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9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6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</w:tr>
      <w:tr>
        <w:trPr>
          <w:cantSplit/>
        </w:trPr>
        <w:tc>
          <w:tcPr>
            <w:tcW w:type="dxa" w:w="8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9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</w:tr>
      <w:tr>
        <w:trPr>
          <w:cantSplit/>
        </w:trPr>
        <w:tc>
          <w:tcPr>
            <w:tcW w:type="dxa" w:w="85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75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95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35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9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9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6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</w:tr>
    </w:tbl>
    <w:p>
      <w:pPr>
        <w:spacing w:after="0"/>
      </w:pPr>
    </w:p>
    <w:p>
      <w:pPr>
        <w:pStyle w:val="Heading2"/>
      </w:pPr>
      <w:r>
        <w:t>Standard impact categories</w:t>
      </w:r>
    </w:p>
    <w:p>
      <w:pPr>
        <w:pStyle w:val="ListBullet"/>
      </w:pPr>
      <w:r>
        <w:t>Customer value / OMTM</w:t>
      </w:r>
    </w:p>
    <w:p>
      <w:pPr>
        <w:pStyle w:val="ListBullet"/>
      </w:pPr>
      <w:r>
        <w:t>Scope and acceptance</w:t>
      </w:r>
    </w:p>
    <w:p>
      <w:pPr>
        <w:pStyle w:val="ListBullet"/>
      </w:pPr>
      <w:r>
        <w:t>Architecture, model, data, security, privacy, IP, or responsible AI</w:t>
      </w:r>
    </w:p>
    <w:p>
      <w:pPr>
        <w:pStyle w:val="ListBullet"/>
      </w:pPr>
      <w:r>
        <w:t>Delivery, staffing, schedule, and transition</w:t>
      </w:r>
    </w:p>
    <w:p>
      <w:pPr>
        <w:pStyle w:val="ListBullet"/>
      </w:pPr>
      <w:r>
        <w:t>Price, revenue, GP, partner funding, usage cost, or commercial terms</w:t>
      </w:r>
    </w:p>
    <w:p>
      <w:r>
        <w:br w:type="page"/>
      </w:r>
    </w:p>
    <w:p>
      <w:pPr>
        <w:pStyle w:val="Heading1"/>
        <w:pBdr>
          <w:bottom w:val="single" w:sz="8" w:space="6" w:color="2E74B5"/>
        </w:pBdr>
      </w:pPr>
      <w:r>
        <w:t>Appendix C. Triage agenda and decision record</w:t>
      </w:r>
    </w:p>
    <w:p>
      <w:r>
        <w:t>The triage forum should spend time making decisions, not collecting status.</w:t>
      </w:r>
    </w:p>
    <w:p>
      <w:pPr>
        <w:pStyle w:val="Heading2"/>
      </w:pPr>
      <w:r>
        <w:t>Standard agenda</w:t>
      </w:r>
    </w:p>
    <w:p>
      <w:pPr>
        <w:pStyle w:val="ListNumber"/>
      </w:pPr>
      <w:r>
        <w:t>Urgent or SLA-at-risk requests.</w:t>
      </w:r>
    </w:p>
    <w:p>
      <w:pPr>
        <w:pStyle w:val="ListNumber"/>
      </w:pPr>
      <w:r>
        <w:t>New complete intakes: fit, materiality, route, pattern, priority, owner, next decision.</w:t>
      </w:r>
    </w:p>
    <w:p>
      <w:pPr>
        <w:pStyle w:val="ListNumber"/>
      </w:pPr>
      <w:r>
        <w:t>Incomplete intakes: targeted information request and owner/date.</w:t>
      </w:r>
    </w:p>
    <w:p>
      <w:pPr>
        <w:pStyle w:val="ListNumber"/>
      </w:pPr>
      <w:r>
        <w:t>Changed opportunities requiring re-route or escalation.</w:t>
      </w:r>
    </w:p>
    <w:p>
      <w:pPr>
        <w:pStyle w:val="ListNumber"/>
      </w:pPr>
      <w:r>
        <w:t>Capacity, conflict, policy, partner, or risk exceptions.</w:t>
      </w:r>
    </w:p>
    <w:p>
      <w:pPr>
        <w:pStyle w:val="ListNumber"/>
      </w:pPr>
      <w:r>
        <w:t>Confirm decisions are written back to the authoritative record.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4CE"/>
          <w:left w:val="single" w:sz="4" w:space="0" w:color="B8C4CE"/>
          <w:bottom w:val="single" w:sz="4" w:space="0" w:color="B8C4CE"/>
          <w:right w:val="single" w:sz="4" w:space="0" w:color="B8C4CE"/>
          <w:insideH w:val="single" w:sz="4" w:space="0" w:color="B8C4CE"/>
          <w:insideV w:val="single" w:sz="4" w:space="0" w:color="B8C4CE"/>
        </w:tblBorders>
      </w:tblPr>
      <w:tblGrid>
        <w:gridCol w:w="1600"/>
        <w:gridCol w:w="1700"/>
        <w:gridCol w:w="950"/>
        <w:gridCol w:w="900"/>
        <w:gridCol w:w="800"/>
        <w:gridCol w:w="1500"/>
        <w:gridCol w:w="1910"/>
      </w:tblGrid>
      <w:tr>
        <w:trPr>
          <w:tblHeader w:val="true"/>
          <w:cantSplit/>
        </w:trPr>
        <w:tc>
          <w:tcPr>
            <w:tcW w:type="dxa" w:w="16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5"/>
              </w:rPr>
              <w:t>Opportunity</w:t>
            </w:r>
          </w:p>
        </w:tc>
        <w:tc>
          <w:tcPr>
            <w:tcW w:type="dxa" w:w="17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5"/>
              </w:rPr>
              <w:t>Fit / materiality</w:t>
            </w:r>
          </w:p>
        </w:tc>
        <w:tc>
          <w:tcPr>
            <w:tcW w:type="dxa" w:w="95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5"/>
              </w:rPr>
              <w:t>Route</w:t>
            </w:r>
          </w:p>
        </w:tc>
        <w:tc>
          <w:tcPr>
            <w:tcW w:type="dxa" w:w="9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5"/>
              </w:rPr>
              <w:t>Pattern</w:t>
            </w:r>
          </w:p>
        </w:tc>
        <w:tc>
          <w:tcPr>
            <w:tcW w:type="dxa" w:w="8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5"/>
              </w:rPr>
              <w:t>Priority</w:t>
            </w:r>
          </w:p>
        </w:tc>
        <w:tc>
          <w:tcPr>
            <w:tcW w:type="dxa" w:w="15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5"/>
              </w:rPr>
              <w:t>Owner acceptance</w:t>
            </w:r>
          </w:p>
        </w:tc>
        <w:tc>
          <w:tcPr>
            <w:tcW w:type="dxa" w:w="191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5"/>
              </w:rPr>
              <w:t>Next action / date</w:t>
            </w:r>
          </w:p>
        </w:tc>
      </w:tr>
      <w:tr>
        <w:trPr>
          <w:cantSplit/>
        </w:trPr>
        <w:tc>
          <w:tcPr>
            <w:tcW w:type="dxa" w:w="1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9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91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</w:tr>
      <w:tr>
        <w:trPr>
          <w:cantSplit/>
        </w:trPr>
        <w:tc>
          <w:tcPr>
            <w:tcW w:type="dxa" w:w="16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7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95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9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8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5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91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</w:tr>
      <w:tr>
        <w:trPr>
          <w:cantSplit/>
        </w:trPr>
        <w:tc>
          <w:tcPr>
            <w:tcW w:type="dxa" w:w="1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9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91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</w:tr>
      <w:tr>
        <w:trPr>
          <w:cantSplit/>
        </w:trPr>
        <w:tc>
          <w:tcPr>
            <w:tcW w:type="dxa" w:w="16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7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95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9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8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5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91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</w:tr>
      <w:tr>
        <w:trPr>
          <w:cantSplit/>
        </w:trPr>
        <w:tc>
          <w:tcPr>
            <w:tcW w:type="dxa" w:w="1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9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91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</w:tr>
      <w:tr>
        <w:trPr>
          <w:cantSplit/>
        </w:trPr>
        <w:tc>
          <w:tcPr>
            <w:tcW w:type="dxa" w:w="16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7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95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9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8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5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91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</w:tr>
      <w:tr>
        <w:trPr>
          <w:cantSplit/>
        </w:trPr>
        <w:tc>
          <w:tcPr>
            <w:tcW w:type="dxa" w:w="1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9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  <w:tc>
          <w:tcPr>
            <w:tcW w:type="dxa" w:w="191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pBdr>
          <w:bottom w:val="single" w:sz="8" w:space="6" w:color="2E74B5"/>
        </w:pBdr>
      </w:pPr>
      <w:r>
        <w:t>Appendix D. Source alignment</w:t>
      </w:r>
    </w:p>
    <w:p>
      <w:r>
        <w:t>The proposed process was developed from the provided internal materials. This matrix shows how each source category was used and where the AI overlay intentionally extends it.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4CE"/>
          <w:left w:val="single" w:sz="4" w:space="0" w:color="B8C4CE"/>
          <w:bottom w:val="single" w:sz="4" w:space="0" w:color="B8C4CE"/>
          <w:right w:val="single" w:sz="4" w:space="0" w:color="B8C4CE"/>
          <w:insideH w:val="single" w:sz="4" w:space="0" w:color="B8C4CE"/>
          <w:insideV w:val="single" w:sz="4" w:space="0" w:color="B8C4CE"/>
        </w:tblBorders>
      </w:tblPr>
      <w:tblGrid>
        <w:gridCol w:w="2600"/>
        <w:gridCol w:w="4600"/>
        <w:gridCol w:w="2160"/>
      </w:tblGrid>
      <w:tr>
        <w:trPr>
          <w:tblHeader w:val="true"/>
          <w:cantSplit/>
        </w:trPr>
        <w:tc>
          <w:tcPr>
            <w:tcW w:type="dxa" w:w="26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5"/>
              </w:rPr>
              <w:t>Source</w:t>
            </w:r>
          </w:p>
        </w:tc>
        <w:tc>
          <w:tcPr>
            <w:tcW w:type="dxa" w:w="46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5"/>
              </w:rPr>
              <w:t>Relevant operating point</w:t>
            </w:r>
          </w:p>
        </w:tc>
        <w:tc>
          <w:tcPr>
            <w:tcW w:type="dxa" w:w="216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5"/>
              </w:rPr>
              <w:t>Treatment</w:t>
            </w:r>
          </w:p>
        </w:tc>
      </w:tr>
      <w:tr>
        <w:trPr>
          <w:cantSplit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The Solution Executive Handbook</w:t>
            </w:r>
          </w:p>
        </w:tc>
        <w:tc>
          <w:tcPr>
            <w:tcW w:type="dxa" w:w="4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SE quarterback role; Sales/Practice/Delivery partnership; RFx lead time; Connected hygiene; Value Framework; Price Sheet; checklist passes/snapshots; LeanKit; transition expectations.</w:t>
            </w:r>
          </w:p>
        </w:tc>
        <w:tc>
          <w:tcPr>
            <w:tcW w:type="dxa" w:w="21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Preserved as operating baseline.</w:t>
            </w:r>
          </w:p>
        </w:tc>
      </w:tr>
      <w:tr>
        <w:trPr>
          <w:cantSplit/>
        </w:trPr>
        <w:tc>
          <w:tcPr>
            <w:tcW w:type="dxa" w:w="26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TGS Solutioning Checklist Job Aid</w:t>
            </w:r>
          </w:p>
        </w:tc>
        <w:tc>
          <w:tcPr>
            <w:tcW w:type="dxa" w:w="46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Checklist required beyond Qualifying; draft in Seismic; snapshots at Proposing and Won; naming and reuse expectations.</w:t>
            </w:r>
          </w:p>
        </w:tc>
        <w:tc>
          <w:tcPr>
            <w:tcW w:type="dxa" w:w="21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Preserved; AI overlay supplements it.</w:t>
            </w:r>
          </w:p>
        </w:tc>
      </w:tr>
      <w:tr>
        <w:trPr>
          <w:cantSplit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Completed TGS Solutioning Checklist example</w:t>
            </w:r>
          </w:p>
        </w:tc>
        <w:tc>
          <w:tcPr>
            <w:tcW w:type="dxa" w:w="4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Contract/MSA, compliance, solution, tools, physical security, IAM, data, delivery, cost, acceptance/performance, system access, and partner questions.</w:t>
            </w:r>
          </w:p>
        </w:tc>
        <w:tc>
          <w:tcPr>
            <w:tcW w:type="dxa" w:w="21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Domains mapped into Deal Record and gates.</w:t>
            </w:r>
          </w:p>
        </w:tc>
      </w:tr>
      <w:tr>
        <w:trPr>
          <w:cantSplit/>
        </w:trPr>
        <w:tc>
          <w:tcPr>
            <w:tcW w:type="dxa" w:w="26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Solution Executive Success Profile and Lead Job Description</w:t>
            </w:r>
          </w:p>
        </w:tc>
        <w:tc>
          <w:tcPr>
            <w:tcW w:type="dxa" w:w="46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Portfolio/pre-sales ownership, business/technical/process/resource/contract alignment, pricing/deliverables, practice engagement, transition, &gt;$10M influence context.</w:t>
            </w:r>
          </w:p>
        </w:tc>
        <w:tc>
          <w:tcPr>
            <w:tcW w:type="dxa" w:w="21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Role accountabilities reflected in RACI and measures.</w:t>
            </w:r>
          </w:p>
        </w:tc>
      </w:tr>
      <w:tr>
        <w:trPr>
          <w:cantSplit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Solution Executive Reflection and Competency materials</w:t>
            </w:r>
          </w:p>
        </w:tc>
        <w:tc>
          <w:tcPr>
            <w:tcW w:type="dxa" w:w="4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Customer focus, trust, collaboration, communication, complexity management, action orientation, adaptability, interpersonal and technical savvy.</w:t>
            </w:r>
          </w:p>
        </w:tc>
        <w:tc>
          <w:tcPr>
            <w:tcW w:type="dxa" w:w="21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Translated into governing principles and behaviors.</w:t>
            </w:r>
          </w:p>
        </w:tc>
      </w:tr>
      <w:tr>
        <w:trPr>
          <w:cantSplit/>
        </w:trPr>
        <w:tc>
          <w:tcPr>
            <w:tcW w:type="dxa" w:w="26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2023 S&amp;SE Priorities</w:t>
            </w:r>
          </w:p>
        </w:tc>
        <w:tc>
          <w:tcPr>
            <w:tcW w:type="dxa" w:w="46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Qualification hygiene, focus, solution effectiveness, alliances, standards, integrated SE/SA solutioning, existing-account growth, SMART measures.</w:t>
            </w:r>
          </w:p>
        </w:tc>
        <w:tc>
          <w:tcPr>
            <w:tcW w:type="dxa" w:w="21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Reflected in governance, pipeline, reuse, partners, and metrics.</w:t>
            </w:r>
          </w:p>
        </w:tc>
      </w:tr>
      <w:tr>
        <w:trPr>
          <w:cantSplit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Front Office Alignment and Org Charts</w:t>
            </w:r>
          </w:p>
        </w:tc>
        <w:tc>
          <w:tcPr>
            <w:tcW w:type="dxa" w:w="4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Regional/vertical alignment model and engagement context.</w:t>
            </w:r>
          </w:p>
        </w:tc>
        <w:tc>
          <w:tcPr>
            <w:tcW w:type="dxa" w:w="21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Used only as role-based context; names/assignments should be refreshed before rollout.</w:t>
            </w:r>
          </w:p>
        </w:tc>
      </w:tr>
      <w:tr>
        <w:trPr>
          <w:cantSplit/>
        </w:trPr>
        <w:tc>
          <w:tcPr>
            <w:tcW w:type="dxa" w:w="26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AI Shared Practice pipeline/intake work</w:t>
            </w:r>
          </w:p>
        </w:tc>
        <w:tc>
          <w:tcPr>
            <w:tcW w:type="dxa" w:w="46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Single front door, progressive disclosure, routing outcomes, Salesforce/Teams operating model, human approvals, cadence, and traceability targets.</w:t>
            </w:r>
          </w:p>
        </w:tc>
        <w:tc>
          <w:tcPr>
            <w:tcW w:type="dxa" w:w="21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5"/>
              </w:rPr>
              <w:t>Integrated as the AI Shared Practice overlay.</w:t>
            </w:r>
          </w:p>
        </w:tc>
      </w:tr>
    </w:tbl>
    <w:p>
      <w:pPr>
        <w:spacing w:after="0"/>
      </w:pPr>
    </w:p>
    <w:p>
      <w:pPr>
        <w:shd w:fill="FFF2CC"/>
        <w:pBdr>
          <w:left w:val="single" w:sz="22" w:space="8" w:color="BF6900"/>
        </w:pBdr>
        <w:spacing w:before="120" w:after="120"/>
        <w:keepLines/>
      </w:pPr>
      <w:r>
        <w:rPr>
          <w:b/>
          <w:color w:val="BF6900"/>
        </w:rPr>
        <w:t xml:space="preserve">Important governance note  </w:t>
      </w:r>
      <w:r>
        <w:t>The Front Office materials are dated 2023. Validate current roles, names, approval paths, and organizational ownership before publishing this document as policy.</w:t>
      </w:r>
    </w:p>
    <w:p>
      <w:r>
        <w:br w:type="page"/>
      </w:r>
    </w:p>
    <w:p>
      <w:pPr>
        <w:pStyle w:val="Heading1"/>
        <w:pBdr>
          <w:bottom w:val="single" w:sz="8" w:space="6" w:color="2E74B5"/>
        </w:pBdr>
      </w:pPr>
      <w:r>
        <w:t>Appendix E. Leadership approval record</w:t>
      </w:r>
    </w:p>
    <w:p>
      <w:r>
        <w:t>Use this page to close the draft and authorize a pilot. Any approved exception should be recorded in the Decision and Change Log.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4CE"/>
          <w:left w:val="single" w:sz="4" w:space="0" w:color="B8C4CE"/>
          <w:bottom w:val="single" w:sz="4" w:space="0" w:color="B8C4CE"/>
          <w:right w:val="single" w:sz="4" w:space="0" w:color="B8C4CE"/>
          <w:insideH w:val="single" w:sz="4" w:space="0" w:color="B8C4CE"/>
          <w:insideV w:val="single" w:sz="4" w:space="0" w:color="B8C4CE"/>
        </w:tblBorders>
      </w:tblPr>
      <w:tblGrid>
        <w:gridCol w:w="2500"/>
        <w:gridCol w:w="1900"/>
        <w:gridCol w:w="3560"/>
        <w:gridCol w:w="1400"/>
      </w:tblGrid>
      <w:tr>
        <w:trPr>
          <w:tblHeader w:val="true"/>
          <w:cantSplit/>
        </w:trPr>
        <w:tc>
          <w:tcPr>
            <w:tcW w:type="dxa" w:w="25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Role</w:t>
            </w:r>
          </w:p>
        </w:tc>
        <w:tc>
          <w:tcPr>
            <w:tcW w:type="dxa" w:w="19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Name</w:t>
            </w:r>
          </w:p>
        </w:tc>
        <w:tc>
          <w:tcPr>
            <w:tcW w:type="dxa" w:w="356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Decision / conditions</w:t>
            </w:r>
          </w:p>
        </w:tc>
        <w:tc>
          <w:tcPr>
            <w:tcW w:type="dxa" w:w="1400"/>
            <w:shd w:fill="17365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b/>
                <w:color w:val="FFFFFF"/>
                <w:sz w:val="17"/>
              </w:rPr>
              <w:t>Date</w:t>
            </w:r>
          </w:p>
        </w:tc>
      </w:tr>
      <w:tr>
        <w:trPr>
          <w:cantSplit/>
        </w:trPr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Executive sponsor</w:t>
            </w:r>
          </w:p>
        </w:tc>
        <w:tc>
          <w:tcPr>
            <w:tcW w:type="dxa" w:w="1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</w:r>
          </w:p>
        </w:tc>
        <w:tc>
          <w:tcPr>
            <w:tcW w:type="dxa" w:w="35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</w:r>
          </w:p>
        </w:tc>
        <w:tc>
          <w:tcPr>
            <w:tcW w:type="dxa" w:w="1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25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AI Shared Practice leader</w:t>
            </w:r>
          </w:p>
        </w:tc>
        <w:tc>
          <w:tcPr>
            <w:tcW w:type="dxa" w:w="19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</w:r>
          </w:p>
        </w:tc>
        <w:tc>
          <w:tcPr>
            <w:tcW w:type="dxa" w:w="35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</w:r>
          </w:p>
        </w:tc>
        <w:tc>
          <w:tcPr>
            <w:tcW w:type="dxa" w:w="14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Solution Executive leader</w:t>
            </w:r>
          </w:p>
        </w:tc>
        <w:tc>
          <w:tcPr>
            <w:tcW w:type="dxa" w:w="1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</w:r>
          </w:p>
        </w:tc>
        <w:tc>
          <w:tcPr>
            <w:tcW w:type="dxa" w:w="35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</w:r>
          </w:p>
        </w:tc>
        <w:tc>
          <w:tcPr>
            <w:tcW w:type="dxa" w:w="1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25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Sales / Front Office leader</w:t>
            </w:r>
          </w:p>
        </w:tc>
        <w:tc>
          <w:tcPr>
            <w:tcW w:type="dxa" w:w="19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</w:r>
          </w:p>
        </w:tc>
        <w:tc>
          <w:tcPr>
            <w:tcW w:type="dxa" w:w="35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</w:r>
          </w:p>
        </w:tc>
        <w:tc>
          <w:tcPr>
            <w:tcW w:type="dxa" w:w="14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Practice / Delivery leader</w:t>
            </w:r>
          </w:p>
        </w:tc>
        <w:tc>
          <w:tcPr>
            <w:tcW w:type="dxa" w:w="1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</w:r>
          </w:p>
        </w:tc>
        <w:tc>
          <w:tcPr>
            <w:tcW w:type="dxa" w:w="35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</w:r>
          </w:p>
        </w:tc>
        <w:tc>
          <w:tcPr>
            <w:tcW w:type="dxa" w:w="1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25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  <w:t>Risk / Security / Privacy / Legal representative(s)</w:t>
            </w:r>
          </w:p>
        </w:tc>
        <w:tc>
          <w:tcPr>
            <w:tcW w:type="dxa" w:w="19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</w:r>
          </w:p>
        </w:tc>
        <w:tc>
          <w:tcPr>
            <w:tcW w:type="dxa" w:w="356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</w:r>
          </w:p>
        </w:tc>
        <w:tc>
          <w:tcPr>
            <w:tcW w:type="dxa" w:w="1400"/>
            <w:shd w:fill="F8FAFC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TableText"/>
              <w:keepLines/>
            </w:pPr>
            <w:r>
              <w:rPr>
                <w:sz w:val="17"/>
              </w:rPr>
            </w:r>
          </w:p>
        </w:tc>
      </w:tr>
    </w:tbl>
    <w:p>
      <w:pPr>
        <w:spacing w:after="0"/>
      </w:pPr>
    </w:p>
    <w:p/>
    <w:p>
      <w:pPr>
        <w:shd w:fill="E7F4F4"/>
        <w:pBdr>
          <w:left w:val="single" w:sz="22" w:space="8" w:color="008C95"/>
        </w:pBdr>
        <w:spacing w:before="120" w:after="120"/>
        <w:keepLines/>
      </w:pPr>
      <w:r>
        <w:rPr>
          <w:b/>
          <w:color w:val="008C95"/>
        </w:rPr>
        <w:t xml:space="preserve">Document owner  </w:t>
      </w:r>
      <w:r>
        <w:t>The designated AI Shared Practice process owner maintains the controlled version, change log, field dictionary, templates, SLA definitions, and quarterly operating-model review.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52" w:right="1224" w:bottom="1008" w:left="1224" w:header="504" w:footer="504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667085"/>
        <w:sz w:val="16"/>
      </w:rPr>
      <w:t xml:space="preserve">AI Shared Practice  | 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SmallNote"/>
      <w:jc w:val="right"/>
    </w:pPr>
    <w:r>
      <w:rPr>
        <w:color w:val="2E74B5"/>
      </w:rPr>
      <w:t>AI SHARED PRACTICE  /  SOLUTION EXECUTIVE PROCESS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120" w:line="276" w:lineRule="auto"/>
    </w:pPr>
    <w:rPr>
      <w:rFonts w:ascii="Calibri" w:hAnsi="Calibri"/>
      <w:color w:val="1F293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17365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008C95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8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7365D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Calibri" w:hAnsi="Calibri"/>
      <w:b w:val="0"/>
      <w:i/>
      <w:iCs/>
      <w:color w:val="2E74B5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276" w:lineRule="auto"/>
      <w:ind w:left="540" w:hanging="271"/>
      <w:contextualSpacing/>
    </w:pPr>
    <w:rPr>
      <w:rFonts w:ascii="Calibri" w:hAnsi="Calibri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spacing w:after="80" w:line="276" w:lineRule="auto"/>
      <w:ind w:left="900" w:hanging="271"/>
      <w:contextualSpacing/>
    </w:pPr>
    <w:rPr>
      <w:rFonts w:ascii="Calibri" w:hAnsi="Calibri"/>
      <w:sz w:val="21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276" w:lineRule="auto"/>
      <w:ind w:left="540" w:hanging="271"/>
      <w:contextualSpacing/>
    </w:pPr>
    <w:rPr>
      <w:rFonts w:ascii="Calibri" w:hAnsi="Calibri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Text">
    <w:name w:val="Table Text"/>
    <w:pPr>
      <w:spacing w:after="40" w:line="240" w:lineRule="auto"/>
    </w:pPr>
    <w:rPr>
      <w:rFonts w:ascii="Calibri" w:hAnsi="Calibri"/>
      <w:color w:val="1F2937"/>
      <w:sz w:val="17"/>
    </w:rPr>
  </w:style>
  <w:style w:type="paragraph" w:customStyle="1" w:styleId="SmallNote">
    <w:name w:val="Small Note"/>
    <w:pPr>
      <w:spacing w:after="80"/>
    </w:pPr>
    <w:rPr>
      <w:rFonts w:ascii="Calibri" w:hAnsi="Calibri"/>
      <w:color w:val="667085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Shared Practice Solution Executive Solutioning Process</dc:title>
  <dc:subject>Deal capture, decision gates, controls, and transition standard</dc:subject>
  <dc:creator>Jory Pai</dc:creator>
  <cp:keywords>AI Shared Practice, Solution Executive, solutioning, intake, deal capture, governance, TGS</cp:keywords>
  <dc:description>Draft for leadership review; proposed overlay aligned to provided TGS materials.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