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rFonts w:ascii="Arial" w:hAnsi="Arial"/>
        </w:rPr>
        <w:t>PRIMEMATCH AI™</w:t>
      </w:r>
    </w:p>
    <w:p>
      <w:pPr>
        <w:pStyle w:val="Title"/>
        <w:widowControl/>
        <w:jc w:val="center"/>
      </w:pPr>
      <w:r>
        <w:rPr>
          <w:rFonts w:ascii="Arial" w:hAnsi="Arial"/>
        </w:rPr>
        <w:t>PARTNER MATCHING &amp; MARKETPLACE AGREEMENT</w:t>
      </w:r>
    </w:p>
    <w:p>
      <w:pPr>
        <w:pStyle w:val="Subtitle"/>
        <w:widowControl/>
        <w:jc w:val="center"/>
      </w:pPr>
      <w:r>
        <w:rPr>
          <w:rFonts w:ascii="Arial" w:hAnsi="Arial"/>
        </w:rPr>
        <w:t>Version 1.0 | Production-Quality First Draft for Attorney Review</w:t>
      </w:r>
    </w:p>
    <w:p>
      <w:pPr>
        <w:widowControl/>
        <w:jc w:val="center"/>
      </w:pPr>
      <w:r>
        <w:rPr>
          <w:rFonts w:ascii="Arial" w:hAnsi="Arial"/>
        </w:rPr>
        <w:br/>
        <w:t>Effective Date: [INSERT EFFECTIVE DATE]</w:t>
        <w:br/>
        <w:t>Legal Entity: [INSERT PRIMEMATCH AI LEGAL ENTITY]</w:t>
        <w:br/>
        <w:t>Principal Address: [INSERT ADDRESS]</w:t>
        <w:br/>
        <w:t>Governing Law / Venue: [INSERT AFTER JURISDICTION-SPECIFIC REVIEW]</w:t>
      </w:r>
    </w:p>
    <w:tbl>
      <w:tblPr>
        <w:tblW w:type="auto" w:w="0"/>
        <w:jc w:val="center"/>
        <w:tblLayout w:type="fixed"/>
        <w:tblLook w:firstColumn="1" w:firstRow="1" w:lastColumn="0" w:lastRow="0" w:noHBand="0" w:noVBand="1" w:val="04A0"/>
      </w:tblPr>
      <w:tblGrid>
        <w:gridCol w:w="9216"/>
      </w:tblGrid>
      <w:tr>
        <w:tc>
          <w:tcPr>
            <w:tcW w:type="dxa" w:w="10166"/>
            <w:vAlign w:val="center"/>
          </w:tcPr>
          <w:p>
            <w:pPr>
              <w:spacing w:after="40" w:line="240" w:lineRule="auto"/>
              <w:jc w:val="center"/>
            </w:pPr>
            <w:r>
              <w:rPr>
                <w:b/>
                <w:sz w:val="20"/>
              </w:rPr>
              <w:t>IMPORTANT NOTICE</w:t>
            </w:r>
          </w:p>
          <w:p>
            <w:pPr>
              <w:spacing w:after="40" w:line="240" w:lineRule="auto"/>
              <w:jc w:val="both"/>
            </w:pPr>
            <w:r>
              <w:t>This Agreement governs partner discovery, teaming introductions, marketplace participation, provider listings, marketplace transactions, reputation and matching features, and related PrimeMatch AI™ services. PrimeMatch AI™ provides technology-enabled informational decision-support and does not select counterparties, negotiate contracts on a user’s behalf, certify qualifications, guarantee performance, or make procurement, legal, financial, staffing, or contracting decisions for users.</w:t>
            </w:r>
          </w:p>
        </w:tc>
      </w:tr>
    </w:tbl>
    <w:p>
      <w:pPr>
        <w:pStyle w:val="Subtitle"/>
        <w:widowControl/>
        <w:jc w:val="center"/>
      </w:pPr>
      <w:r>
        <w:rPr>
          <w:rFonts w:ascii="Arial" w:hAnsi="Arial"/>
        </w:rPr>
        <w:br/>
        <w:t>This document is intended as a complete first draft for qualified legal review. Bracketed items require business, product, or jurisdiction-specific confirmation before publication.</w:t>
      </w:r>
    </w:p>
    <w:p>
      <w:pPr>
        <w:widowControl/>
      </w:pPr>
      <w:r>
        <w:rPr>
          <w:rFonts w:ascii="Arial" w:hAnsi="Arial"/>
        </w:rPr>
        <w:br w:type="page"/>
      </w:r>
    </w:p>
    <w:p>
      <w:pPr>
        <w:pStyle w:val="Heading1"/>
        <w:widowControl/>
      </w:pPr>
      <w:r>
        <w:rPr>
          <w:rFonts w:ascii="Arial" w:hAnsi="Arial"/>
        </w:rPr>
        <w:t>TABLE OF CONTENTS</w:t>
      </w:r>
    </w:p>
    <w:p>
      <w:pPr>
        <w:widowControl/>
      </w:pPr>
      <w:r>
        <w:rPr>
          <w:rFonts w:ascii="Arial" w:hAnsi="Arial"/>
        </w:rPr>
        <w:t>1. Purpose, Scope, Acceptance, and Relationship to Other Agreements</w:t>
      </w:r>
    </w:p>
    <w:p>
      <w:pPr>
        <w:widowControl/>
      </w:pPr>
      <w:r>
        <w:rPr>
          <w:rFonts w:ascii="Arial" w:hAnsi="Arial"/>
        </w:rPr>
        <w:t>2. Definitions and Proprietary Intelligence Concepts</w:t>
      </w:r>
    </w:p>
    <w:p>
      <w:pPr>
        <w:widowControl/>
      </w:pPr>
      <w:r>
        <w:rPr>
          <w:rFonts w:ascii="Arial" w:hAnsi="Arial"/>
        </w:rPr>
        <w:t>3. Nature of the Platform and PrimeMatch AI’s Role</w:t>
      </w:r>
    </w:p>
    <w:p>
      <w:pPr>
        <w:widowControl/>
      </w:pPr>
      <w:r>
        <w:rPr>
          <w:rFonts w:ascii="Arial" w:hAnsi="Arial"/>
        </w:rPr>
        <w:t>4. Eligibility, Authority, Accounts, and Organization Administration</w:t>
      </w:r>
    </w:p>
    <w:p>
      <w:pPr>
        <w:widowControl/>
      </w:pPr>
      <w:r>
        <w:rPr>
          <w:rFonts w:ascii="Arial" w:hAnsi="Arial"/>
        </w:rPr>
        <w:t>5. Partner Discovery, Matching, and Introductions</w:t>
      </w:r>
    </w:p>
    <w:p>
      <w:pPr>
        <w:widowControl/>
      </w:pPr>
      <w:r>
        <w:rPr>
          <w:rFonts w:ascii="Arial" w:hAnsi="Arial"/>
        </w:rPr>
        <w:t>6. PrimeMatch Confidence™, Trust Score™, Team Strength Index™, and Reputation Intelligence</w:t>
      </w:r>
    </w:p>
    <w:p>
      <w:pPr>
        <w:widowControl/>
      </w:pPr>
      <w:r>
        <w:rPr>
          <w:rFonts w:ascii="Arial" w:hAnsi="Arial"/>
        </w:rPr>
        <w:t>7. Team Formation, Teaming Opportunities, and Relationship Development</w:t>
      </w:r>
    </w:p>
    <w:p>
      <w:pPr>
        <w:widowControl/>
      </w:pPr>
      <w:r>
        <w:rPr>
          <w:rFonts w:ascii="Arial" w:hAnsi="Arial"/>
        </w:rPr>
        <w:t>8. Government Contracting and Procurement-Specific Responsibilities</w:t>
      </w:r>
    </w:p>
    <w:p>
      <w:pPr>
        <w:widowControl/>
      </w:pPr>
      <w:r>
        <w:rPr>
          <w:rFonts w:ascii="Arial" w:hAnsi="Arial"/>
        </w:rPr>
        <w:t>9. Commercial Contracting and Enterprise Opportunities</w:t>
      </w:r>
    </w:p>
    <w:p>
      <w:pPr>
        <w:widowControl/>
      </w:pPr>
      <w:r>
        <w:rPr>
          <w:rFonts w:ascii="Arial" w:hAnsi="Arial"/>
        </w:rPr>
        <w:t>10. Marketplace Provider Eligibility and Listings</w:t>
      </w:r>
    </w:p>
    <w:p>
      <w:pPr>
        <w:widowControl/>
      </w:pPr>
      <w:r>
        <w:rPr>
          <w:rFonts w:ascii="Arial" w:hAnsi="Arial"/>
        </w:rPr>
        <w:t>11. Marketplace Customer Responsibilities</w:t>
      </w:r>
    </w:p>
    <w:p>
      <w:pPr>
        <w:widowControl/>
      </w:pPr>
      <w:r>
        <w:rPr>
          <w:rFonts w:ascii="Arial" w:hAnsi="Arial"/>
        </w:rPr>
        <w:t>12. Marketplace Transactions, Ordering, and Contract Formation</w:t>
      </w:r>
    </w:p>
    <w:p>
      <w:pPr>
        <w:widowControl/>
      </w:pPr>
      <w:r>
        <w:rPr>
          <w:rFonts w:ascii="Arial" w:hAnsi="Arial"/>
        </w:rPr>
        <w:t>13. Fees, Payment Processing, Taxes, Refunds, and Chargebacks</w:t>
      </w:r>
    </w:p>
    <w:p>
      <w:pPr>
        <w:widowControl/>
      </w:pPr>
      <w:r>
        <w:rPr>
          <w:rFonts w:ascii="Arial" w:hAnsi="Arial"/>
        </w:rPr>
        <w:t>14. Provider Performance, Deliverables, Acceptance, and Disputes</w:t>
      </w:r>
    </w:p>
    <w:p>
      <w:pPr>
        <w:widowControl/>
      </w:pPr>
      <w:r>
        <w:rPr>
          <w:rFonts w:ascii="Arial" w:hAnsi="Arial"/>
        </w:rPr>
        <w:t>15. Due Diligence, Verification, and Counterparty Risk</w:t>
      </w:r>
    </w:p>
    <w:p>
      <w:pPr>
        <w:widowControl/>
      </w:pPr>
      <w:r>
        <w:rPr>
          <w:rFonts w:ascii="Arial" w:hAnsi="Arial"/>
        </w:rPr>
        <w:t>16. Reviews, Ratings, Reputation Signals, and Marketplace Integrity</w:t>
      </w:r>
    </w:p>
    <w:p>
      <w:pPr>
        <w:widowControl/>
      </w:pPr>
      <w:r>
        <w:rPr>
          <w:rFonts w:ascii="Arial" w:hAnsi="Arial"/>
        </w:rPr>
        <w:t>17. Communications, Introductions, AI-Generated Communications, and Outreach</w:t>
      </w:r>
    </w:p>
    <w:p>
      <w:pPr>
        <w:widowControl/>
      </w:pPr>
      <w:r>
        <w:rPr>
          <w:rFonts w:ascii="Arial" w:hAnsi="Arial"/>
        </w:rPr>
        <w:t>18. Proposal Collaboration and Proposal Intelligence™</w:t>
      </w:r>
    </w:p>
    <w:p>
      <w:pPr>
        <w:widowControl/>
      </w:pPr>
      <w:r>
        <w:rPr>
          <w:rFonts w:ascii="Arial" w:hAnsi="Arial"/>
        </w:rPr>
        <w:t>19. Confidentiality, Teaming Information, and Controlled Information</w:t>
      </w:r>
    </w:p>
    <w:p>
      <w:pPr>
        <w:widowControl/>
      </w:pPr>
      <w:r>
        <w:rPr>
          <w:rFonts w:ascii="Arial" w:hAnsi="Arial"/>
        </w:rPr>
        <w:t>20. Customer Data, Marketplace Data, and Data Sharing</w:t>
      </w:r>
    </w:p>
    <w:p>
      <w:pPr>
        <w:widowControl/>
      </w:pPr>
      <w:r>
        <w:rPr>
          <w:rFonts w:ascii="Arial" w:hAnsi="Arial"/>
        </w:rPr>
        <w:t>21. Multi-Tenant, White-Label, Enterprise, and Organization Hierarchy Environments</w:t>
      </w:r>
    </w:p>
    <w:p>
      <w:pPr>
        <w:widowControl/>
      </w:pPr>
      <w:r>
        <w:rPr>
          <w:rFonts w:ascii="Arial" w:hAnsi="Arial"/>
        </w:rPr>
        <w:t>22. APIs, Integrations, Automation, and AI Agents™</w:t>
      </w:r>
    </w:p>
    <w:p>
      <w:pPr>
        <w:widowControl/>
      </w:pPr>
      <w:r>
        <w:rPr>
          <w:rFonts w:ascii="Arial" w:hAnsi="Arial"/>
        </w:rPr>
        <w:t>23. Acceptable Use, Procurement Integrity, Competition, and Ethical Conduct</w:t>
      </w:r>
    </w:p>
    <w:p>
      <w:pPr>
        <w:widowControl/>
      </w:pPr>
      <w:r>
        <w:rPr>
          <w:rFonts w:ascii="Arial" w:hAnsi="Arial"/>
        </w:rPr>
        <w:t>24. Intellectual Property and PrimeMatch AI Technology</w:t>
      </w:r>
    </w:p>
    <w:p>
      <w:pPr>
        <w:widowControl/>
      </w:pPr>
      <w:r>
        <w:rPr>
          <w:rFonts w:ascii="Arial" w:hAnsi="Arial"/>
        </w:rPr>
        <w:t>25. Third-Party Services, Public Data, and External Sources</w:t>
      </w:r>
    </w:p>
    <w:p>
      <w:pPr>
        <w:widowControl/>
      </w:pPr>
      <w:r>
        <w:rPr>
          <w:rFonts w:ascii="Arial" w:hAnsi="Arial"/>
        </w:rPr>
        <w:t>26. Security, Audit Logging, Monitoring, and Evidence</w:t>
      </w:r>
    </w:p>
    <w:p>
      <w:pPr>
        <w:widowControl/>
      </w:pPr>
      <w:r>
        <w:rPr>
          <w:rFonts w:ascii="Arial" w:hAnsi="Arial"/>
        </w:rPr>
        <w:t>27. Suspension, Removal, Enforcement, and Marketplace Safety</w:t>
      </w:r>
    </w:p>
    <w:p>
      <w:pPr>
        <w:widowControl/>
      </w:pPr>
      <w:r>
        <w:rPr>
          <w:rFonts w:ascii="Arial" w:hAnsi="Arial"/>
        </w:rPr>
        <w:t>28. Disclaimers and No Guarantees</w:t>
      </w:r>
    </w:p>
    <w:p>
      <w:pPr>
        <w:widowControl/>
      </w:pPr>
      <w:r>
        <w:rPr>
          <w:rFonts w:ascii="Arial" w:hAnsi="Arial"/>
        </w:rPr>
        <w:t>29. Indemnification</w:t>
      </w:r>
    </w:p>
    <w:p>
      <w:pPr>
        <w:widowControl/>
      </w:pPr>
      <w:r>
        <w:rPr>
          <w:rFonts w:ascii="Arial" w:hAnsi="Arial"/>
        </w:rPr>
        <w:t>30. Limitation of Liability</w:t>
      </w:r>
    </w:p>
    <w:p>
      <w:pPr>
        <w:widowControl/>
      </w:pPr>
      <w:r>
        <w:rPr>
          <w:rFonts w:ascii="Arial" w:hAnsi="Arial"/>
        </w:rPr>
        <w:t>31. Term, Termination, and Effect of Termination</w:t>
      </w:r>
    </w:p>
    <w:p>
      <w:pPr>
        <w:widowControl/>
      </w:pPr>
      <w:r>
        <w:rPr>
          <w:rFonts w:ascii="Arial" w:hAnsi="Arial"/>
        </w:rPr>
        <w:t>32. Dispute Resolution, Arbitration, Governing Law, and Venue</w:t>
      </w:r>
    </w:p>
    <w:p>
      <w:pPr>
        <w:widowControl/>
      </w:pPr>
      <w:r>
        <w:rPr>
          <w:rFonts w:ascii="Arial" w:hAnsi="Arial"/>
        </w:rPr>
        <w:t>33. Enterprise, Public-Sector, and Negotiated Terms</w:t>
      </w:r>
    </w:p>
    <w:p>
      <w:pPr>
        <w:widowControl/>
      </w:pPr>
      <w:r>
        <w:rPr>
          <w:rFonts w:ascii="Arial" w:hAnsi="Arial"/>
        </w:rPr>
        <w:t>34. General Provisions</w:t>
      </w:r>
    </w:p>
    <w:p>
      <w:pPr>
        <w:widowControl/>
      </w:pPr>
      <w:r>
        <w:rPr>
          <w:rFonts w:ascii="Arial" w:hAnsi="Arial"/>
        </w:rPr>
        <w:t>Appendix A. Matching, Ranking, and Score Interpretation Framework</w:t>
      </w:r>
    </w:p>
    <w:p>
      <w:pPr>
        <w:widowControl/>
      </w:pPr>
      <w:r>
        <w:rPr>
          <w:rFonts w:ascii="Arial" w:hAnsi="Arial"/>
        </w:rPr>
        <w:t>Appendix B. Marketplace Provider Standards</w:t>
      </w:r>
    </w:p>
    <w:p>
      <w:pPr>
        <w:widowControl/>
      </w:pPr>
      <w:r>
        <w:rPr>
          <w:rFonts w:ascii="Arial" w:hAnsi="Arial"/>
        </w:rPr>
        <w:t>Appendix C. Partner and Teaming Due-Diligence Checklist</w:t>
      </w:r>
    </w:p>
    <w:p>
      <w:pPr>
        <w:widowControl/>
      </w:pPr>
      <w:r>
        <w:rPr>
          <w:rFonts w:ascii="Arial" w:hAnsi="Arial"/>
        </w:rPr>
        <w:t>Appendix D. Government Contracting Marketplace Compliance Checklist</w:t>
      </w:r>
    </w:p>
    <w:p>
      <w:pPr>
        <w:widowControl/>
      </w:pPr>
      <w:r>
        <w:rPr>
          <w:rFonts w:ascii="Arial" w:hAnsi="Arial"/>
        </w:rPr>
        <w:br w:type="page"/>
      </w:r>
    </w:p>
    <w:p>
      <w:pPr>
        <w:widowControl/>
        <w:jc w:val="both"/>
      </w:pPr>
      <w:r>
        <w:rPr>
          <w:rFonts w:ascii="Arial" w:hAnsi="Arial"/>
        </w:rPr>
        <w:t>This Partner Matching &amp; Marketplace Agreement (this “Agreement”) is entered into between the PrimeMatch AI legal entity identified in the applicable Order Form, online checkout, enterprise agreement, or publication notice (“PrimeMatch AI,” “we,” “us,” or “our”) and the individual or entity accepting or using the covered services (“Customer,” “you,” or “your”). If an individual accepts this Agreement on behalf of an organization, that individual represents and warrants that he or she has authority to bind that organization.</w:t>
      </w:r>
    </w:p>
    <w:p>
      <w:pPr>
        <w:widowControl/>
        <w:jc w:val="both"/>
      </w:pPr>
      <w:r>
        <w:rPr>
          <w:rFonts w:ascii="Arial" w:hAnsi="Arial"/>
        </w:rPr>
        <w:t>PrimeMatch AI™ is an AI-powered Partner Intelligence Platform designed to help organizations discover potential partners, evaluate teaming opportunities, build proposal teams, identify marketplace providers, analyze opportunities, generate business intelligence, and receive AI-assisted recommendations for government and commercial contracting. The Platform may support multi-tenant SaaS environments, white-label enterprise portals, organization hierarchies, role-based permissions, APIs, workflow automation, AI Agents™, marketplace transactions, executive dashboards, analytics, future mobile applications, and other present or future functionality.</w:t>
      </w:r>
    </w:p>
    <w:p>
      <w:pPr>
        <w:widowControl/>
        <w:jc w:val="both"/>
      </w:pPr>
      <w:r>
        <w:rPr>
          <w:rFonts w:ascii="Arial" w:hAnsi="Arial"/>
        </w:rPr>
        <w:t>The parties acknowledge that partner selection, teaming, procurement, proposal strategy, subcontracting, vendor selection, marketplace purchasing, pricing, due diligence, compliance, and contracting involve material business and legal judgment. PrimeMatch AI provides informational technology and decision-support only. Users remain solely responsible for all final business, procurement, legal, financial, staffing, proposal, contracting, and marketplace decisions.</w:t>
      </w:r>
    </w:p>
    <w:p>
      <w:pPr>
        <w:pStyle w:val="Heading1"/>
        <w:widowControl/>
      </w:pPr>
      <w:r>
        <w:rPr>
          <w:rFonts w:ascii="Arial" w:hAnsi="Arial"/>
        </w:rPr>
        <w:t>ARTICLE 1. PURPOSE, SCOPE, ACCEPTANCE, AND RELATIONSHIP TO OTHER AGREEMENTS</w:t>
      </w:r>
    </w:p>
    <w:p>
      <w:pPr>
        <w:pStyle w:val="Heading2"/>
        <w:widowControl/>
      </w:pPr>
      <w:r>
        <w:rPr>
          <w:rFonts w:ascii="Arial" w:hAnsi="Arial"/>
        </w:rPr>
        <w:t>1.1 Scope.</w:t>
      </w:r>
    </w:p>
    <w:p>
      <w:pPr>
        <w:widowControl/>
        <w:jc w:val="both"/>
      </w:pPr>
      <w:r>
        <w:rPr>
          <w:rFonts w:ascii="Arial" w:hAnsi="Arial"/>
        </w:rPr>
        <w:t>This Agreement governs use of PrimeMatch AI™ features that facilitate or support partner discovery, partner comparison, teaming introductions, relationship development, team recommendations, marketplace provider discovery, marketplace listings, marketplace transactions, reputation-related signals, collaborative proposal workflows, and related communications. It applies whether such features are accessed through the primary Platform, a white-label portal, an enterprise environment, an API, an embedded interface, or a future mobile application.</w:t>
      </w:r>
    </w:p>
    <w:p>
      <w:pPr>
        <w:pStyle w:val="Heading2"/>
        <w:widowControl/>
      </w:pPr>
      <w:r>
        <w:rPr>
          <w:rFonts w:ascii="Arial" w:hAnsi="Arial"/>
        </w:rPr>
        <w:t>1.2 Relationship to Master Terms.</w:t>
      </w:r>
    </w:p>
    <w:p>
      <w:pPr>
        <w:widowControl/>
        <w:jc w:val="both"/>
      </w:pPr>
      <w:r>
        <w:rPr>
          <w:rFonts w:ascii="Arial" w:hAnsi="Arial"/>
        </w:rPr>
        <w:t>This Agreement supplements the PrimeMatch AI™ Master Terms of Service. The Master Terms remain applicable to Platform access generally. If there is a direct conflict, this Agreement controls solely with respect to partner matching and marketplace subject matter; an applicable Order Form, negotiated enterprise agreement, data processing addendum, or public-sector addendum may control to the extent expressly stated therein.</w:t>
      </w:r>
    </w:p>
    <w:p>
      <w:pPr>
        <w:pStyle w:val="Heading2"/>
        <w:widowControl/>
      </w:pPr>
      <w:r>
        <w:rPr>
          <w:rFonts w:ascii="Arial" w:hAnsi="Arial"/>
        </w:rPr>
        <w:t>1.3 Privacy and AI Policies.</w:t>
      </w:r>
    </w:p>
    <w:p>
      <w:pPr>
        <w:widowControl/>
        <w:jc w:val="both"/>
      </w:pPr>
      <w:r>
        <w:rPr>
          <w:rFonts w:ascii="Arial" w:hAnsi="Arial"/>
        </w:rPr>
        <w:t>Use of covered services is also subject to the then-current PrimeMatch AI™ Privacy Policy and AI Transparency &amp; Recommendation Policy. Those policies govern, among other matters, personal information, data-processing roles, AI transparency, human review, and interpretation of AI-assisted outputs. They are incorporated by reference to the extent permitted by applicable law.</w:t>
      </w:r>
    </w:p>
    <w:p>
      <w:pPr>
        <w:pStyle w:val="Heading2"/>
        <w:widowControl/>
      </w:pPr>
      <w:r>
        <w:rPr>
          <w:rFonts w:ascii="Arial" w:hAnsi="Arial"/>
        </w:rPr>
        <w:t>1.4 Acceptance.</w:t>
      </w:r>
    </w:p>
    <w:p>
      <w:pPr>
        <w:widowControl/>
        <w:jc w:val="both"/>
      </w:pPr>
      <w:r>
        <w:rPr>
          <w:rFonts w:ascii="Arial" w:hAnsi="Arial"/>
        </w:rPr>
        <w:t>You accept this Agreement by clicking to agree, creating or using a marketplace or partner-matching profile, publishing or responding to a listing, sending or accepting an introduction or teaming request, initiating or completing a marketplace transaction, or otherwise using covered functionality after being presented with or given access to this Agreement.</w:t>
      </w:r>
    </w:p>
    <w:p>
      <w:pPr>
        <w:pStyle w:val="Heading2"/>
        <w:widowControl/>
      </w:pPr>
      <w:r>
        <w:rPr>
          <w:rFonts w:ascii="Arial" w:hAnsi="Arial"/>
        </w:rPr>
        <w:t>1.5 No Professional Relationship.</w:t>
      </w:r>
    </w:p>
    <w:p>
      <w:pPr>
        <w:widowControl/>
        <w:jc w:val="both"/>
      </w:pPr>
      <w:r>
        <w:rPr>
          <w:rFonts w:ascii="Arial" w:hAnsi="Arial"/>
        </w:rPr>
        <w:t>Nothing in the Platform creates an attorney-client, accountant-client, fiduciary, broker, employment, agency, investment-advisory, procurement-advisory, contracting-officer, or other regulated professional relationship between PrimeMatch AI and any user or marketplace participant.</w:t>
      </w:r>
    </w:p>
    <w:p>
      <w:pPr>
        <w:pStyle w:val="Heading1"/>
        <w:widowControl/>
      </w:pPr>
      <w:r>
        <w:rPr>
          <w:rFonts w:ascii="Arial" w:hAnsi="Arial"/>
        </w:rPr>
        <w:t>ARTICLE 2. DEFINITIONS AND PROPRIETARY INTELLIGENCE CONCEPTS</w:t>
      </w:r>
    </w:p>
    <w:p>
      <w:pPr>
        <w:pStyle w:val="Heading2"/>
        <w:widowControl/>
      </w:pPr>
      <w:r>
        <w:rPr>
          <w:rFonts w:ascii="Arial" w:hAnsi="Arial"/>
        </w:rPr>
        <w:t>2.1 Defined Terms.</w:t>
      </w:r>
    </w:p>
    <w:p>
      <w:pPr>
        <w:widowControl/>
        <w:jc w:val="both"/>
      </w:pPr>
      <w:r>
        <w:rPr>
          <w:rFonts w:ascii="Arial" w:hAnsi="Arial"/>
        </w:rPr>
        <w:t>Capitalized terms not defined in this Agreement have the meanings assigned in the Master Terms. The following terms are integral to this Agreement. Each proprietary name identifies software, methodologies, analytical frameworks, scoring systems, models, taxonomies, trademarks, trade secrets, know-how, or other intellectual property owned by or licensed to PrimeMatch AI; use of a term does not disclose source code, model weights, formulas, coefficients, internal prompts, feature engineering, or other confidential implementation details.</w:t>
      </w:r>
    </w:p>
    <w:p>
      <w:pPr>
        <w:widowControl/>
        <w:jc w:val="both"/>
      </w:pPr>
      <w:r>
        <w:rPr>
          <w:rFonts w:ascii="Arial" w:hAnsi="Arial"/>
          <w:b/>
        </w:rPr>
        <w:t xml:space="preserve">“AI Agent™” </w:t>
      </w:r>
      <w:r>
        <w:rPr>
          <w:rFonts w:ascii="Arial" w:hAnsi="Arial"/>
        </w:rPr>
        <w:t>a proprietary software-based AI-enabled function that may perform or coordinate defined tasks, retrieve information, generate outputs, recommend actions, or initiate authorized workflow steps subject to configured permissions and safeguards.</w:t>
      </w:r>
    </w:p>
    <w:p>
      <w:pPr>
        <w:widowControl/>
        <w:jc w:val="both"/>
      </w:pPr>
      <w:r>
        <w:rPr>
          <w:rFonts w:ascii="Arial" w:hAnsi="Arial"/>
          <w:b/>
        </w:rPr>
        <w:t xml:space="preserve">“AI Output” </w:t>
      </w:r>
      <w:r>
        <w:rPr>
          <w:rFonts w:ascii="Arial" w:hAnsi="Arial"/>
        </w:rPr>
        <w:t>any text, ranking, score, forecast, prediction, recommendation, match, summary, draft, classification, communication, proposal assistance, analysis, or other output produced or assisted by AI, machine learning, semantic search, rules, retrieval, or automated processing.</w:t>
      </w:r>
    </w:p>
    <w:p>
      <w:pPr>
        <w:widowControl/>
        <w:jc w:val="both"/>
      </w:pPr>
      <w:r>
        <w:rPr>
          <w:rFonts w:ascii="Arial" w:hAnsi="Arial"/>
          <w:b/>
        </w:rPr>
        <w:t xml:space="preserve">“Growth DNA™” </w:t>
      </w:r>
      <w:r>
        <w:rPr>
          <w:rFonts w:ascii="Arial" w:hAnsi="Arial"/>
        </w:rPr>
        <w:t>PrimeMatch AI’s proprietary framework for identifying business-development patterns, readiness factors, market positioning, potential opportunities, and growth pathways.</w:t>
      </w:r>
    </w:p>
    <w:p>
      <w:pPr>
        <w:widowControl/>
        <w:jc w:val="both"/>
      </w:pPr>
      <w:r>
        <w:rPr>
          <w:rFonts w:ascii="Arial" w:hAnsi="Arial"/>
          <w:b/>
        </w:rPr>
        <w:t xml:space="preserve">“Intelligence Engine™” </w:t>
      </w:r>
      <w:r>
        <w:rPr>
          <w:rFonts w:ascii="Arial" w:hAnsi="Arial"/>
        </w:rPr>
        <w:t>a proprietary computational system, reasoning workflow, orchestration layer, scoring methodology, retrieval process, or analytical system that transforms inputs into structured intelligence or decision-support outputs.</w:t>
      </w:r>
    </w:p>
    <w:p>
      <w:pPr>
        <w:widowControl/>
        <w:jc w:val="both"/>
      </w:pPr>
      <w:r>
        <w:rPr>
          <w:rFonts w:ascii="Arial" w:hAnsi="Arial"/>
          <w:b/>
        </w:rPr>
        <w:t xml:space="preserve">“Knowledge Graph™” </w:t>
      </w:r>
      <w:r>
        <w:rPr>
          <w:rFonts w:ascii="Arial" w:hAnsi="Arial"/>
        </w:rPr>
        <w:t>PrimeMatch AI’s proprietary network of permitted entities, attributes, relationships, ontologies, and contextual connections supporting search, matching, inference, and analysis.</w:t>
      </w:r>
    </w:p>
    <w:p>
      <w:pPr>
        <w:widowControl/>
        <w:jc w:val="both"/>
      </w:pPr>
      <w:r>
        <w:rPr>
          <w:rFonts w:ascii="Arial" w:hAnsi="Arial"/>
          <w:b/>
        </w:rPr>
        <w:t xml:space="preserve">“Learning Engine™” </w:t>
      </w:r>
      <w:r>
        <w:rPr>
          <w:rFonts w:ascii="Arial" w:hAnsi="Arial"/>
        </w:rPr>
        <w:t>PrimeMatch AI’s proprietary system that may use permitted feedback, evaluation results, usage patterns, and other authorized data to improve models, rankings, workflows, relevance, and system performance, subject to contractual and privacy restrictions.</w:t>
      </w:r>
    </w:p>
    <w:p>
      <w:pPr>
        <w:widowControl/>
        <w:jc w:val="both"/>
      </w:pPr>
      <w:r>
        <w:rPr>
          <w:rFonts w:ascii="Arial" w:hAnsi="Arial"/>
          <w:b/>
        </w:rPr>
        <w:t xml:space="preserve">“Marketplace Participant” </w:t>
      </w:r>
      <w:r>
        <w:rPr>
          <w:rFonts w:ascii="Arial" w:hAnsi="Arial"/>
        </w:rPr>
        <w:t>any provider, buyer, customer, partner, subcontractor, consultant, independent contractor, organization, or authorized user that uses marketplace functionality.</w:t>
      </w:r>
    </w:p>
    <w:p>
      <w:pPr>
        <w:widowControl/>
        <w:jc w:val="both"/>
      </w:pPr>
      <w:r>
        <w:rPr>
          <w:rFonts w:ascii="Arial" w:hAnsi="Arial"/>
          <w:b/>
        </w:rPr>
        <w:t xml:space="preserve">“Marketplace Provider” </w:t>
      </w:r>
      <w:r>
        <w:rPr>
          <w:rFonts w:ascii="Arial" w:hAnsi="Arial"/>
        </w:rPr>
        <w:t>a Marketplace Participant that offers, lists, proposes, supplies, or seeks to supply services, products, capabilities, personnel, teaming support, or other value through marketplace functionality.</w:t>
      </w:r>
    </w:p>
    <w:p>
      <w:pPr>
        <w:widowControl/>
        <w:jc w:val="both"/>
      </w:pPr>
      <w:r>
        <w:rPr>
          <w:rFonts w:ascii="Arial" w:hAnsi="Arial"/>
          <w:b/>
        </w:rPr>
        <w:t xml:space="preserve">“Marketplace Intelligence™” </w:t>
      </w:r>
      <w:r>
        <w:rPr>
          <w:rFonts w:ascii="Arial" w:hAnsi="Arial"/>
        </w:rPr>
        <w:t>PrimeMatch AI’s proprietary analytical functions supporting marketplace discovery, provider comparison, demand analysis, pricing observations, reputation signals, transaction context, and marketplace decision-support.</w:t>
      </w:r>
    </w:p>
    <w:p>
      <w:pPr>
        <w:widowControl/>
        <w:jc w:val="both"/>
      </w:pPr>
      <w:r>
        <w:rPr>
          <w:rFonts w:ascii="Arial" w:hAnsi="Arial"/>
          <w:b/>
        </w:rPr>
        <w:t xml:space="preserve">“Opportunity DNA™” </w:t>
      </w:r>
      <w:r>
        <w:rPr>
          <w:rFonts w:ascii="Arial" w:hAnsi="Arial"/>
        </w:rPr>
        <w:t>PrimeMatch AI’s proprietary structured representation of a contracting or commercial opportunity’s requirements, objectives, attributes, constraints, acquisition signals, evaluation factors, and related information.</w:t>
      </w:r>
    </w:p>
    <w:p>
      <w:pPr>
        <w:widowControl/>
        <w:jc w:val="both"/>
      </w:pPr>
      <w:r>
        <w:rPr>
          <w:rFonts w:ascii="Arial" w:hAnsi="Arial"/>
          <w:b/>
        </w:rPr>
        <w:t xml:space="preserve">“Opportunity Intelligence™” </w:t>
      </w:r>
      <w:r>
        <w:rPr>
          <w:rFonts w:ascii="Arial" w:hAnsi="Arial"/>
        </w:rPr>
        <w:t>PrimeMatch AI’s proprietary analytics, forecasting, alerts, recommendations, scoring, and decision-support capabilities relating to opportunities, pursuits, timing, fit, competition, probability indicators, and business-development considerations.</w:t>
      </w:r>
    </w:p>
    <w:p>
      <w:pPr>
        <w:widowControl/>
        <w:jc w:val="both"/>
      </w:pPr>
      <w:r>
        <w:rPr>
          <w:rFonts w:ascii="Arial" w:hAnsi="Arial"/>
          <w:b/>
        </w:rPr>
        <w:t xml:space="preserve">“Organization DNA™” </w:t>
      </w:r>
      <w:r>
        <w:rPr>
          <w:rFonts w:ascii="Arial" w:hAnsi="Arial"/>
        </w:rPr>
        <w:t>PrimeMatch AI’s proprietary structured representation of an organization’s capabilities, qualifications, certifications, experience, capacity, preferences, differentiators, weaknesses, operational characteristics, and related attributes.</w:t>
      </w:r>
    </w:p>
    <w:p>
      <w:pPr>
        <w:widowControl/>
        <w:jc w:val="both"/>
      </w:pPr>
      <w:r>
        <w:rPr>
          <w:rFonts w:ascii="Arial" w:hAnsi="Arial"/>
          <w:b/>
        </w:rPr>
        <w:t xml:space="preserve">“Partner Intelligence™” </w:t>
      </w:r>
      <w:r>
        <w:rPr>
          <w:rFonts w:ascii="Arial" w:hAnsi="Arial"/>
        </w:rPr>
        <w:t>PrimeMatch AI’s proprietary analytics, matching, recommendations, relationship analysis, qualification indicators, and decision-support capabilities relating to potential or existing partners.</w:t>
      </w:r>
    </w:p>
    <w:p>
      <w:pPr>
        <w:widowControl/>
        <w:jc w:val="both"/>
      </w:pPr>
      <w:r>
        <w:rPr>
          <w:rFonts w:ascii="Arial" w:hAnsi="Arial"/>
          <w:b/>
        </w:rPr>
        <w:t xml:space="preserve">“PrimeMatch Confidence™” </w:t>
      </w:r>
      <w:r>
        <w:rPr>
          <w:rFonts w:ascii="Arial" w:hAnsi="Arial"/>
        </w:rPr>
        <w:t>PrimeMatch AI’s proprietary confidence-scoring framework used to express estimated relevance, data sufficiency, match confidence, analytical support, or related indicators. It is not a probability of award, certification, credit score, legal conclusion, or guarantee.</w:t>
      </w:r>
    </w:p>
    <w:p>
      <w:pPr>
        <w:widowControl/>
        <w:jc w:val="both"/>
      </w:pPr>
      <w:r>
        <w:rPr>
          <w:rFonts w:ascii="Arial" w:hAnsi="Arial"/>
          <w:b/>
        </w:rPr>
        <w:t xml:space="preserve">“PrimeMatch Intelligence™” </w:t>
      </w:r>
      <w:r>
        <w:rPr>
          <w:rFonts w:ascii="Arial" w:hAnsi="Arial"/>
        </w:rPr>
        <w:t>the overall proprietary collection of PrimeMatch AI’s data models, intelligence layers, analytical methods, AI-assisted processes, scoring methodologies, software systems, outputs, and related intellectual property.</w:t>
      </w:r>
    </w:p>
    <w:p>
      <w:pPr>
        <w:widowControl/>
        <w:jc w:val="both"/>
      </w:pPr>
      <w:r>
        <w:rPr>
          <w:rFonts w:ascii="Arial" w:hAnsi="Arial"/>
          <w:b/>
        </w:rPr>
        <w:t xml:space="preserve">“Proposal DNA™” </w:t>
      </w:r>
      <w:r>
        <w:rPr>
          <w:rFonts w:ascii="Arial" w:hAnsi="Arial"/>
        </w:rPr>
        <w:t>PrimeMatch AI’s proprietary structured representation and analytical framework for proposal content, solicitation alignment, response structure, evidence, themes, gaps, risks, and related proposal factors.</w:t>
      </w:r>
    </w:p>
    <w:p>
      <w:pPr>
        <w:widowControl/>
        <w:jc w:val="both"/>
      </w:pPr>
      <w:r>
        <w:rPr>
          <w:rFonts w:ascii="Arial" w:hAnsi="Arial"/>
          <w:b/>
        </w:rPr>
        <w:t xml:space="preserve">“Proposal Intelligence™” </w:t>
      </w:r>
      <w:r>
        <w:rPr>
          <w:rFonts w:ascii="Arial" w:hAnsi="Arial"/>
        </w:rPr>
        <w:t>PrimeMatch AI’s proprietary analytical and generative functionality supporting proposal planning, drafting assistance, requirements alignment, gap analysis, compliance-support, and content development.</w:t>
      </w:r>
    </w:p>
    <w:p>
      <w:pPr>
        <w:widowControl/>
        <w:jc w:val="both"/>
      </w:pPr>
      <w:r>
        <w:rPr>
          <w:rFonts w:ascii="Arial" w:hAnsi="Arial"/>
          <w:b/>
        </w:rPr>
        <w:t xml:space="preserve">“Relationship DNA™” </w:t>
      </w:r>
      <w:r>
        <w:rPr>
          <w:rFonts w:ascii="Arial" w:hAnsi="Arial"/>
        </w:rPr>
        <w:t>PrimeMatch AI’s proprietary representation of historical, operational, strategic, and interaction-based relationships among organizations, individuals, teams, opportunities, and other relevant entities.</w:t>
      </w:r>
    </w:p>
    <w:p>
      <w:pPr>
        <w:widowControl/>
        <w:jc w:val="both"/>
      </w:pPr>
      <w:r>
        <w:rPr>
          <w:rFonts w:ascii="Arial" w:hAnsi="Arial"/>
          <w:b/>
        </w:rPr>
        <w:t xml:space="preserve">“Reputation Intelligence” </w:t>
      </w:r>
      <w:r>
        <w:rPr>
          <w:rFonts w:ascii="Arial" w:hAnsi="Arial"/>
        </w:rPr>
        <w:t>Platform features that organize, summarize, infer, score, or display reputation-related signals from permitted data. Reputation Intelligence is informational only and is not a background check, credit report, certification, endorsement, or guarantee.</w:t>
      </w:r>
    </w:p>
    <w:p>
      <w:pPr>
        <w:widowControl/>
        <w:jc w:val="both"/>
      </w:pPr>
      <w:r>
        <w:rPr>
          <w:rFonts w:ascii="Arial" w:hAnsi="Arial"/>
          <w:b/>
        </w:rPr>
        <w:t xml:space="preserve">“Semantic Matching Engine™” </w:t>
      </w:r>
      <w:r>
        <w:rPr>
          <w:rFonts w:ascii="Arial" w:hAnsi="Arial"/>
        </w:rPr>
        <w:t>PrimeMatch AI’s proprietary semantic, contextual, attribute-based, embedding, retrieval, and matching technologies used to identify potential relevance among organizations, opportunities, capabilities, teams, providers, proposals, and marketplace needs.</w:t>
      </w:r>
    </w:p>
    <w:p>
      <w:pPr>
        <w:widowControl/>
        <w:jc w:val="both"/>
      </w:pPr>
      <w:r>
        <w:rPr>
          <w:rFonts w:ascii="Arial" w:hAnsi="Arial"/>
          <w:b/>
        </w:rPr>
        <w:t xml:space="preserve">“Team DNA™” </w:t>
      </w:r>
      <w:r>
        <w:rPr>
          <w:rFonts w:ascii="Arial" w:hAnsi="Arial"/>
        </w:rPr>
        <w:t>PrimeMatch AI’s proprietary representation and analytical framework for a proposed or existing team’s combined capabilities, gaps, roles, qualifications, relationships, and other teaming factors.</w:t>
      </w:r>
    </w:p>
    <w:p>
      <w:pPr>
        <w:widowControl/>
        <w:jc w:val="both"/>
      </w:pPr>
      <w:r>
        <w:rPr>
          <w:rFonts w:ascii="Arial" w:hAnsi="Arial"/>
          <w:b/>
        </w:rPr>
        <w:t xml:space="preserve">“Team Strength Index™” </w:t>
      </w:r>
      <w:r>
        <w:rPr>
          <w:rFonts w:ascii="Arial" w:hAnsi="Arial"/>
        </w:rPr>
        <w:t>PrimeMatch AI’s proprietary composite decision-support score or indicator concerning team composition and opportunity alignment; it does not guarantee compatibility, performance, proposal success, or award.</w:t>
      </w:r>
    </w:p>
    <w:p>
      <w:pPr>
        <w:widowControl/>
        <w:jc w:val="both"/>
      </w:pPr>
      <w:r>
        <w:rPr>
          <w:rFonts w:ascii="Arial" w:hAnsi="Arial"/>
          <w:b/>
        </w:rPr>
        <w:t xml:space="preserve">“Trust Score™” </w:t>
      </w:r>
      <w:r>
        <w:rPr>
          <w:rFonts w:ascii="Arial" w:hAnsi="Arial"/>
        </w:rPr>
        <w:t>PrimeMatch AI’s proprietary decision-support score that may synthesize permitted verification, activity, consistency, reputation, responsiveness, profile, relationship, performance, or other signals. It is not a statement of fact as to honesty, solvency, legality, integrity, or future conduct and is not a credit score or background check.</w:t>
      </w:r>
    </w:p>
    <w:p>
      <w:pPr>
        <w:pStyle w:val="Heading2"/>
        <w:widowControl/>
      </w:pPr>
      <w:r>
        <w:rPr>
          <w:rFonts w:ascii="Arial" w:hAnsi="Arial"/>
        </w:rPr>
        <w:t>2.2 Interpretive Rule.</w:t>
      </w:r>
    </w:p>
    <w:p>
      <w:pPr>
        <w:widowControl/>
        <w:jc w:val="both"/>
      </w:pPr>
      <w:r>
        <w:rPr>
          <w:rFonts w:ascii="Arial" w:hAnsi="Arial"/>
        </w:rPr>
        <w:t>References to a proprietary concept include successor names, versions, refinements, enhancements, and substantially similar methodologies or systems. “Including” means including without limitation. References to statutes or regulations include amendments and successor provisions.</w:t>
      </w:r>
    </w:p>
    <w:p>
      <w:pPr>
        <w:pStyle w:val="Heading1"/>
        <w:widowControl/>
      </w:pPr>
      <w:r>
        <w:rPr>
          <w:rFonts w:ascii="Arial" w:hAnsi="Arial"/>
        </w:rPr>
        <w:t>ARTICLE 3. NATURE OF THE PLATFORM AND PRIMEMATCH AI’S ROLE</w:t>
      </w:r>
    </w:p>
    <w:p>
      <w:pPr>
        <w:pStyle w:val="Heading2"/>
        <w:widowControl/>
      </w:pPr>
      <w:r>
        <w:rPr>
          <w:rFonts w:ascii="Arial" w:hAnsi="Arial"/>
        </w:rPr>
        <w:t>3.1 Technology Platform.</w:t>
      </w:r>
    </w:p>
    <w:p>
      <w:pPr>
        <w:widowControl/>
        <w:jc w:val="both"/>
      </w:pPr>
      <w:r>
        <w:rPr>
          <w:rFonts w:ascii="Arial" w:hAnsi="Arial"/>
        </w:rPr>
        <w:t>PrimeMatch AI provides technology that enables discovery, analysis, communication, introductions, collaboration, and, where enabled, marketplace transaction workflows. PrimeMatch AI is not the seller, buyer, prime contractor, subcontractor, joint venturer, employer, staffing agency, procurement official, guarantor, surety, insurer, escrow agent, or contracting party in a transaction between Marketplace Participants unless an Order Form expressly states otherwise.</w:t>
      </w:r>
    </w:p>
    <w:p>
      <w:pPr>
        <w:pStyle w:val="Heading2"/>
        <w:widowControl/>
      </w:pPr>
      <w:r>
        <w:rPr>
          <w:rFonts w:ascii="Arial" w:hAnsi="Arial"/>
        </w:rPr>
        <w:t>3.2 No Agency or Authority.</w:t>
      </w:r>
    </w:p>
    <w:p>
      <w:pPr>
        <w:widowControl/>
        <w:jc w:val="both"/>
      </w:pPr>
      <w:r>
        <w:rPr>
          <w:rFonts w:ascii="Arial" w:hAnsi="Arial"/>
        </w:rPr>
        <w:t>PrimeMatch AI does not have authority to bind a Marketplace Participant, submit a bid or proposal in its name, accept contractual terms for it, negotiate final pricing for it, certify its eligibility, make representations to a contracting authority on its behalf, or execute a teaming, subcontract, joint venture, purchase, or services agreement for it. No Platform feature, including an AI Agent™, may be interpreted to confer such authority unless separately documented in a signed written instrument that expressly identifies the delegated act and applicable safeguards.</w:t>
      </w:r>
    </w:p>
    <w:p>
      <w:pPr>
        <w:pStyle w:val="Heading2"/>
        <w:widowControl/>
      </w:pPr>
      <w:r>
        <w:rPr>
          <w:rFonts w:ascii="Arial" w:hAnsi="Arial"/>
        </w:rPr>
        <w:t>3.3 No Endorsement.</w:t>
      </w:r>
    </w:p>
    <w:p>
      <w:pPr>
        <w:widowControl/>
        <w:jc w:val="both"/>
      </w:pPr>
      <w:r>
        <w:rPr>
          <w:rFonts w:ascii="Arial" w:hAnsi="Arial"/>
        </w:rPr>
        <w:t>A profile, listing, verification indicator, Trust Score™, PrimeMatch Confidence™, Team Strength Index™, recommendation, search position, badge, ranking, or marketplace visibility does not constitute PrimeMatch AI’s endorsement, sponsorship, warranty, certification, or representation concerning a person, organization, product, service, opportunity, or transaction.</w:t>
      </w:r>
    </w:p>
    <w:p>
      <w:pPr>
        <w:pStyle w:val="Heading2"/>
        <w:widowControl/>
      </w:pPr>
      <w:r>
        <w:rPr>
          <w:rFonts w:ascii="Arial" w:hAnsi="Arial"/>
        </w:rPr>
        <w:t>3.4 Decision-Support Boundary.</w:t>
      </w:r>
    </w:p>
    <w:p>
      <w:pPr>
        <w:widowControl/>
        <w:jc w:val="both"/>
      </w:pPr>
      <w:r>
        <w:rPr>
          <w:rFonts w:ascii="Arial" w:hAnsi="Arial"/>
        </w:rPr>
        <w:t>Every recommendation, ranking, score, confidence value, forecast, prediction, match, comparison, proposal suggestion, reputation signal, or AI Output is informational decision-support only. Users remain solely responsible for verifying information and making all business, procurement, legal, financial, staffing, contracting, teaming, and marketplace decisions.</w:t>
      </w:r>
    </w:p>
    <w:p>
      <w:pPr>
        <w:pStyle w:val="Heading1"/>
        <w:widowControl/>
      </w:pPr>
      <w:r>
        <w:rPr>
          <w:rFonts w:ascii="Arial" w:hAnsi="Arial"/>
        </w:rPr>
        <w:t>ARTICLE 4. ELIGIBILITY, AUTHORITY, ACCOUNTS, AND ORGANIZATION ADMINISTRATION</w:t>
      </w:r>
    </w:p>
    <w:p>
      <w:pPr>
        <w:pStyle w:val="Heading2"/>
        <w:widowControl/>
      </w:pPr>
      <w:r>
        <w:rPr>
          <w:rFonts w:ascii="Arial" w:hAnsi="Arial"/>
        </w:rPr>
        <w:t>4.1 Business Use.</w:t>
      </w:r>
    </w:p>
    <w:p>
      <w:pPr>
        <w:widowControl/>
        <w:jc w:val="both"/>
      </w:pPr>
      <w:r>
        <w:rPr>
          <w:rFonts w:ascii="Arial" w:hAnsi="Arial"/>
        </w:rPr>
        <w:t>Covered functionality is intended for legitimate business, professional, government-contracting, commercial-contracting, enterprise, and marketplace purposes. Users must be legally capable of entering binding agreements and satisfy any additional eligibility criteria stated in an Order Form or marketplace program.</w:t>
      </w:r>
    </w:p>
    <w:p>
      <w:pPr>
        <w:pStyle w:val="Heading2"/>
        <w:widowControl/>
      </w:pPr>
      <w:r>
        <w:rPr>
          <w:rFonts w:ascii="Arial" w:hAnsi="Arial"/>
        </w:rPr>
        <w:t>4.2 Authority.</w:t>
      </w:r>
    </w:p>
    <w:p>
      <w:pPr>
        <w:widowControl/>
        <w:jc w:val="both"/>
      </w:pPr>
      <w:r>
        <w:rPr>
          <w:rFonts w:ascii="Arial" w:hAnsi="Arial"/>
        </w:rPr>
        <w:t>An individual creating or controlling an organization profile, publishing a listing, accepting a marketplace order, or initiating a teaming request on behalf of an entity represents and warrants that the individual is authorized to do so. PrimeMatch AI may request reasonable evidence of authority and may restrict organization-level actions while authority is disputed or under review.</w:t>
      </w:r>
    </w:p>
    <w:p>
      <w:pPr>
        <w:pStyle w:val="Heading2"/>
        <w:widowControl/>
      </w:pPr>
      <w:r>
        <w:rPr>
          <w:rFonts w:ascii="Arial" w:hAnsi="Arial"/>
        </w:rPr>
        <w:t>4.3 Account Security.</w:t>
      </w:r>
    </w:p>
    <w:p>
      <w:pPr>
        <w:widowControl/>
        <w:jc w:val="both"/>
      </w:pPr>
      <w:r>
        <w:rPr>
          <w:rFonts w:ascii="Arial" w:hAnsi="Arial"/>
        </w:rPr>
        <w:t>Customer is responsible for Authorized Users, credentials, organization permissions, and actions taken through its accounts. Customer must promptly remove access for departed or unauthorized personnel and must configure role-based permissions consistent with the sensitivity of procurement, proposal, pricing, customer, and marketplace information.</w:t>
      </w:r>
    </w:p>
    <w:p>
      <w:pPr>
        <w:pStyle w:val="Heading2"/>
        <w:widowControl/>
      </w:pPr>
      <w:r>
        <w:rPr>
          <w:rFonts w:ascii="Arial" w:hAnsi="Arial"/>
        </w:rPr>
        <w:t>4.4 Organization Hierarchies.</w:t>
      </w:r>
    </w:p>
    <w:p>
      <w:pPr>
        <w:widowControl/>
        <w:jc w:val="both"/>
      </w:pPr>
      <w:r>
        <w:rPr>
          <w:rFonts w:ascii="Arial" w:hAnsi="Arial"/>
        </w:rPr>
        <w:t>Enterprise customers may establish parent-child entities, business units, teams, workspaces, or role hierarchies. Organization administrators may have visibility or control over data and activity within their scope. Customers are responsible for configuring these relationships and for providing any legally required notices to users.</w:t>
      </w:r>
    </w:p>
    <w:p>
      <w:pPr>
        <w:pStyle w:val="Heading1"/>
        <w:widowControl/>
      </w:pPr>
      <w:r>
        <w:rPr>
          <w:rFonts w:ascii="Arial" w:hAnsi="Arial"/>
        </w:rPr>
        <w:t>ARTICLE 5. PARTNER DISCOVERY, MATCHING, AND INTRODUCTIONS</w:t>
      </w:r>
    </w:p>
    <w:p>
      <w:pPr>
        <w:pStyle w:val="Heading2"/>
        <w:widowControl/>
      </w:pPr>
      <w:r>
        <w:rPr>
          <w:rFonts w:ascii="Arial" w:hAnsi="Arial"/>
        </w:rPr>
        <w:t>5.1 Matching Functions.</w:t>
      </w:r>
    </w:p>
    <w:p>
      <w:pPr>
        <w:widowControl/>
        <w:jc w:val="both"/>
      </w:pPr>
      <w:r>
        <w:rPr>
          <w:rFonts w:ascii="Arial" w:hAnsi="Arial"/>
        </w:rPr>
        <w:t>The Semantic Matching Engine™, Partner Intelligence™, Organization DNA™, Opportunity DNA™, Relationship DNA™, Knowledge Graph™, and related systems may analyze permitted attributes to identify potentially relevant organizations, opportunities, relationships, capabilities, gaps, or teaming combinations. Matching may consider semantic similarity, stated capabilities, qualifications, certifications, past-performance information, geography, capacity, preferences, relationship signals, marketplace activity, opportunity requirements, and other permitted factors.</w:t>
      </w:r>
    </w:p>
    <w:p>
      <w:pPr>
        <w:pStyle w:val="Heading2"/>
        <w:widowControl/>
      </w:pPr>
      <w:r>
        <w:rPr>
          <w:rFonts w:ascii="Arial" w:hAnsi="Arial"/>
        </w:rPr>
        <w:t>5.2 No Completeness or Exhaustiveness.</w:t>
      </w:r>
    </w:p>
    <w:p>
      <w:pPr>
        <w:widowControl/>
        <w:jc w:val="both"/>
      </w:pPr>
      <w:r>
        <w:rPr>
          <w:rFonts w:ascii="Arial" w:hAnsi="Arial"/>
        </w:rPr>
        <w:t>Search and recommendation results are not exhaustive. A potentially suitable organization may not appear, and an organization that appears may be unsuitable. Availability, data quality, user settings, ranking logic, source limitations, permissions, system changes, and other factors may affect results.</w:t>
      </w:r>
    </w:p>
    <w:p>
      <w:pPr>
        <w:pStyle w:val="Heading2"/>
        <w:widowControl/>
      </w:pPr>
      <w:r>
        <w:rPr>
          <w:rFonts w:ascii="Arial" w:hAnsi="Arial"/>
        </w:rPr>
        <w:t>5.3 Introductions.</w:t>
      </w:r>
    </w:p>
    <w:p>
      <w:pPr>
        <w:widowControl/>
        <w:jc w:val="both"/>
      </w:pPr>
      <w:r>
        <w:rPr>
          <w:rFonts w:ascii="Arial" w:hAnsi="Arial"/>
        </w:rPr>
        <w:t>PrimeMatch AI may facilitate introductions or enable users to request, accept, decline, or manage potential partner relationships. An introduction does not obligate either party to communicate, disclose information, form a relationship, submit a proposal, enter a teaming agreement, or transact.</w:t>
      </w:r>
    </w:p>
    <w:p>
      <w:pPr>
        <w:pStyle w:val="Heading2"/>
        <w:widowControl/>
      </w:pPr>
      <w:r>
        <w:rPr>
          <w:rFonts w:ascii="Arial" w:hAnsi="Arial"/>
        </w:rPr>
        <w:t>5.4 Independent Evaluation.</w:t>
      </w:r>
    </w:p>
    <w:p>
      <w:pPr>
        <w:widowControl/>
        <w:jc w:val="both"/>
      </w:pPr>
      <w:r>
        <w:rPr>
          <w:rFonts w:ascii="Arial" w:hAnsi="Arial"/>
        </w:rPr>
        <w:t>Before relying on a potential partner, users should independently assess qualifications, financial capacity, registrations, exclusions, responsibility, insurance, bonding, security clearances, licenses, certifications, past performance, conflicts, organizational conflicts of interest, cybersecurity posture, export-control eligibility, sanctions status, capacity, references, and other factors relevant to the contemplated relationship.</w:t>
      </w:r>
    </w:p>
    <w:p>
      <w:pPr>
        <w:pStyle w:val="Heading1"/>
        <w:widowControl/>
      </w:pPr>
      <w:r>
        <w:rPr>
          <w:rFonts w:ascii="Arial" w:hAnsi="Arial"/>
        </w:rPr>
        <w:t>ARTICLE 6. PRIMEMATCH CONFIDENCE™, TRUST SCORE™, TEAM STRENGTH INDEX™, AND REPUTATION INTELLIGENCE</w:t>
      </w:r>
    </w:p>
    <w:p>
      <w:pPr>
        <w:pStyle w:val="Heading2"/>
        <w:widowControl/>
      </w:pPr>
      <w:r>
        <w:rPr>
          <w:rFonts w:ascii="Arial" w:hAnsi="Arial"/>
        </w:rPr>
        <w:t>6.1 Nature of Scores.</w:t>
      </w:r>
    </w:p>
    <w:p>
      <w:pPr>
        <w:widowControl/>
        <w:jc w:val="both"/>
      </w:pPr>
      <w:r>
        <w:rPr>
          <w:rFonts w:ascii="Arial" w:hAnsi="Arial"/>
        </w:rPr>
        <w:t>PrimeMatch Confidence™, Trust Score™, Team Strength Index™, and Reputation Intelligence are proprietary analytical decision-support tools. They may combine, weight, infer, normalize, summarize, or compare data from multiple sources, including user-provided data, Platform activity, public information, third-party information, and derived signals, as permitted by applicable agreements and law.</w:t>
      </w:r>
    </w:p>
    <w:p>
      <w:pPr>
        <w:pStyle w:val="Heading2"/>
        <w:widowControl/>
      </w:pPr>
      <w:r>
        <w:rPr>
          <w:rFonts w:ascii="Arial" w:hAnsi="Arial"/>
        </w:rPr>
        <w:t>6.2 Not Determinations of Fact.</w:t>
      </w:r>
    </w:p>
    <w:p>
      <w:pPr>
        <w:widowControl/>
        <w:jc w:val="both"/>
      </w:pPr>
      <w:r>
        <w:rPr>
          <w:rFonts w:ascii="Arial" w:hAnsi="Arial"/>
        </w:rPr>
        <w:t>Scores and reputation signals do not determine or certify honesty, integrity, responsibility, solvency, creditworthiness, security, licensing, insurance, regulatory compliance, capability, availability, eligibility, performance, or future conduct. They are not substitutes for background checks, credit reports, suspension/debarment checks, responsibility determinations, professional due diligence, or legal review.</w:t>
      </w:r>
    </w:p>
    <w:p>
      <w:pPr>
        <w:pStyle w:val="Heading2"/>
        <w:widowControl/>
      </w:pPr>
      <w:r>
        <w:rPr>
          <w:rFonts w:ascii="Arial" w:hAnsi="Arial"/>
        </w:rPr>
        <w:t>6.3 No Sole-Basis Use.</w:t>
      </w:r>
    </w:p>
    <w:p>
      <w:pPr>
        <w:widowControl/>
        <w:jc w:val="both"/>
      </w:pPr>
      <w:r>
        <w:rPr>
          <w:rFonts w:ascii="Arial" w:hAnsi="Arial"/>
        </w:rPr>
        <w:t>Users must not use a Trust Score™, Team Strength Index™, PrimeMatch Confidence™, or other Platform score as the sole basis for a consequential decision concerning employment, credit, insurance, housing, eligibility for a legally protected benefit, or another use regulated as a high-impact or legally consequential decision unless expressly authorized by applicable law and a written PrimeMatch AI agreement designed for that use case.</w:t>
      </w:r>
    </w:p>
    <w:p>
      <w:pPr>
        <w:pStyle w:val="Heading2"/>
        <w:widowControl/>
      </w:pPr>
      <w:r>
        <w:rPr>
          <w:rFonts w:ascii="Arial" w:hAnsi="Arial"/>
        </w:rPr>
        <w:t>6.4 Score Changes.</w:t>
      </w:r>
    </w:p>
    <w:p>
      <w:pPr>
        <w:widowControl/>
        <w:jc w:val="both"/>
      </w:pPr>
      <w:r>
        <w:rPr>
          <w:rFonts w:ascii="Arial" w:hAnsi="Arial"/>
        </w:rPr>
        <w:t>Scores may change as data, models, source availability, user behavior, feedback, or analytical methods change. Historical scores may not be reproducible after system updates. PrimeMatch AI may modify, recalibrate, retire, or replace scoring methodologies without disclosing proprietary formulas or coefficients.</w:t>
      </w:r>
    </w:p>
    <w:p>
      <w:pPr>
        <w:pStyle w:val="Heading2"/>
        <w:widowControl/>
      </w:pPr>
      <w:r>
        <w:rPr>
          <w:rFonts w:ascii="Arial" w:hAnsi="Arial"/>
        </w:rPr>
        <w:t>6.5 Challenges and Corrections.</w:t>
      </w:r>
    </w:p>
    <w:p>
      <w:pPr>
        <w:widowControl/>
        <w:jc w:val="both"/>
      </w:pPr>
      <w:r>
        <w:rPr>
          <w:rFonts w:ascii="Arial" w:hAnsi="Arial"/>
        </w:rPr>
        <w:t>Where functionality permits, users may submit corrections, supplemental information, or challenges to data associated with their profiles or reputation signals. PrimeMatch AI may request substantiation and may preserve audit records. A challenge does not require PrimeMatch AI to alter a proprietary analytical conclusion if underlying data remains supported.</w:t>
      </w:r>
    </w:p>
    <w:p>
      <w:pPr>
        <w:pStyle w:val="Heading1"/>
        <w:widowControl/>
      </w:pPr>
      <w:r>
        <w:rPr>
          <w:rFonts w:ascii="Arial" w:hAnsi="Arial"/>
        </w:rPr>
        <w:t>ARTICLE 7. TEAM FORMATION, TEAMING OPPORTUNITIES, AND RELATIONSHIP DEVELOPMENT</w:t>
      </w:r>
    </w:p>
    <w:p>
      <w:pPr>
        <w:pStyle w:val="Heading2"/>
        <w:widowControl/>
      </w:pPr>
      <w:r>
        <w:rPr>
          <w:rFonts w:ascii="Arial" w:hAnsi="Arial"/>
        </w:rPr>
        <w:t>7.1 Team Recommendations.</w:t>
      </w:r>
    </w:p>
    <w:p>
      <w:pPr>
        <w:widowControl/>
        <w:jc w:val="both"/>
      </w:pPr>
      <w:r>
        <w:rPr>
          <w:rFonts w:ascii="Arial" w:hAnsi="Arial"/>
        </w:rPr>
        <w:t>Team DNA™, Relationship DNA™, Team Strength Index™, Partner Intelligence™, and Opportunity Intelligence™ may be used to suggest possible team structures, capability coverage, role assignments, gaps, complementary strengths, or relationship opportunities. Such outputs are analytical suggestions only.</w:t>
      </w:r>
    </w:p>
    <w:p>
      <w:pPr>
        <w:pStyle w:val="Heading2"/>
        <w:widowControl/>
      </w:pPr>
      <w:r>
        <w:rPr>
          <w:rFonts w:ascii="Arial" w:hAnsi="Arial"/>
        </w:rPr>
        <w:t>7.2 No Partnership or Joint Venture.</w:t>
      </w:r>
    </w:p>
    <w:p>
      <w:pPr>
        <w:widowControl/>
        <w:jc w:val="both"/>
      </w:pPr>
      <w:r>
        <w:rPr>
          <w:rFonts w:ascii="Arial" w:hAnsi="Arial"/>
        </w:rPr>
        <w:t>Use of collaboration tools, creation of a team workspace, acceptance of a match, sharing of data, or appearance on a proposed team does not create a partnership, joint venture, fiduciary relationship, mentor-protégé relationship, subcontract, prime-subcontract relationship, agency, exclusivity obligation, or other legal association. Any such relationship must arise from a separate agreement among the applicable parties.</w:t>
      </w:r>
    </w:p>
    <w:p>
      <w:pPr>
        <w:pStyle w:val="Heading2"/>
        <w:widowControl/>
      </w:pPr>
      <w:r>
        <w:rPr>
          <w:rFonts w:ascii="Arial" w:hAnsi="Arial"/>
        </w:rPr>
        <w:t>7.3 Teaming Agreements.</w:t>
      </w:r>
    </w:p>
    <w:p>
      <w:pPr>
        <w:widowControl/>
        <w:jc w:val="both"/>
      </w:pPr>
      <w:r>
        <w:rPr>
          <w:rFonts w:ascii="Arial" w:hAnsi="Arial"/>
        </w:rPr>
        <w:t>Users are responsible for negotiating and documenting confidentiality, exclusivity, workshare, pricing, proposal responsibilities, intellectual property, data rights, flow-down clauses, compliance obligations, dispute procedures, termination rights, and other terms appropriate to a teaming relationship. PrimeMatch AI does not provide or negotiate such legal terms unless separately offering an expressly identified legal-support service through qualified counsel, which is not assumed under this Agreement.</w:t>
      </w:r>
    </w:p>
    <w:p>
      <w:pPr>
        <w:pStyle w:val="Heading2"/>
        <w:widowControl/>
      </w:pPr>
      <w:r>
        <w:rPr>
          <w:rFonts w:ascii="Arial" w:hAnsi="Arial"/>
        </w:rPr>
        <w:t>7.4 No Assurance of Workshare.</w:t>
      </w:r>
    </w:p>
    <w:p>
      <w:pPr>
        <w:widowControl/>
        <w:jc w:val="both"/>
      </w:pPr>
      <w:r>
        <w:rPr>
          <w:rFonts w:ascii="Arial" w:hAnsi="Arial"/>
        </w:rPr>
        <w:t>A team recommendation, proposed role, capability-gap analysis, or Platform communication does not guarantee workshare, subcontract value, proposal inclusion, award participation, or any post-award relationship.</w:t>
      </w:r>
    </w:p>
    <w:p>
      <w:pPr>
        <w:pStyle w:val="Heading1"/>
        <w:widowControl/>
      </w:pPr>
      <w:r>
        <w:rPr>
          <w:rFonts w:ascii="Arial" w:hAnsi="Arial"/>
        </w:rPr>
        <w:t>ARTICLE 8. GOVERNMENT CONTRACTING AND PROCUREMENT-SPECIFIC RESPONSIBILITIES</w:t>
      </w:r>
    </w:p>
    <w:p>
      <w:pPr>
        <w:pStyle w:val="Heading2"/>
        <w:widowControl/>
      </w:pPr>
      <w:r>
        <w:rPr>
          <w:rFonts w:ascii="Arial" w:hAnsi="Arial"/>
        </w:rPr>
        <w:t>8.1 User Responsibility for Procurement Compliance.</w:t>
      </w:r>
    </w:p>
    <w:p>
      <w:pPr>
        <w:widowControl/>
        <w:jc w:val="both"/>
      </w:pPr>
      <w:r>
        <w:rPr>
          <w:rFonts w:ascii="Arial" w:hAnsi="Arial"/>
        </w:rPr>
        <w:t>Government contractor and subcontractor users remain solely responsible for compliance with applicable solicitation terms, procurement statutes, regulations, agency supplements, representations and certifications, socioeconomic-status rules, size standards, affiliation rules, subcontracting limitations, domestic preference requirements, cybersecurity clauses, data rights, export controls, security requirements, labor requirements, ethics rules, and other obligations applicable to a pursuit or award.</w:t>
      </w:r>
    </w:p>
    <w:p>
      <w:pPr>
        <w:pStyle w:val="Heading2"/>
        <w:widowControl/>
      </w:pPr>
      <w:r>
        <w:rPr>
          <w:rFonts w:ascii="Arial" w:hAnsi="Arial"/>
        </w:rPr>
        <w:t>8.2 No Eligibility Determination.</w:t>
      </w:r>
    </w:p>
    <w:p>
      <w:pPr>
        <w:widowControl/>
        <w:jc w:val="both"/>
      </w:pPr>
      <w:r>
        <w:rPr>
          <w:rFonts w:ascii="Arial" w:hAnsi="Arial"/>
        </w:rPr>
        <w:t>PrimeMatch AI does not determine whether an entity is a responsible prospective contractor, eligible offeror, small business, SDVOSB, WOSB, HUBZone concern, 8(a) participant, disadvantaged business, certified vendor, licensed contractor, cleared contractor, or otherwise qualified for a procurement. Any displayed status is informational and may depend on user-entered or third-party data.</w:t>
      </w:r>
    </w:p>
    <w:p>
      <w:pPr>
        <w:pStyle w:val="Heading2"/>
        <w:widowControl/>
      </w:pPr>
      <w:r>
        <w:rPr>
          <w:rFonts w:ascii="Arial" w:hAnsi="Arial"/>
        </w:rPr>
        <w:t>8.3 SAM.gov and Government Data.</w:t>
      </w:r>
    </w:p>
    <w:p>
      <w:pPr>
        <w:widowControl/>
        <w:jc w:val="both"/>
      </w:pPr>
      <w:r>
        <w:rPr>
          <w:rFonts w:ascii="Arial" w:hAnsi="Arial"/>
        </w:rPr>
        <w:t>The Platform may ingest, display, summarize, or analyze public procurement or registration information from SAM.gov, agency systems, procurement portals, public notices, or other government sources. PrimeMatch AI is not the government source and does not warrant that such information is complete, current, error-free, or controlling. Users must review the official solicitation, amendment, notice, award, registration, or agency source before acting.</w:t>
      </w:r>
    </w:p>
    <w:p>
      <w:pPr>
        <w:pStyle w:val="Heading2"/>
        <w:widowControl/>
      </w:pPr>
      <w:r>
        <w:rPr>
          <w:rFonts w:ascii="Arial" w:hAnsi="Arial"/>
        </w:rPr>
        <w:t>8.4 Procurement Integrity.</w:t>
      </w:r>
    </w:p>
    <w:p>
      <w:pPr>
        <w:widowControl/>
        <w:jc w:val="both"/>
      </w:pPr>
      <w:r>
        <w:rPr>
          <w:rFonts w:ascii="Arial" w:hAnsi="Arial"/>
        </w:rPr>
        <w:t>Users must not use the Platform to solicit, receive, transmit, infer, purchase, sell, or exploit procurement-sensitive, source-selection, contractor bid or proposal, competitor proprietary, classified, controlled, or other information that the user is not legally entitled to possess or use. Users must comply with applicable procurement-integrity, conflicts, revolving-door, and ethics restrictions.</w:t>
      </w:r>
    </w:p>
    <w:p>
      <w:pPr>
        <w:pStyle w:val="Heading2"/>
        <w:widowControl/>
      </w:pPr>
      <w:r>
        <w:rPr>
          <w:rFonts w:ascii="Arial" w:hAnsi="Arial"/>
        </w:rPr>
        <w:t>8.5 OCI and Conflicts.</w:t>
      </w:r>
    </w:p>
    <w:p>
      <w:pPr>
        <w:widowControl/>
        <w:jc w:val="both"/>
      </w:pPr>
      <w:r>
        <w:rPr>
          <w:rFonts w:ascii="Arial" w:hAnsi="Arial"/>
        </w:rPr>
        <w:t>The Platform may assist with identifying apparent relationship or conflict signals, but PrimeMatch AI does not determine whether an organizational conflict of interest, personal conflict of interest, impaired objectivity, unequal-access-to-information issue, or other disqualifying conflict exists. Users must conduct their own legal and procurement review.</w:t>
      </w:r>
    </w:p>
    <w:p>
      <w:pPr>
        <w:pStyle w:val="Heading2"/>
        <w:widowControl/>
      </w:pPr>
      <w:r>
        <w:rPr>
          <w:rFonts w:ascii="Arial" w:hAnsi="Arial"/>
        </w:rPr>
        <w:t>8.6 Teaming and Competition Rules.</w:t>
      </w:r>
    </w:p>
    <w:p>
      <w:pPr>
        <w:widowControl/>
        <w:jc w:val="both"/>
      </w:pPr>
      <w:r>
        <w:rPr>
          <w:rFonts w:ascii="Arial" w:hAnsi="Arial"/>
        </w:rPr>
        <w:t>Users are responsible for ensuring that communications and teaming conduct comply with antitrust, competition, bid-rigging, market-allocation, non-collusion, and procurement rules. The Platform must not be used to coordinate unlawful pricing, allocate customers or territories, suppress competition, exchange competitively sensitive information without lawful basis, or manipulate procurement outcomes.</w:t>
      </w:r>
    </w:p>
    <w:p>
      <w:pPr>
        <w:pStyle w:val="Heading1"/>
        <w:widowControl/>
      </w:pPr>
      <w:r>
        <w:rPr>
          <w:rFonts w:ascii="Arial" w:hAnsi="Arial"/>
        </w:rPr>
        <w:t>ARTICLE 9. COMMERCIAL CONTRACTING AND ENTERPRISE OPPORTUNITIES</w:t>
      </w:r>
    </w:p>
    <w:p>
      <w:pPr>
        <w:pStyle w:val="Heading2"/>
        <w:widowControl/>
      </w:pPr>
      <w:r>
        <w:rPr>
          <w:rFonts w:ascii="Arial" w:hAnsi="Arial"/>
        </w:rPr>
        <w:t>9.1 Commercial Use.</w:t>
      </w:r>
    </w:p>
    <w:p>
      <w:pPr>
        <w:widowControl/>
        <w:jc w:val="both"/>
      </w:pPr>
      <w:r>
        <w:rPr>
          <w:rFonts w:ascii="Arial" w:hAnsi="Arial"/>
        </w:rPr>
        <w:t>The Platform may support partner matching and marketplace activity for private-sector opportunities. Commercial users remain responsible for vendor qualification, competitive bidding requirements, corporate procurement policies, conflicts, data-protection obligations, trade restrictions, licenses, professional qualifications, and contract review.</w:t>
      </w:r>
    </w:p>
    <w:p>
      <w:pPr>
        <w:pStyle w:val="Heading2"/>
        <w:widowControl/>
      </w:pPr>
      <w:r>
        <w:rPr>
          <w:rFonts w:ascii="Arial" w:hAnsi="Arial"/>
        </w:rPr>
        <w:t>9.2 Forecasts and Pipeline Intelligence.</w:t>
      </w:r>
    </w:p>
    <w:p>
      <w:pPr>
        <w:widowControl/>
        <w:jc w:val="both"/>
      </w:pPr>
      <w:r>
        <w:rPr>
          <w:rFonts w:ascii="Arial" w:hAnsi="Arial"/>
        </w:rPr>
        <w:t>Opportunity forecasts, pipeline indicators, Growth DNA™, Opportunity Intelligence™, and Executive Intelligence™ may assist planning but do not guarantee that an opportunity will be issued, funded, won, performed, renewed, or profitable.</w:t>
      </w:r>
    </w:p>
    <w:p>
      <w:pPr>
        <w:pStyle w:val="Heading2"/>
        <w:widowControl/>
      </w:pPr>
      <w:r>
        <w:rPr>
          <w:rFonts w:ascii="Arial" w:hAnsi="Arial"/>
        </w:rPr>
        <w:t>9.3 Enterprise Policies.</w:t>
      </w:r>
    </w:p>
    <w:p>
      <w:pPr>
        <w:widowControl/>
        <w:jc w:val="both"/>
      </w:pPr>
      <w:r>
        <w:rPr>
          <w:rFonts w:ascii="Arial" w:hAnsi="Arial"/>
        </w:rPr>
        <w:t>An enterprise customer may impose additional marketplace, approved-vendor, procurement, security, insurance, or data rules on users within its managed environment. PrimeMatch AI may technically support those controls but does not assume the enterprise customer’s compliance or approval responsibilities.</w:t>
      </w:r>
    </w:p>
    <w:p>
      <w:pPr>
        <w:pStyle w:val="Heading1"/>
        <w:widowControl/>
      </w:pPr>
      <w:r>
        <w:rPr>
          <w:rFonts w:ascii="Arial" w:hAnsi="Arial"/>
        </w:rPr>
        <w:t>ARTICLE 10. MARKETPLACE PROVIDER ELIGIBILITY AND LISTINGS</w:t>
      </w:r>
    </w:p>
    <w:p>
      <w:pPr>
        <w:pStyle w:val="Heading2"/>
        <w:widowControl/>
      </w:pPr>
      <w:r>
        <w:rPr>
          <w:rFonts w:ascii="Arial" w:hAnsi="Arial"/>
        </w:rPr>
        <w:t>10.1 Provider Responsibility.</w:t>
      </w:r>
    </w:p>
    <w:p>
      <w:pPr>
        <w:widowControl/>
        <w:jc w:val="both"/>
      </w:pPr>
      <w:r>
        <w:rPr>
          <w:rFonts w:ascii="Arial" w:hAnsi="Arial"/>
        </w:rPr>
        <w:t>A Marketplace Provider is solely responsible for the accuracy, legality, completeness, and non-misleading nature of its profile, listing, pricing, availability, capabilities, qualifications, credentials, past-performance claims, service descriptions, personnel information, certifications, licenses, and other representations.</w:t>
      </w:r>
    </w:p>
    <w:p>
      <w:pPr>
        <w:pStyle w:val="Heading2"/>
        <w:widowControl/>
      </w:pPr>
      <w:r>
        <w:rPr>
          <w:rFonts w:ascii="Arial" w:hAnsi="Arial"/>
        </w:rPr>
        <w:t>10.2 No Listing Right.</w:t>
      </w:r>
    </w:p>
    <w:p>
      <w:pPr>
        <w:widowControl/>
        <w:jc w:val="both"/>
      </w:pPr>
      <w:r>
        <w:rPr>
          <w:rFonts w:ascii="Arial" w:hAnsi="Arial"/>
        </w:rPr>
        <w:t>PrimeMatch AI may establish, modify, or enforce marketplace eligibility, quality, verification, category, documentation, security, or conduct standards. Acceptance of a provider, publication of a listing, or prior participation does not create a vested right to continued marketplace access or placement.</w:t>
      </w:r>
    </w:p>
    <w:p>
      <w:pPr>
        <w:pStyle w:val="Heading2"/>
        <w:widowControl/>
      </w:pPr>
      <w:r>
        <w:rPr>
          <w:rFonts w:ascii="Arial" w:hAnsi="Arial"/>
        </w:rPr>
        <w:t>10.3 Required Disclosures.</w:t>
      </w:r>
    </w:p>
    <w:p>
      <w:pPr>
        <w:widowControl/>
        <w:jc w:val="both"/>
      </w:pPr>
      <w:r>
        <w:rPr>
          <w:rFonts w:ascii="Arial" w:hAnsi="Arial"/>
        </w:rPr>
        <w:t>Providers must disclose material limitations, dependencies, exclusions, geographic restrictions, licensing requirements, conflicts, subcontracting assumptions, third-party components, unusual risks, and other information a reasonable buyer would consider material to evaluating an offering.</w:t>
      </w:r>
    </w:p>
    <w:p>
      <w:pPr>
        <w:pStyle w:val="Heading2"/>
        <w:widowControl/>
      </w:pPr>
      <w:r>
        <w:rPr>
          <w:rFonts w:ascii="Arial" w:hAnsi="Arial"/>
        </w:rPr>
        <w:t>10.4 Prohibited Listings.</w:t>
      </w:r>
    </w:p>
    <w:p>
      <w:pPr>
        <w:widowControl/>
        <w:jc w:val="both"/>
      </w:pPr>
      <w:r>
        <w:rPr>
          <w:rFonts w:ascii="Arial" w:hAnsi="Arial"/>
        </w:rPr>
        <w:t>Providers may not list illegal goods or services, deceptive or fraudulent services, unauthorized access or data, procurement-sensitive information, unlawful surveillance, discriminatory services, counterfeit materials, controlled items without required authorization, or other prohibited content identified in Platform policies.</w:t>
      </w:r>
    </w:p>
    <w:p>
      <w:pPr>
        <w:pStyle w:val="Heading2"/>
        <w:widowControl/>
      </w:pPr>
      <w:r>
        <w:rPr>
          <w:rFonts w:ascii="Arial" w:hAnsi="Arial"/>
        </w:rPr>
        <w:t>10.5 Professional and Regulated Services.</w:t>
      </w:r>
    </w:p>
    <w:p>
      <w:pPr>
        <w:widowControl/>
        <w:jc w:val="both"/>
      </w:pPr>
      <w:r>
        <w:rPr>
          <w:rFonts w:ascii="Arial" w:hAnsi="Arial"/>
        </w:rPr>
        <w:t>A provider offering legal, accounting, engineering, architecture, financial, medical, security, staffing, brokerage, licensing, or other regulated services is solely responsible for maintaining required licenses, registrations, insurance, supervision, disclosures, and professional obligations. Marketplace availability does not imply PrimeMatch AI verification of legal authority to practice.</w:t>
      </w:r>
    </w:p>
    <w:p>
      <w:pPr>
        <w:pStyle w:val="Heading1"/>
        <w:widowControl/>
      </w:pPr>
      <w:r>
        <w:rPr>
          <w:rFonts w:ascii="Arial" w:hAnsi="Arial"/>
        </w:rPr>
        <w:t>ARTICLE 11. MARKETPLACE CUSTOMER RESPONSIBILITIES</w:t>
      </w:r>
    </w:p>
    <w:p>
      <w:pPr>
        <w:pStyle w:val="Heading2"/>
        <w:widowControl/>
      </w:pPr>
      <w:r>
        <w:rPr>
          <w:rFonts w:ascii="Arial" w:hAnsi="Arial"/>
        </w:rPr>
        <w:t>11.1 Requirements Definition.</w:t>
      </w:r>
    </w:p>
    <w:p>
      <w:pPr>
        <w:widowControl/>
        <w:jc w:val="both"/>
      </w:pPr>
      <w:r>
        <w:rPr>
          <w:rFonts w:ascii="Arial" w:hAnsi="Arial"/>
        </w:rPr>
        <w:t>A buyer or customer is responsible for accurately describing its requirements, constraints, required qualifications, deliverables, schedule, budget assumptions, security needs, data-access needs, and acceptance criteria. AI-assisted drafting of a requirement does not shift that responsibility to PrimeMatch AI.</w:t>
      </w:r>
    </w:p>
    <w:p>
      <w:pPr>
        <w:pStyle w:val="Heading2"/>
        <w:widowControl/>
      </w:pPr>
      <w:r>
        <w:rPr>
          <w:rFonts w:ascii="Arial" w:hAnsi="Arial"/>
        </w:rPr>
        <w:t>11.2 Vendor Selection.</w:t>
      </w:r>
    </w:p>
    <w:p>
      <w:pPr>
        <w:widowControl/>
        <w:jc w:val="both"/>
      </w:pPr>
      <w:r>
        <w:rPr>
          <w:rFonts w:ascii="Arial" w:hAnsi="Arial"/>
        </w:rPr>
        <w:t>Customers must independently evaluate providers and determine whether any provider is appropriate for a contemplated engagement. PrimeMatch AI does not act as procurement agent, source-selection authority, or fiduciary for marketplace customers.</w:t>
      </w:r>
    </w:p>
    <w:p>
      <w:pPr>
        <w:pStyle w:val="Heading2"/>
        <w:widowControl/>
      </w:pPr>
      <w:r>
        <w:rPr>
          <w:rFonts w:ascii="Arial" w:hAnsi="Arial"/>
        </w:rPr>
        <w:t>11.3 Restricted Information.</w:t>
      </w:r>
    </w:p>
    <w:p>
      <w:pPr>
        <w:widowControl/>
        <w:jc w:val="both"/>
      </w:pPr>
      <w:r>
        <w:rPr>
          <w:rFonts w:ascii="Arial" w:hAnsi="Arial"/>
        </w:rPr>
        <w:t>Customers must not disclose classified information, export-controlled technical data, source-selection information, CUI, protected health information, financial account credentials, personal data, or other sensitive material through marketplace features unless the applicable PrimeMatch AI service is expressly authorized and configured for that data category and the customer has a lawful basis to disclose it.</w:t>
      </w:r>
    </w:p>
    <w:p>
      <w:pPr>
        <w:pStyle w:val="Heading2"/>
        <w:widowControl/>
      </w:pPr>
      <w:r>
        <w:rPr>
          <w:rFonts w:ascii="Arial" w:hAnsi="Arial"/>
        </w:rPr>
        <w:t>11.4 Fair Dealing.</w:t>
      </w:r>
    </w:p>
    <w:p>
      <w:pPr>
        <w:widowControl/>
        <w:jc w:val="both"/>
      </w:pPr>
      <w:r>
        <w:rPr>
          <w:rFonts w:ascii="Arial" w:hAnsi="Arial"/>
        </w:rPr>
        <w:t>Customers may not use the marketplace to obtain uncompensated work product through deceptive solicitations, misrepresent purchasing authority, misuse provider proposals or confidential information, evade agreed payment obligations, or otherwise engage in abusive procurement practices.</w:t>
      </w:r>
    </w:p>
    <w:p>
      <w:pPr>
        <w:pStyle w:val="Heading1"/>
        <w:widowControl/>
      </w:pPr>
      <w:r>
        <w:rPr>
          <w:rFonts w:ascii="Arial" w:hAnsi="Arial"/>
        </w:rPr>
        <w:t>ARTICLE 12. MARKETPLACE TRANSACTIONS, ORDERING, AND CONTRACT FORMATION</w:t>
      </w:r>
    </w:p>
    <w:p>
      <w:pPr>
        <w:pStyle w:val="Heading2"/>
        <w:widowControl/>
      </w:pPr>
      <w:r>
        <w:rPr>
          <w:rFonts w:ascii="Arial" w:hAnsi="Arial"/>
        </w:rPr>
        <w:t>12.1 Participant-to-Participant Contract.</w:t>
      </w:r>
    </w:p>
    <w:p>
      <w:pPr>
        <w:widowControl/>
        <w:jc w:val="both"/>
      </w:pPr>
      <w:r>
        <w:rPr>
          <w:rFonts w:ascii="Arial" w:hAnsi="Arial"/>
        </w:rPr>
        <w:t>Unless an Order Form expressly states otherwise, any purchase order, statement of work, subcontract, teaming agreement, services agreement, license, or other transaction formed between Marketplace Participants is solely between those participants. PrimeMatch AI is not a party to that agreement and assumes no duty to perform or enforce it.</w:t>
      </w:r>
    </w:p>
    <w:p>
      <w:pPr>
        <w:pStyle w:val="Heading2"/>
        <w:widowControl/>
      </w:pPr>
      <w:r>
        <w:rPr>
          <w:rFonts w:ascii="Arial" w:hAnsi="Arial"/>
        </w:rPr>
        <w:t>12.2 Platform Workflow.</w:t>
      </w:r>
    </w:p>
    <w:p>
      <w:pPr>
        <w:widowControl/>
        <w:jc w:val="both"/>
      </w:pPr>
      <w:r>
        <w:rPr>
          <w:rFonts w:ascii="Arial" w:hAnsi="Arial"/>
        </w:rPr>
        <w:t>Marketplace tools may facilitate requests, quotes, proposals, order details, acceptance workflows, signatures, status updates, milestones, invoices, payment instructions, or communications. Such technical facilitation does not alter the legal identity of the contracting parties or make PrimeMatch AI a seller, buyer, employer, prime contractor, subcontractor, or agent.</w:t>
      </w:r>
    </w:p>
    <w:p>
      <w:pPr>
        <w:pStyle w:val="Heading2"/>
        <w:widowControl/>
      </w:pPr>
      <w:r>
        <w:rPr>
          <w:rFonts w:ascii="Arial" w:hAnsi="Arial"/>
        </w:rPr>
        <w:t>12.3 Electronic Communications and Acceptance.</w:t>
      </w:r>
    </w:p>
    <w:p>
      <w:pPr>
        <w:widowControl/>
        <w:jc w:val="both"/>
      </w:pPr>
      <w:r>
        <w:rPr>
          <w:rFonts w:ascii="Arial" w:hAnsi="Arial"/>
        </w:rPr>
        <w:t>Marketplace Participants consent to use electronic communications and records where permitted by law. Users are responsible for determining whether a click, electronic acceptance, digital signature, purchase order, or other action creates a binding agreement under their applicable policies and law.</w:t>
      </w:r>
    </w:p>
    <w:p>
      <w:pPr>
        <w:pStyle w:val="Heading2"/>
        <w:widowControl/>
      </w:pPr>
      <w:r>
        <w:rPr>
          <w:rFonts w:ascii="Arial" w:hAnsi="Arial"/>
        </w:rPr>
        <w:t>12.4 Conflicting Terms.</w:t>
      </w:r>
    </w:p>
    <w:p>
      <w:pPr>
        <w:widowControl/>
        <w:jc w:val="both"/>
      </w:pPr>
      <w:r>
        <w:rPr>
          <w:rFonts w:ascii="Arial" w:hAnsi="Arial"/>
        </w:rPr>
        <w:t>PrimeMatch AI does not adjudicate conflicts between participant purchase-order terms, provider terms, statements of work, teaming terms, or other transaction documents. Participants should resolve order-of-precedence issues in their own contract.</w:t>
      </w:r>
    </w:p>
    <w:p>
      <w:pPr>
        <w:pStyle w:val="Heading2"/>
        <w:widowControl/>
      </w:pPr>
      <w:r>
        <w:rPr>
          <w:rFonts w:ascii="Arial" w:hAnsi="Arial"/>
        </w:rPr>
        <w:t>12.5 No Procurement Authority.</w:t>
      </w:r>
    </w:p>
    <w:p>
      <w:pPr>
        <w:widowControl/>
        <w:jc w:val="both"/>
      </w:pPr>
      <w:r>
        <w:rPr>
          <w:rFonts w:ascii="Arial" w:hAnsi="Arial"/>
        </w:rPr>
        <w:t>PrimeMatch AI does not represent that a user has authority to obligate a government agency, public body, enterprise, or other organization. Users must verify contracting and purchasing authority independently.</w:t>
      </w:r>
    </w:p>
    <w:p>
      <w:pPr>
        <w:pStyle w:val="Heading1"/>
        <w:widowControl/>
      </w:pPr>
      <w:r>
        <w:rPr>
          <w:rFonts w:ascii="Arial" w:hAnsi="Arial"/>
        </w:rPr>
        <w:t>ARTICLE 13. FEES, PAYMENT PROCESSING, TAXES, REFUNDS, AND CHARGEBACKS</w:t>
      </w:r>
    </w:p>
    <w:p>
      <w:pPr>
        <w:pStyle w:val="Heading2"/>
        <w:widowControl/>
      </w:pPr>
      <w:r>
        <w:rPr>
          <w:rFonts w:ascii="Arial" w:hAnsi="Arial"/>
        </w:rPr>
        <w:t>13.1 Platform Fees.</w:t>
      </w:r>
    </w:p>
    <w:p>
      <w:pPr>
        <w:widowControl/>
        <w:jc w:val="both"/>
      </w:pPr>
      <w:r>
        <w:rPr>
          <w:rFonts w:ascii="Arial" w:hAnsi="Arial"/>
        </w:rPr>
        <w:t>PrimeMatch AI may charge subscription fees, transaction fees, listing fees, referral or facilitation fees, payment-processing charges, enterprise fees, or other fees disclosed before the applicable transaction or in an Order Form. Fee structures may vary by program, customer type, portal, region, category, or transaction.</w:t>
      </w:r>
    </w:p>
    <w:p>
      <w:pPr>
        <w:pStyle w:val="Heading2"/>
        <w:widowControl/>
      </w:pPr>
      <w:r>
        <w:rPr>
          <w:rFonts w:ascii="Arial" w:hAnsi="Arial"/>
        </w:rPr>
        <w:t>13.2 Payment Processors.</w:t>
      </w:r>
    </w:p>
    <w:p>
      <w:pPr>
        <w:widowControl/>
        <w:jc w:val="both"/>
      </w:pPr>
      <w:r>
        <w:rPr>
          <w:rFonts w:ascii="Arial" w:hAnsi="Arial"/>
        </w:rPr>
        <w:t>Payments may be processed by third-party payment providers. PrimeMatch AI may transmit transaction information necessary to facilitate payment but does not control the payment provider’s services. Payment-provider terms and privacy practices may apply separately.</w:t>
      </w:r>
    </w:p>
    <w:p>
      <w:pPr>
        <w:pStyle w:val="Heading2"/>
        <w:widowControl/>
      </w:pPr>
      <w:r>
        <w:rPr>
          <w:rFonts w:ascii="Arial" w:hAnsi="Arial"/>
        </w:rPr>
        <w:t>13.3 Provider Compensation.</w:t>
      </w:r>
    </w:p>
    <w:p>
      <w:pPr>
        <w:widowControl/>
        <w:jc w:val="both"/>
      </w:pPr>
      <w:r>
        <w:rPr>
          <w:rFonts w:ascii="Arial" w:hAnsi="Arial"/>
        </w:rPr>
        <w:t>Unless PrimeMatch AI expressly assumes payment collection obligations, the buyer is responsible for payment and the provider is responsible for invoicing and collection under their transaction agreement. If PrimeMatch AI facilitates payment, release timing, reserves, holds, dispute procedures, and payout rules may be governed by program-specific terms.</w:t>
      </w:r>
    </w:p>
    <w:p>
      <w:pPr>
        <w:pStyle w:val="Heading2"/>
        <w:widowControl/>
      </w:pPr>
      <w:r>
        <w:rPr>
          <w:rFonts w:ascii="Arial" w:hAnsi="Arial"/>
        </w:rPr>
        <w:t>13.4 Taxes.</w:t>
      </w:r>
    </w:p>
    <w:p>
      <w:pPr>
        <w:widowControl/>
        <w:jc w:val="both"/>
      </w:pPr>
      <w:r>
        <w:rPr>
          <w:rFonts w:ascii="Arial" w:hAnsi="Arial"/>
        </w:rPr>
        <w:t>Marketplace Participants are responsible for determining and paying taxes, duties, assessments, reporting obligations, withholding, and similar charges arising from their transactions, except taxes imposed on PrimeMatch AI’s own net income. PrimeMatch AI may collect tax information or taxes where legally required.</w:t>
      </w:r>
    </w:p>
    <w:p>
      <w:pPr>
        <w:pStyle w:val="Heading2"/>
        <w:widowControl/>
      </w:pPr>
      <w:r>
        <w:rPr>
          <w:rFonts w:ascii="Arial" w:hAnsi="Arial"/>
        </w:rPr>
        <w:t>13.5 Refunds and Chargebacks.</w:t>
      </w:r>
    </w:p>
    <w:p>
      <w:pPr>
        <w:widowControl/>
        <w:jc w:val="both"/>
      </w:pPr>
      <w:r>
        <w:rPr>
          <w:rFonts w:ascii="Arial" w:hAnsi="Arial"/>
        </w:rPr>
        <w:t>Refund eligibility is governed by the applicable participant agreement, marketplace program rules, and payment-provider requirements. A chargeback does not automatically resolve the underlying contractual dispute. PrimeMatch AI may suspend accounts, withhold marketplace payouts where contractually authorized, or request supporting documentation in connection with suspected fraud or payment disputes.</w:t>
      </w:r>
    </w:p>
    <w:p>
      <w:pPr>
        <w:pStyle w:val="Heading1"/>
        <w:widowControl/>
      </w:pPr>
      <w:r>
        <w:rPr>
          <w:rFonts w:ascii="Arial" w:hAnsi="Arial"/>
        </w:rPr>
        <w:t>ARTICLE 14. PROVIDER PERFORMANCE, DELIVERABLES, ACCEPTANCE, AND DISPUTES</w:t>
      </w:r>
    </w:p>
    <w:p>
      <w:pPr>
        <w:pStyle w:val="Heading2"/>
        <w:widowControl/>
      </w:pPr>
      <w:r>
        <w:rPr>
          <w:rFonts w:ascii="Arial" w:hAnsi="Arial"/>
        </w:rPr>
        <w:t>14.1 Performance Responsibility.</w:t>
      </w:r>
    </w:p>
    <w:p>
      <w:pPr>
        <w:widowControl/>
        <w:jc w:val="both"/>
      </w:pPr>
      <w:r>
        <w:rPr>
          <w:rFonts w:ascii="Arial" w:hAnsi="Arial"/>
        </w:rPr>
        <w:t>Marketplace Providers are solely responsible for performing their commitments in accordance with applicable contracts, laws, professional standards, schedules, acceptance criteria, and quality requirements. PrimeMatch AI does not supervise provider personnel or control the manner or means of performance.</w:t>
      </w:r>
    </w:p>
    <w:p>
      <w:pPr>
        <w:pStyle w:val="Heading2"/>
        <w:widowControl/>
      </w:pPr>
      <w:r>
        <w:rPr>
          <w:rFonts w:ascii="Arial" w:hAnsi="Arial"/>
        </w:rPr>
        <w:t>14.2 Acceptance.</w:t>
      </w:r>
    </w:p>
    <w:p>
      <w:pPr>
        <w:widowControl/>
        <w:jc w:val="both"/>
      </w:pPr>
      <w:r>
        <w:rPr>
          <w:rFonts w:ascii="Arial" w:hAnsi="Arial"/>
        </w:rPr>
        <w:t>Customers and providers should define objective acceptance criteria, inspection rights, cure periods, milestones, dependencies, change-control procedures, and payment conditions in their transaction documents. Platform status fields or automated milestone indicators do not replace contractual acceptance procedures unless the parties expressly agree otherwise.</w:t>
      </w:r>
    </w:p>
    <w:p>
      <w:pPr>
        <w:pStyle w:val="Heading2"/>
        <w:widowControl/>
      </w:pPr>
      <w:r>
        <w:rPr>
          <w:rFonts w:ascii="Arial" w:hAnsi="Arial"/>
        </w:rPr>
        <w:t>14.3 Participant Disputes.</w:t>
      </w:r>
    </w:p>
    <w:p>
      <w:pPr>
        <w:widowControl/>
        <w:jc w:val="both"/>
      </w:pPr>
      <w:r>
        <w:rPr>
          <w:rFonts w:ascii="Arial" w:hAnsi="Arial"/>
        </w:rPr>
        <w:t>Participants must first attempt to resolve transaction disputes directly. PrimeMatch AI may, but is not obligated to, provide communication records, workflow history, or a neutral dispute-support process where available. PrimeMatch AI does not act as arbitrator or adjudicator of participant contract disputes unless separately agreed in writing.</w:t>
      </w:r>
    </w:p>
    <w:p>
      <w:pPr>
        <w:pStyle w:val="Heading2"/>
        <w:widowControl/>
      </w:pPr>
      <w:r>
        <w:rPr>
          <w:rFonts w:ascii="Arial" w:hAnsi="Arial"/>
        </w:rPr>
        <w:t>14.4 No Warranty of Provider Performance.</w:t>
      </w:r>
    </w:p>
    <w:p>
      <w:pPr>
        <w:widowControl/>
        <w:jc w:val="both"/>
      </w:pPr>
      <w:r>
        <w:rPr>
          <w:rFonts w:ascii="Arial" w:hAnsi="Arial"/>
        </w:rPr>
        <w:t>PrimeMatch AI does not warrant provider performance, quality, timeliness, staffing, financial stability, solvency, insurance, licensing, honesty, legal compliance, deliverables, cybersecurity, or ability to satisfy a customer’s requirements.</w:t>
      </w:r>
    </w:p>
    <w:p>
      <w:pPr>
        <w:pStyle w:val="Heading1"/>
        <w:widowControl/>
      </w:pPr>
      <w:r>
        <w:rPr>
          <w:rFonts w:ascii="Arial" w:hAnsi="Arial"/>
        </w:rPr>
        <w:t>ARTICLE 15. DUE DILIGENCE, VERIFICATION, AND COUNTERPARTY RISK</w:t>
      </w:r>
    </w:p>
    <w:p>
      <w:pPr>
        <w:pStyle w:val="Heading2"/>
        <w:widowControl/>
      </w:pPr>
      <w:r>
        <w:rPr>
          <w:rFonts w:ascii="Arial" w:hAnsi="Arial"/>
        </w:rPr>
        <w:t>15.1 Verification Is Limited.</w:t>
      </w:r>
    </w:p>
    <w:p>
      <w:pPr>
        <w:widowControl/>
        <w:jc w:val="both"/>
      </w:pPr>
      <w:r>
        <w:rPr>
          <w:rFonts w:ascii="Arial" w:hAnsi="Arial"/>
        </w:rPr>
        <w:t>PrimeMatch AI may provide identity, domain, registration, credential, certification, profile, or other verification indicators. Verification means only that the identified check was completed to the extent described; it does not constitute comprehensive due diligence or guarantee authenticity, current status, responsibility, or future conduct.</w:t>
      </w:r>
    </w:p>
    <w:p>
      <w:pPr>
        <w:pStyle w:val="Heading2"/>
        <w:widowControl/>
      </w:pPr>
      <w:r>
        <w:rPr>
          <w:rFonts w:ascii="Arial" w:hAnsi="Arial"/>
        </w:rPr>
        <w:t>15.2 Independent Checks.</w:t>
      </w:r>
    </w:p>
    <w:p>
      <w:pPr>
        <w:widowControl/>
        <w:jc w:val="both"/>
      </w:pPr>
      <w:r>
        <w:rPr>
          <w:rFonts w:ascii="Arial" w:hAnsi="Arial"/>
        </w:rPr>
        <w:t>Users should conduct due diligence appropriate to transaction size and risk, which may include corporate registration, beneficial ownership, sanctions and exclusions, SAM.gov status, SBA status, licenses, insurance, bonding, references, financial capacity, cybersecurity, data-protection posture, criminal or civil checks where lawful, past performance, litigation, conflicts, intellectual-property rights, and site or personnel validation.</w:t>
      </w:r>
    </w:p>
    <w:p>
      <w:pPr>
        <w:pStyle w:val="Heading2"/>
        <w:widowControl/>
      </w:pPr>
      <w:r>
        <w:rPr>
          <w:rFonts w:ascii="Arial" w:hAnsi="Arial"/>
        </w:rPr>
        <w:t>15.3 Fraud and Impersonation Risk.</w:t>
      </w:r>
    </w:p>
    <w:p>
      <w:pPr>
        <w:widowControl/>
        <w:jc w:val="both"/>
      </w:pPr>
      <w:r>
        <w:rPr>
          <w:rFonts w:ascii="Arial" w:hAnsi="Arial"/>
        </w:rPr>
        <w:t>Users acknowledge that digital marketplaces can be targeted by impersonation, phishing, social engineering, false credentials, fraudulent invoices, account takeover, and other misconduct. Users must verify unusual payment instructions, bank-account changes, urgent requests, identity claims, and material transaction changes through independent channels.</w:t>
      </w:r>
    </w:p>
    <w:p>
      <w:pPr>
        <w:pStyle w:val="Heading2"/>
        <w:widowControl/>
      </w:pPr>
      <w:r>
        <w:rPr>
          <w:rFonts w:ascii="Arial" w:hAnsi="Arial"/>
        </w:rPr>
        <w:t>15.4 No Reliance on Profile Alone.</w:t>
      </w:r>
    </w:p>
    <w:p>
      <w:pPr>
        <w:widowControl/>
        <w:jc w:val="both"/>
      </w:pPr>
      <w:r>
        <w:rPr>
          <w:rFonts w:ascii="Arial" w:hAnsi="Arial"/>
        </w:rPr>
        <w:t>A Platform profile, uploaded document, badge, score, or self-certification should not be treated as independently authenticated unless specifically labeled as verified and accompanied by a description of the verification scope.</w:t>
      </w:r>
    </w:p>
    <w:p>
      <w:pPr>
        <w:pStyle w:val="Heading1"/>
        <w:widowControl/>
      </w:pPr>
      <w:r>
        <w:rPr>
          <w:rFonts w:ascii="Arial" w:hAnsi="Arial"/>
        </w:rPr>
        <w:t>ARTICLE 16. REVIEWS, RATINGS, REPUTATION SIGNALS, AND MARKETPLACE INTEGRITY</w:t>
      </w:r>
    </w:p>
    <w:p>
      <w:pPr>
        <w:pStyle w:val="Heading2"/>
        <w:widowControl/>
      </w:pPr>
      <w:r>
        <w:rPr>
          <w:rFonts w:ascii="Arial" w:hAnsi="Arial"/>
        </w:rPr>
        <w:t>16.1 Reviews and Feedback.</w:t>
      </w:r>
    </w:p>
    <w:p>
      <w:pPr>
        <w:widowControl/>
        <w:jc w:val="both"/>
      </w:pPr>
      <w:r>
        <w:rPr>
          <w:rFonts w:ascii="Arial" w:hAnsi="Arial"/>
        </w:rPr>
        <w:t>PrimeMatch AI may permit participants to submit ratings, reviews, references, endorsements, dispute information, responsiveness indicators, performance observations, or other feedback. Contributors must provide truthful, good-faith content based on legitimate experience and must not submit defamatory, retaliatory, fabricated, manipulated, or incentivized reviews except where incentives are transparently disclosed and lawful.</w:t>
      </w:r>
    </w:p>
    <w:p>
      <w:pPr>
        <w:pStyle w:val="Heading2"/>
        <w:widowControl/>
      </w:pPr>
      <w:r>
        <w:rPr>
          <w:rFonts w:ascii="Arial" w:hAnsi="Arial"/>
        </w:rPr>
        <w:t>16.2 Moderation.</w:t>
      </w:r>
    </w:p>
    <w:p>
      <w:pPr>
        <w:widowControl/>
        <w:jc w:val="both"/>
      </w:pPr>
      <w:r>
        <w:rPr>
          <w:rFonts w:ascii="Arial" w:hAnsi="Arial"/>
        </w:rPr>
        <w:t>PrimeMatch AI may moderate, investigate, remove, suppress, annotate, or decline to publish reputation content where it reasonably believes the content violates policy, law, third-party rights, authenticity standards, or marketplace integrity requirements. Moderation decisions may consider fraud-prevention signals that PrimeMatch AI is not required to disclose if disclosure would compromise security or abuse-prevention systems.</w:t>
      </w:r>
    </w:p>
    <w:p>
      <w:pPr>
        <w:pStyle w:val="Heading2"/>
        <w:widowControl/>
      </w:pPr>
      <w:r>
        <w:rPr>
          <w:rFonts w:ascii="Arial" w:hAnsi="Arial"/>
        </w:rPr>
        <w:t>16.3 Reputation Intelligence.</w:t>
      </w:r>
    </w:p>
    <w:p>
      <w:pPr>
        <w:widowControl/>
        <w:jc w:val="both"/>
      </w:pPr>
      <w:r>
        <w:rPr>
          <w:rFonts w:ascii="Arial" w:hAnsi="Arial"/>
        </w:rPr>
        <w:t>Reputation Intelligence may summarize or infer patterns from multiple permitted signals. Users must interpret such information as context rather than as a factual certification. Absence of negative information does not mean that none exists, and a negative signal does not establish wrongdoing.</w:t>
      </w:r>
    </w:p>
    <w:p>
      <w:pPr>
        <w:pStyle w:val="Heading2"/>
        <w:widowControl/>
      </w:pPr>
      <w:r>
        <w:rPr>
          <w:rFonts w:ascii="Arial" w:hAnsi="Arial"/>
        </w:rPr>
        <w:t>16.4 No Manipulation.</w:t>
      </w:r>
    </w:p>
    <w:p>
      <w:pPr>
        <w:widowControl/>
        <w:jc w:val="both"/>
      </w:pPr>
      <w:r>
        <w:rPr>
          <w:rFonts w:ascii="Arial" w:hAnsi="Arial"/>
        </w:rPr>
        <w:t>Users may not manipulate rankings, reviews, Trust Scores™, response metrics, transaction history, account age, identity signals, or other marketplace indicators through collusion, fake accounts, self-dealing, reciprocal review schemes, automation intended to simulate genuine activity, or other deceptive conduct.</w:t>
      </w:r>
    </w:p>
    <w:p>
      <w:pPr>
        <w:pStyle w:val="Heading1"/>
        <w:widowControl/>
      </w:pPr>
      <w:r>
        <w:rPr>
          <w:rFonts w:ascii="Arial" w:hAnsi="Arial"/>
        </w:rPr>
        <w:t>ARTICLE 17. COMMUNICATIONS, INTRODUCTIONS, AI-GENERATED COMMUNICATIONS, AND OUTREACH</w:t>
      </w:r>
    </w:p>
    <w:p>
      <w:pPr>
        <w:pStyle w:val="Heading2"/>
        <w:widowControl/>
      </w:pPr>
      <w:r>
        <w:rPr>
          <w:rFonts w:ascii="Arial" w:hAnsi="Arial"/>
        </w:rPr>
        <w:t>17.1 Messaging.</w:t>
      </w:r>
    </w:p>
    <w:p>
      <w:pPr>
        <w:widowControl/>
        <w:jc w:val="both"/>
      </w:pPr>
      <w:r>
        <w:rPr>
          <w:rFonts w:ascii="Arial" w:hAnsi="Arial"/>
        </w:rPr>
        <w:t>The Platform may facilitate direct messages, introduction requests, alerts, automated follow-ups, invitations, proposal collaboration, or other communications. Users are responsible for message content, recipient selection, timing, required notices, and compliance with anti-spam, telemarketing, procurement, confidentiality, privacy, and professional rules.</w:t>
      </w:r>
    </w:p>
    <w:p>
      <w:pPr>
        <w:pStyle w:val="Heading2"/>
        <w:widowControl/>
      </w:pPr>
      <w:r>
        <w:rPr>
          <w:rFonts w:ascii="Arial" w:hAnsi="Arial"/>
        </w:rPr>
        <w:t>17.2 AI-Generated Communications.</w:t>
      </w:r>
    </w:p>
    <w:p>
      <w:pPr>
        <w:widowControl/>
        <w:jc w:val="both"/>
      </w:pPr>
      <w:r>
        <w:rPr>
          <w:rFonts w:ascii="Arial" w:hAnsi="Arial"/>
        </w:rPr>
        <w:t>AI Agents™, Proposal Intelligence™, Partner Intelligence™, or other features may generate or suggest emails, outreach messages, teaming requests, summaries, talking points, or responses. Such content may contain errors, omissions, unsupported claims, inappropriate tone, or legally significant language. Users must review and approve communications before transmission unless a separately configured automation expressly authorizes a defined category of low-risk communications.</w:t>
      </w:r>
    </w:p>
    <w:p>
      <w:pPr>
        <w:pStyle w:val="Heading2"/>
        <w:widowControl/>
      </w:pPr>
      <w:r>
        <w:rPr>
          <w:rFonts w:ascii="Arial" w:hAnsi="Arial"/>
        </w:rPr>
        <w:t>17.3 No Apparent Authority.</w:t>
      </w:r>
    </w:p>
    <w:p>
      <w:pPr>
        <w:widowControl/>
        <w:jc w:val="both"/>
      </w:pPr>
      <w:r>
        <w:rPr>
          <w:rFonts w:ascii="Arial" w:hAnsi="Arial"/>
        </w:rPr>
        <w:t>A generated communication does not create authority to negotiate, promise workshare, commit pricing, accept terms, waive rights, make procurement representations, or bind an organization. Users must ensure that communications accurately reflect the sender’s actual authority.</w:t>
      </w:r>
    </w:p>
    <w:p>
      <w:pPr>
        <w:pStyle w:val="Heading2"/>
        <w:widowControl/>
      </w:pPr>
      <w:r>
        <w:rPr>
          <w:rFonts w:ascii="Arial" w:hAnsi="Arial"/>
        </w:rPr>
        <w:t>17.4 Recording and Audit.</w:t>
      </w:r>
    </w:p>
    <w:p>
      <w:pPr>
        <w:widowControl/>
        <w:jc w:val="both"/>
      </w:pPr>
      <w:r>
        <w:rPr>
          <w:rFonts w:ascii="Arial" w:hAnsi="Arial"/>
        </w:rPr>
        <w:t>PrimeMatch AI may retain message metadata, workflow events, delivery status, and audit logs as described in the Privacy Policy and applicable enterprise settings. Users should not assume marketplace messages are legally privileged or confidential unless an independent legal basis applies.</w:t>
      </w:r>
    </w:p>
    <w:p>
      <w:pPr>
        <w:pStyle w:val="Heading1"/>
        <w:widowControl/>
      </w:pPr>
      <w:r>
        <w:rPr>
          <w:rFonts w:ascii="Arial" w:hAnsi="Arial"/>
        </w:rPr>
        <w:t>ARTICLE 18. PROPOSAL COLLABORATION AND PROPOSAL INTELLIGENCE™</w:t>
      </w:r>
    </w:p>
    <w:p>
      <w:pPr>
        <w:pStyle w:val="Heading2"/>
        <w:widowControl/>
      </w:pPr>
      <w:r>
        <w:rPr>
          <w:rFonts w:ascii="Arial" w:hAnsi="Arial"/>
        </w:rPr>
        <w:t>18.1 Proposal Support.</w:t>
      </w:r>
    </w:p>
    <w:p>
      <w:pPr>
        <w:widowControl/>
        <w:jc w:val="both"/>
      </w:pPr>
      <w:r>
        <w:rPr>
          <w:rFonts w:ascii="Arial" w:hAnsi="Arial"/>
        </w:rPr>
        <w:t>Proposal Intelligence™, Proposal DNA™, Team DNA™, Opportunity DNA™, AI Agents™, and related tools may assist with solicitation analysis, requirement mapping, outline development, content suggestions, gap identification, draft narratives, team-input coordination, compliance-support, and other proposal activities.</w:t>
      </w:r>
    </w:p>
    <w:p>
      <w:pPr>
        <w:pStyle w:val="Heading2"/>
        <w:widowControl/>
      </w:pPr>
      <w:r>
        <w:rPr>
          <w:rFonts w:ascii="Arial" w:hAnsi="Arial"/>
        </w:rPr>
        <w:t>18.2 Human Validation Required.</w:t>
      </w:r>
    </w:p>
    <w:p>
      <w:pPr>
        <w:widowControl/>
        <w:jc w:val="both"/>
      </w:pPr>
      <w:r>
        <w:rPr>
          <w:rFonts w:ascii="Arial" w:hAnsi="Arial"/>
        </w:rPr>
        <w:t>AI-generated proposal content must be reviewed by qualified users before submission. Users are solely responsible for verifying solicitation requirements, page limits, representations, certifications, pricing, technical claims, staffing commitments, past-performance statements, resumes, subcontractor commitments, data rights, and all final proposal content.</w:t>
      </w:r>
    </w:p>
    <w:p>
      <w:pPr>
        <w:pStyle w:val="Heading2"/>
        <w:widowControl/>
      </w:pPr>
      <w:r>
        <w:rPr>
          <w:rFonts w:ascii="Arial" w:hAnsi="Arial"/>
        </w:rPr>
        <w:t>18.3 No Award Assurance.</w:t>
      </w:r>
    </w:p>
    <w:p>
      <w:pPr>
        <w:widowControl/>
        <w:jc w:val="both"/>
      </w:pPr>
      <w:r>
        <w:rPr>
          <w:rFonts w:ascii="Arial" w:hAnsi="Arial"/>
        </w:rPr>
        <w:t>Proposal recommendations, Team Strength Index™, PrimeMatch Confidence™, competitive analysis, win themes, compliance indicators, forecasts, or draft content do not guarantee responsiveness, evaluation scores, successful discussions, shortlisting, contract award, profitability, or protest defensibility.</w:t>
      </w:r>
    </w:p>
    <w:p>
      <w:pPr>
        <w:pStyle w:val="Heading2"/>
        <w:widowControl/>
      </w:pPr>
      <w:r>
        <w:rPr>
          <w:rFonts w:ascii="Arial" w:hAnsi="Arial"/>
        </w:rPr>
        <w:t>18.4 Third-Party Contributions.</w:t>
      </w:r>
    </w:p>
    <w:p>
      <w:pPr>
        <w:widowControl/>
        <w:jc w:val="both"/>
      </w:pPr>
      <w:r>
        <w:rPr>
          <w:rFonts w:ascii="Arial" w:hAnsi="Arial"/>
        </w:rPr>
        <w:t>Users are responsible for obtaining rights to use teammate, consultant, subcontractor, employee, customer, past-performance, and third-party content included in proposal workspaces. PrimeMatch AI does not determine whether a user has sufficient rights to incorporate third-party material into a proposal.</w:t>
      </w:r>
    </w:p>
    <w:p>
      <w:pPr>
        <w:pStyle w:val="Heading1"/>
        <w:widowControl/>
      </w:pPr>
      <w:r>
        <w:rPr>
          <w:rFonts w:ascii="Arial" w:hAnsi="Arial"/>
        </w:rPr>
        <w:t>ARTICLE 19. CONFIDENTIALITY, TEAMING INFORMATION, AND CONTROLLED INFORMATION</w:t>
      </w:r>
    </w:p>
    <w:p>
      <w:pPr>
        <w:pStyle w:val="Heading2"/>
        <w:widowControl/>
      </w:pPr>
      <w:r>
        <w:rPr>
          <w:rFonts w:ascii="Arial" w:hAnsi="Arial"/>
        </w:rPr>
        <w:t>19.1 Participant Confidentiality.</w:t>
      </w:r>
    </w:p>
    <w:p>
      <w:pPr>
        <w:widowControl/>
        <w:jc w:val="both"/>
      </w:pPr>
      <w:r>
        <w:rPr>
          <w:rFonts w:ascii="Arial" w:hAnsi="Arial"/>
        </w:rPr>
        <w:t>Marketplace Participants should enter appropriate nondisclosure or teaming agreements before exchanging sensitive information. PrimeMatch AI’s technical access controls do not themselves create confidentiality obligations between users beyond those arising under this Agreement or applicable law.</w:t>
      </w:r>
    </w:p>
    <w:p>
      <w:pPr>
        <w:pStyle w:val="Heading2"/>
        <w:widowControl/>
      </w:pPr>
      <w:r>
        <w:rPr>
          <w:rFonts w:ascii="Arial" w:hAnsi="Arial"/>
        </w:rPr>
        <w:t>19.2 Need-to-Know Sharing.</w:t>
      </w:r>
    </w:p>
    <w:p>
      <w:pPr>
        <w:widowControl/>
        <w:jc w:val="both"/>
      </w:pPr>
      <w:r>
        <w:rPr>
          <w:rFonts w:ascii="Arial" w:hAnsi="Arial"/>
        </w:rPr>
        <w:t>Users should limit access to proposal strategies, pricing, personnel data, customer information, technical approaches, trade secrets, and other sensitive data to personnel with a legitimate need to know and appropriate authorization.</w:t>
      </w:r>
    </w:p>
    <w:p>
      <w:pPr>
        <w:pStyle w:val="Heading2"/>
        <w:widowControl/>
      </w:pPr>
      <w:r>
        <w:rPr>
          <w:rFonts w:ascii="Arial" w:hAnsi="Arial"/>
        </w:rPr>
        <w:t>19.3 Controlled Information.</w:t>
      </w:r>
    </w:p>
    <w:p>
      <w:pPr>
        <w:widowControl/>
        <w:jc w:val="both"/>
      </w:pPr>
      <w:r>
        <w:rPr>
          <w:rFonts w:ascii="Arial" w:hAnsi="Arial"/>
        </w:rPr>
        <w:t>Unless a service is expressly designated and contractually approved for the relevant category, users must not submit classified information, export-controlled technical data, CUI, source-selection information, contractor bid or proposal information, or other information requiring specialized government security controls. Authorization for one data category does not imply authorization for another.</w:t>
      </w:r>
    </w:p>
    <w:p>
      <w:pPr>
        <w:pStyle w:val="Heading2"/>
        <w:widowControl/>
      </w:pPr>
      <w:r>
        <w:rPr>
          <w:rFonts w:ascii="Arial" w:hAnsi="Arial"/>
        </w:rPr>
        <w:t>19.4 Privilege.</w:t>
      </w:r>
    </w:p>
    <w:p>
      <w:pPr>
        <w:widowControl/>
        <w:jc w:val="both"/>
      </w:pPr>
      <w:r>
        <w:rPr>
          <w:rFonts w:ascii="Arial" w:hAnsi="Arial"/>
        </w:rPr>
        <w:t>PrimeMatch AI does not create attorney-client privilege, attorney work-product protection, or other professional privilege merely because legal or compliance issues are discussed or analyzed in the Platform.</w:t>
      </w:r>
    </w:p>
    <w:p>
      <w:pPr>
        <w:pStyle w:val="Heading1"/>
        <w:widowControl/>
      </w:pPr>
      <w:r>
        <w:rPr>
          <w:rFonts w:ascii="Arial" w:hAnsi="Arial"/>
        </w:rPr>
        <w:t>ARTICLE 20. CUSTOMER DATA, MARKETPLACE DATA, AND DATA SHARING</w:t>
      </w:r>
    </w:p>
    <w:p>
      <w:pPr>
        <w:pStyle w:val="Heading2"/>
        <w:widowControl/>
      </w:pPr>
      <w:r>
        <w:rPr>
          <w:rFonts w:ascii="Arial" w:hAnsi="Arial"/>
        </w:rPr>
        <w:t>20.1 Customer Data.</w:t>
      </w:r>
    </w:p>
    <w:p>
      <w:pPr>
        <w:widowControl/>
        <w:jc w:val="both"/>
      </w:pPr>
      <w:r>
        <w:rPr>
          <w:rFonts w:ascii="Arial" w:hAnsi="Arial"/>
        </w:rPr>
        <w:t>As between PrimeMatch AI and Customer, Customer retains ownership of Customer Data subject to the licenses and rights stated in the Master Terms, Privacy Policy, and applicable agreements. PrimeMatch AI retains all rights in PrimeMatch AI Technology, derived systems, methodologies, models, schemas, and proprietary intelligence frameworks.</w:t>
      </w:r>
    </w:p>
    <w:p>
      <w:pPr>
        <w:pStyle w:val="Heading2"/>
        <w:widowControl/>
      </w:pPr>
      <w:r>
        <w:rPr>
          <w:rFonts w:ascii="Arial" w:hAnsi="Arial"/>
        </w:rPr>
        <w:t>20.2 Marketplace Visibility.</w:t>
      </w:r>
    </w:p>
    <w:p>
      <w:pPr>
        <w:widowControl/>
        <w:jc w:val="both"/>
      </w:pPr>
      <w:r>
        <w:rPr>
          <w:rFonts w:ascii="Arial" w:hAnsi="Arial"/>
        </w:rPr>
        <w:t>Information designated for marketplace discovery may be visible to other Marketplace Participants according to profile settings, listing settings, enterprise controls, and feature design. Users are responsible for deciding what business information to publish and should not upload confidential information to public or broadly discoverable profile fields.</w:t>
      </w:r>
    </w:p>
    <w:p>
      <w:pPr>
        <w:pStyle w:val="Heading2"/>
        <w:widowControl/>
      </w:pPr>
      <w:r>
        <w:rPr>
          <w:rFonts w:ascii="Arial" w:hAnsi="Arial"/>
        </w:rPr>
        <w:t>20.3 Team Sharing.</w:t>
      </w:r>
    </w:p>
    <w:p>
      <w:pPr>
        <w:widowControl/>
        <w:jc w:val="both"/>
      </w:pPr>
      <w:r>
        <w:rPr>
          <w:rFonts w:ascii="Arial" w:hAnsi="Arial"/>
        </w:rPr>
        <w:t>When a user joins a team, responds to an introduction, or participates in a transaction, certain profile, contact, capability, relationship, proposal, or transaction information may be shared with other authorized participants as necessary to provide the requested functionality. The Privacy Policy describes relevant processing roles and rights.</w:t>
      </w:r>
    </w:p>
    <w:p>
      <w:pPr>
        <w:pStyle w:val="Heading2"/>
        <w:widowControl/>
      </w:pPr>
      <w:r>
        <w:rPr>
          <w:rFonts w:ascii="Arial" w:hAnsi="Arial"/>
        </w:rPr>
        <w:t>20.4 Derived Intelligence.</w:t>
      </w:r>
    </w:p>
    <w:p>
      <w:pPr>
        <w:widowControl/>
        <w:jc w:val="both"/>
      </w:pPr>
      <w:r>
        <w:rPr>
          <w:rFonts w:ascii="Arial" w:hAnsi="Arial"/>
        </w:rPr>
        <w:t>PrimeMatch AI may create scores, classifications, embeddings, relationships, inferences, analytics, or other derived intelligence from permitted data as described in applicable agreements. Such derived intelligence may form part of PrimeMatch AI Technology, subject to contractual restrictions, privacy obligations, and rights applicable to underlying personal information.</w:t>
      </w:r>
    </w:p>
    <w:p>
      <w:pPr>
        <w:pStyle w:val="Heading2"/>
        <w:widowControl/>
      </w:pPr>
      <w:r>
        <w:rPr>
          <w:rFonts w:ascii="Arial" w:hAnsi="Arial"/>
        </w:rPr>
        <w:t>20.5 Export and Portability.</w:t>
      </w:r>
    </w:p>
    <w:p>
      <w:pPr>
        <w:widowControl/>
        <w:jc w:val="both"/>
      </w:pPr>
      <w:r>
        <w:rPr>
          <w:rFonts w:ascii="Arial" w:hAnsi="Arial"/>
        </w:rPr>
        <w:t>Where export features are available, Customer remains responsible for the security and lawful use of exported data after it leaves the Platform. PrimeMatch AI may apply reasonable technical limits to bulk export where necessary to protect security, third-party rights, proprietary datasets, or anti-scraping controls.</w:t>
      </w:r>
    </w:p>
    <w:p>
      <w:pPr>
        <w:pStyle w:val="Heading1"/>
        <w:widowControl/>
      </w:pPr>
      <w:r>
        <w:rPr>
          <w:rFonts w:ascii="Arial" w:hAnsi="Arial"/>
        </w:rPr>
        <w:t>ARTICLE 21. MULTI-TENANT, WHITE-LABEL, ENTERPRISE, AND ORGANIZATION HIERARCHY ENVIRONMENTS</w:t>
      </w:r>
    </w:p>
    <w:p>
      <w:pPr>
        <w:pStyle w:val="Heading2"/>
        <w:widowControl/>
      </w:pPr>
      <w:r>
        <w:rPr>
          <w:rFonts w:ascii="Arial" w:hAnsi="Arial"/>
        </w:rPr>
        <w:t>21.1 Multi-Tenant Architecture.</w:t>
      </w:r>
    </w:p>
    <w:p>
      <w:pPr>
        <w:widowControl/>
        <w:jc w:val="both"/>
      </w:pPr>
      <w:r>
        <w:rPr>
          <w:rFonts w:ascii="Arial" w:hAnsi="Arial"/>
        </w:rPr>
        <w:t>The Platform may use logically separated multi-tenant infrastructure. Customer acknowledges that common application components, infrastructure, models, and services may support multiple tenants, subject to security controls designed to prevent unauthorized cross-tenant access.</w:t>
      </w:r>
    </w:p>
    <w:p>
      <w:pPr>
        <w:pStyle w:val="Heading2"/>
        <w:widowControl/>
      </w:pPr>
      <w:r>
        <w:rPr>
          <w:rFonts w:ascii="Arial" w:hAnsi="Arial"/>
        </w:rPr>
        <w:t>21.2 White-Label Portals.</w:t>
      </w:r>
    </w:p>
    <w:p>
      <w:pPr>
        <w:widowControl/>
        <w:jc w:val="both"/>
      </w:pPr>
      <w:r>
        <w:rPr>
          <w:rFonts w:ascii="Arial" w:hAnsi="Arial"/>
        </w:rPr>
        <w:t>An enterprise customer may operate a branded or white-label portal using PrimeMatch AI Technology. Branding does not transfer ownership of PrimeMatch AI Technology or make the enterprise customer the developer or owner of PrimeMatch AI’s proprietary methodologies. The enterprise customer may have additional administrator rights and responsibilities described in its agreement.</w:t>
      </w:r>
    </w:p>
    <w:p>
      <w:pPr>
        <w:pStyle w:val="Heading2"/>
        <w:widowControl/>
      </w:pPr>
      <w:r>
        <w:rPr>
          <w:rFonts w:ascii="Arial" w:hAnsi="Arial"/>
        </w:rPr>
        <w:t>21.3 Portal Sponsor Role.</w:t>
      </w:r>
    </w:p>
    <w:p>
      <w:pPr>
        <w:widowControl/>
        <w:jc w:val="both"/>
      </w:pPr>
      <w:r>
        <w:rPr>
          <w:rFonts w:ascii="Arial" w:hAnsi="Arial"/>
        </w:rPr>
        <w:t>A white-label sponsor may curate access, approve participants, establish program-specific marketplace rules, define internal procurement workflows, or configure visibility. Unless expressly stated otherwise, PrimeMatch AI does not assume the sponsor’s procurement, vendor-management, regulatory, or contractual responsibilities, and the sponsor does not obtain authority to represent PrimeMatch AI.</w:t>
      </w:r>
    </w:p>
    <w:p>
      <w:pPr>
        <w:pStyle w:val="Heading2"/>
        <w:widowControl/>
      </w:pPr>
      <w:r>
        <w:rPr>
          <w:rFonts w:ascii="Arial" w:hAnsi="Arial"/>
        </w:rPr>
        <w:t>21.4 Enterprise Controls.</w:t>
      </w:r>
    </w:p>
    <w:p>
      <w:pPr>
        <w:widowControl/>
        <w:jc w:val="both"/>
      </w:pPr>
      <w:r>
        <w:rPr>
          <w:rFonts w:ascii="Arial" w:hAnsi="Arial"/>
        </w:rPr>
        <w:t>Enterprise configurations may limit matching pools, approved providers, external messaging, marketplace purchasing, AI functions, data sharing, or transaction thresholds. Users within an enterprise environment must comply with the enterprise customer’s authorized policies in addition to PrimeMatch AI terms.</w:t>
      </w:r>
    </w:p>
    <w:p>
      <w:pPr>
        <w:pStyle w:val="Heading1"/>
        <w:widowControl/>
      </w:pPr>
      <w:r>
        <w:rPr>
          <w:rFonts w:ascii="Arial" w:hAnsi="Arial"/>
        </w:rPr>
        <w:t>ARTICLE 22. APIS, INTEGRATIONS, AUTOMATION, AND AI AGENTS™</w:t>
      </w:r>
    </w:p>
    <w:p>
      <w:pPr>
        <w:pStyle w:val="Heading2"/>
        <w:widowControl/>
      </w:pPr>
      <w:r>
        <w:rPr>
          <w:rFonts w:ascii="Arial" w:hAnsi="Arial"/>
        </w:rPr>
        <w:t>22.1 APIs.</w:t>
      </w:r>
    </w:p>
    <w:p>
      <w:pPr>
        <w:widowControl/>
        <w:jc w:val="both"/>
      </w:pPr>
      <w:r>
        <w:rPr>
          <w:rFonts w:ascii="Arial" w:hAnsi="Arial"/>
        </w:rPr>
        <w:t>APIs may permit authorized systems to query profiles, opportunities, matches, scores, marketplace listings, transaction data, or other Platform functions. API users must comply with documentation, authentication, rate limits, field-level permissions, data-use restrictions, and security requirements.</w:t>
      </w:r>
    </w:p>
    <w:p>
      <w:pPr>
        <w:pStyle w:val="Heading2"/>
        <w:widowControl/>
      </w:pPr>
      <w:r>
        <w:rPr>
          <w:rFonts w:ascii="Arial" w:hAnsi="Arial"/>
        </w:rPr>
        <w:t>22.2 Integrations.</w:t>
      </w:r>
    </w:p>
    <w:p>
      <w:pPr>
        <w:widowControl/>
        <w:jc w:val="both"/>
      </w:pPr>
      <w:r>
        <w:rPr>
          <w:rFonts w:ascii="Arial" w:hAnsi="Arial"/>
        </w:rPr>
        <w:t>Third-party integrations may import or export data, initiate workflows, send communications, or synchronize marketplace activity. Customer is responsible for authorizing integrations, ensuring appropriate rights to transferred data, and evaluating third-party security and terms.</w:t>
      </w:r>
    </w:p>
    <w:p>
      <w:pPr>
        <w:pStyle w:val="Heading2"/>
        <w:widowControl/>
      </w:pPr>
      <w:r>
        <w:rPr>
          <w:rFonts w:ascii="Arial" w:hAnsi="Arial"/>
        </w:rPr>
        <w:t>22.3 AI Agents™ and Automation.</w:t>
      </w:r>
    </w:p>
    <w:p>
      <w:pPr>
        <w:widowControl/>
        <w:jc w:val="both"/>
      </w:pPr>
      <w:r>
        <w:rPr>
          <w:rFonts w:ascii="Arial" w:hAnsi="Arial"/>
        </w:rPr>
        <w:t>AI Agents™ may perform defined workflow tasks within configured permissions. They may suggest matches, summarize provider profiles, draft outreach, monitor opportunity changes, organize team inputs, or recommend actions. AI Agents™ are software tools and do not possess legal authority, professional judgment, fiduciary duties, or independent contracting authority.</w:t>
      </w:r>
    </w:p>
    <w:p>
      <w:pPr>
        <w:pStyle w:val="Heading2"/>
        <w:widowControl/>
      </w:pPr>
      <w:r>
        <w:rPr>
          <w:rFonts w:ascii="Arial" w:hAnsi="Arial"/>
        </w:rPr>
        <w:t>22.4 Autonomous Actions.</w:t>
      </w:r>
    </w:p>
    <w:p>
      <w:pPr>
        <w:widowControl/>
        <w:jc w:val="both"/>
      </w:pPr>
      <w:r>
        <w:rPr>
          <w:rFonts w:ascii="Arial" w:hAnsi="Arial"/>
        </w:rPr>
        <w:t>Where PrimeMatch AI offers configurable automation, Customer is responsible for choosing whether and how to enable automated actions. High-impact actions—such as contract acceptance, binding pricing, proposal submission, funds transfer, vendor award, personnel commitment, or legal certification—must not be delegated to an AI Agent™ unless expressly supported by a separate written agreement, suitable controls, and applicable law.</w:t>
      </w:r>
    </w:p>
    <w:p>
      <w:pPr>
        <w:pStyle w:val="Heading1"/>
        <w:widowControl/>
      </w:pPr>
      <w:r>
        <w:rPr>
          <w:rFonts w:ascii="Arial" w:hAnsi="Arial"/>
        </w:rPr>
        <w:t>ARTICLE 23. ACCEPTABLE USE, PROCUREMENT INTEGRITY, COMPETITION, AND ETHICAL CONDUCT</w:t>
      </w:r>
    </w:p>
    <w:p>
      <w:pPr>
        <w:pStyle w:val="Heading2"/>
        <w:widowControl/>
      </w:pPr>
      <w:r>
        <w:rPr>
          <w:rFonts w:ascii="Arial" w:hAnsi="Arial"/>
        </w:rPr>
        <w:t>23.1 Lawful Use.</w:t>
      </w:r>
    </w:p>
    <w:p>
      <w:pPr>
        <w:widowControl/>
        <w:jc w:val="both"/>
      </w:pPr>
      <w:r>
        <w:rPr>
          <w:rFonts w:ascii="Arial" w:hAnsi="Arial"/>
        </w:rPr>
        <w:t>Users may use the Platform only for lawful purposes and in accordance with applicable procurement, competition, privacy, intellectual-property, export-control, sanctions, anti-corruption, anti-kickback, lobbying, campaign-finance, ethics, employment, and professional laws.</w:t>
      </w:r>
    </w:p>
    <w:p>
      <w:pPr>
        <w:pStyle w:val="Heading2"/>
        <w:widowControl/>
      </w:pPr>
      <w:r>
        <w:rPr>
          <w:rFonts w:ascii="Arial" w:hAnsi="Arial"/>
        </w:rPr>
        <w:t>23.2 Prohibited Conduct.</w:t>
      </w:r>
    </w:p>
    <w:p>
      <w:pPr>
        <w:widowControl/>
        <w:jc w:val="both"/>
      </w:pPr>
      <w:r>
        <w:rPr>
          <w:rFonts w:ascii="Arial" w:hAnsi="Arial"/>
        </w:rPr>
        <w:t>Users must not engage in fraud, impersonation, bribery, kickbacks, bid-rigging, collusion, market allocation, coercion, discriminatory exclusion, deceptive reviews, credential falsification, false socioeconomic-status claims, unauthorized scraping, security circumvention, malware distribution, unlawful data collection, harassment, or misuse of confidential or procurement-sensitive information.</w:t>
      </w:r>
    </w:p>
    <w:p>
      <w:pPr>
        <w:pStyle w:val="Heading2"/>
        <w:widowControl/>
      </w:pPr>
      <w:r>
        <w:rPr>
          <w:rFonts w:ascii="Arial" w:hAnsi="Arial"/>
        </w:rPr>
        <w:t>23.3 No Circumvention of Government Rules.</w:t>
      </w:r>
    </w:p>
    <w:p>
      <w:pPr>
        <w:widowControl/>
        <w:jc w:val="both"/>
      </w:pPr>
      <w:r>
        <w:rPr>
          <w:rFonts w:ascii="Arial" w:hAnsi="Arial"/>
        </w:rPr>
        <w:t>Marketplace functionality must not be used to circumvent competition requirements, set-aside limitations, subcontracting restrictions, sourcing rules, procurement thresholds, small-business rules, required approvals, socioeconomic program requirements, ethics rules, or agency acquisition procedures.</w:t>
      </w:r>
    </w:p>
    <w:p>
      <w:pPr>
        <w:pStyle w:val="Heading2"/>
        <w:widowControl/>
      </w:pPr>
      <w:r>
        <w:rPr>
          <w:rFonts w:ascii="Arial" w:hAnsi="Arial"/>
        </w:rPr>
        <w:t>23.4 Anti-Corruption.</w:t>
      </w:r>
    </w:p>
    <w:p>
      <w:pPr>
        <w:widowControl/>
        <w:jc w:val="both"/>
      </w:pPr>
      <w:r>
        <w:rPr>
          <w:rFonts w:ascii="Arial" w:hAnsi="Arial"/>
        </w:rPr>
        <w:t>Users must not offer, promise, authorize, solicit, or provide anything of value in violation of anti-bribery, anti-kickback, gratuity, or procurement-integrity laws. PrimeMatch AI may suspend activity reasonably associated with suspected corruption or fraud pending review.</w:t>
      </w:r>
    </w:p>
    <w:p>
      <w:pPr>
        <w:pStyle w:val="Heading1"/>
        <w:widowControl/>
      </w:pPr>
      <w:r>
        <w:rPr>
          <w:rFonts w:ascii="Arial" w:hAnsi="Arial"/>
        </w:rPr>
        <w:t>ARTICLE 24. INTELLECTUAL PROPERTY AND PRIMEMATCH AI TECHNOLOGY</w:t>
      </w:r>
    </w:p>
    <w:p>
      <w:pPr>
        <w:pStyle w:val="Heading2"/>
        <w:widowControl/>
      </w:pPr>
      <w:r>
        <w:rPr>
          <w:rFonts w:ascii="Arial" w:hAnsi="Arial"/>
        </w:rPr>
        <w:t>24.1 Ownership.</w:t>
      </w:r>
    </w:p>
    <w:p>
      <w:pPr>
        <w:widowControl/>
        <w:jc w:val="both"/>
      </w:pPr>
      <w:r>
        <w:rPr>
          <w:rFonts w:ascii="Arial" w:hAnsi="Arial"/>
        </w:rPr>
        <w:t>PrimeMatch AI and its licensors retain all right, title, and interest in PrimeMatch AI Technology, including PrimeMatch AI™, PrimeMatch Confidence™, Organization DNA™, Opportunity DNA™, Team DNA™, Relationship DNA™, Proposal DNA™, Growth DNA™, Trust Score™, Team Strength Index™, PrimeMatch Intelligence™, Partner Intelligence™, Opportunity Intelligence™, Proposal Intelligence™, Executive Intelligence™, Marketplace Intelligence™, Enterprise Intelligence™, AI Agent™, Intelligence Engine™, Semantic Matching Engine™, Knowledge Graph™, Learning Engine™, all software, source and object code, interfaces, prompts, system instructions, methods, models, workflows, ontologies, taxonomies, scoring logic, designs, documentation, and improvements.</w:t>
      </w:r>
    </w:p>
    <w:p>
      <w:pPr>
        <w:pStyle w:val="Heading2"/>
        <w:widowControl/>
      </w:pPr>
      <w:r>
        <w:rPr>
          <w:rFonts w:ascii="Arial" w:hAnsi="Arial"/>
        </w:rPr>
        <w:t>24.2 Limited Access Right.</w:t>
      </w:r>
    </w:p>
    <w:p>
      <w:pPr>
        <w:widowControl/>
        <w:jc w:val="both"/>
      </w:pPr>
      <w:r>
        <w:rPr>
          <w:rFonts w:ascii="Arial" w:hAnsi="Arial"/>
        </w:rPr>
        <w:t>Subject to applicable agreements and payment of required fees, PrimeMatch AI grants Customer a limited, non-exclusive, non-transferable, non-sublicensable right for Authorized Users to access and use covered functionality for Customer’s internal business purposes during the applicable term. No rights are granted by implication.</w:t>
      </w:r>
    </w:p>
    <w:p>
      <w:pPr>
        <w:pStyle w:val="Heading2"/>
        <w:widowControl/>
      </w:pPr>
      <w:r>
        <w:rPr>
          <w:rFonts w:ascii="Arial" w:hAnsi="Arial"/>
        </w:rPr>
        <w:t>24.3 Restrictions.</w:t>
      </w:r>
    </w:p>
    <w:p>
      <w:pPr>
        <w:widowControl/>
        <w:jc w:val="both"/>
      </w:pPr>
      <w:r>
        <w:rPr>
          <w:rFonts w:ascii="Arial" w:hAnsi="Arial"/>
        </w:rPr>
        <w:t>Users may not reverse engineer, decompile, disassemble, extract, reproduce, discover, infer, benchmark for competitive replication, train a competing model on, scrape, copy, or attempt to derive proprietary algorithms, prompts, model weights, scoring coefficients, taxonomies, ontologies, Knowledge Graph™ structures, or other non-public elements of PrimeMatch AI Technology except to the limited extent a restriction is prohibited by applicable law.</w:t>
      </w:r>
    </w:p>
    <w:p>
      <w:pPr>
        <w:pStyle w:val="Heading2"/>
        <w:widowControl/>
      </w:pPr>
      <w:r>
        <w:rPr>
          <w:rFonts w:ascii="Arial" w:hAnsi="Arial"/>
        </w:rPr>
        <w:t>24.4 Feedback.</w:t>
      </w:r>
    </w:p>
    <w:p>
      <w:pPr>
        <w:widowControl/>
        <w:jc w:val="both"/>
      </w:pPr>
      <w:r>
        <w:rPr>
          <w:rFonts w:ascii="Arial" w:hAnsi="Arial"/>
        </w:rPr>
        <w:t>If Customer provides feedback, suggestions, evaluation results, or ideas concerning Platform functionality, PrimeMatch AI may use them without restriction or compensation, provided this does not grant PrimeMatch AI ownership of Customer’s independently developed confidential information or pre-existing intellectual property.</w:t>
      </w:r>
    </w:p>
    <w:p>
      <w:pPr>
        <w:pStyle w:val="Heading1"/>
        <w:widowControl/>
      </w:pPr>
      <w:r>
        <w:rPr>
          <w:rFonts w:ascii="Arial" w:hAnsi="Arial"/>
        </w:rPr>
        <w:t>ARTICLE 25. THIRD-PARTY SERVICES, PUBLIC DATA, AND EXTERNAL SOURCES</w:t>
      </w:r>
    </w:p>
    <w:p>
      <w:pPr>
        <w:pStyle w:val="Heading2"/>
        <w:widowControl/>
      </w:pPr>
      <w:r>
        <w:rPr>
          <w:rFonts w:ascii="Arial" w:hAnsi="Arial"/>
        </w:rPr>
        <w:t>25.1 Third-Party Dependencies.</w:t>
      </w:r>
    </w:p>
    <w:p>
      <w:pPr>
        <w:widowControl/>
        <w:jc w:val="both"/>
      </w:pPr>
      <w:r>
        <w:rPr>
          <w:rFonts w:ascii="Arial" w:hAnsi="Arial"/>
        </w:rPr>
        <w:t>The Platform may rely on cloud providers, AI model providers, payment processors, identity services, government data feeds, mapping, communications, analytics, databases, or other third-party services. Availability, accuracy, latency, terms, and functionality of such services may affect Platform results.</w:t>
      </w:r>
    </w:p>
    <w:p>
      <w:pPr>
        <w:pStyle w:val="Heading2"/>
        <w:widowControl/>
      </w:pPr>
      <w:r>
        <w:rPr>
          <w:rFonts w:ascii="Arial" w:hAnsi="Arial"/>
        </w:rPr>
        <w:t>25.2 External Data.</w:t>
      </w:r>
    </w:p>
    <w:p>
      <w:pPr>
        <w:widowControl/>
        <w:jc w:val="both"/>
      </w:pPr>
      <w:r>
        <w:rPr>
          <w:rFonts w:ascii="Arial" w:hAnsi="Arial"/>
        </w:rPr>
        <w:t>PrimeMatch AI may display or analyze public, licensed, customer-supplied, or third-party information. PrimeMatch AI does not guarantee that external information is complete, current, error-free, or suitable for a particular decision. Users must consult authoritative sources where accuracy is material.</w:t>
      </w:r>
    </w:p>
    <w:p>
      <w:pPr>
        <w:pStyle w:val="Heading2"/>
        <w:widowControl/>
      </w:pPr>
      <w:r>
        <w:rPr>
          <w:rFonts w:ascii="Arial" w:hAnsi="Arial"/>
        </w:rPr>
        <w:t>25.3 Third-Party Terms.</w:t>
      </w:r>
    </w:p>
    <w:p>
      <w:pPr>
        <w:widowControl/>
        <w:jc w:val="both"/>
      </w:pPr>
      <w:r>
        <w:rPr>
          <w:rFonts w:ascii="Arial" w:hAnsi="Arial"/>
        </w:rPr>
        <w:t>Use of integrated third-party functionality may be subject to separate third-party terms. PrimeMatch AI is not responsible for third-party acts or omissions except to the extent expressly assumed in a written agreement.</w:t>
      </w:r>
    </w:p>
    <w:p>
      <w:pPr>
        <w:pStyle w:val="Heading1"/>
        <w:widowControl/>
      </w:pPr>
      <w:r>
        <w:rPr>
          <w:rFonts w:ascii="Arial" w:hAnsi="Arial"/>
        </w:rPr>
        <w:t>ARTICLE 26. SECURITY, AUDIT LOGGING, MONITORING, AND EVIDENCE</w:t>
      </w:r>
    </w:p>
    <w:p>
      <w:pPr>
        <w:pStyle w:val="Heading2"/>
        <w:widowControl/>
      </w:pPr>
      <w:r>
        <w:rPr>
          <w:rFonts w:ascii="Arial" w:hAnsi="Arial"/>
        </w:rPr>
        <w:t>26.1 Security Controls.</w:t>
      </w:r>
    </w:p>
    <w:p>
      <w:pPr>
        <w:widowControl/>
        <w:jc w:val="both"/>
      </w:pPr>
      <w:r>
        <w:rPr>
          <w:rFonts w:ascii="Arial" w:hAnsi="Arial"/>
        </w:rPr>
        <w:t>PrimeMatch AI will maintain security measures appropriate to the Platform as described in applicable agreements, security documentation, or enterprise materials. No system is perfectly secure, and users must maintain appropriate endpoint, identity, access, and operational security.</w:t>
      </w:r>
    </w:p>
    <w:p>
      <w:pPr>
        <w:pStyle w:val="Heading2"/>
        <w:widowControl/>
      </w:pPr>
      <w:r>
        <w:rPr>
          <w:rFonts w:ascii="Arial" w:hAnsi="Arial"/>
        </w:rPr>
        <w:t>26.2 Audit Logging.</w:t>
      </w:r>
    </w:p>
    <w:p>
      <w:pPr>
        <w:widowControl/>
        <w:jc w:val="both"/>
      </w:pPr>
      <w:r>
        <w:rPr>
          <w:rFonts w:ascii="Arial" w:hAnsi="Arial"/>
        </w:rPr>
        <w:t>The Platform may log authentication, profile changes, permissions, introductions, messages, listing changes, score events, marketplace workflows, AI interactions, API activity, administrative actions, and other events for security, support, compliance, dispute support, analytics, or product operation, subject to the Privacy Policy and applicable agreements.</w:t>
      </w:r>
    </w:p>
    <w:p>
      <w:pPr>
        <w:pStyle w:val="Heading2"/>
        <w:widowControl/>
      </w:pPr>
      <w:r>
        <w:rPr>
          <w:rFonts w:ascii="Arial" w:hAnsi="Arial"/>
        </w:rPr>
        <w:t>26.3 Monitoring.</w:t>
      </w:r>
    </w:p>
    <w:p>
      <w:pPr>
        <w:widowControl/>
        <w:jc w:val="both"/>
      </w:pPr>
      <w:r>
        <w:rPr>
          <w:rFonts w:ascii="Arial" w:hAnsi="Arial"/>
        </w:rPr>
        <w:t>PrimeMatch AI may use automated and human review to detect fraud, abuse, security incidents, marketplace manipulation, prohibited listings, suspicious payment behavior, impersonation, or policy violations. Detection systems may generate false positives and do not guarantee prevention of misconduct.</w:t>
      </w:r>
    </w:p>
    <w:p>
      <w:pPr>
        <w:pStyle w:val="Heading2"/>
        <w:widowControl/>
      </w:pPr>
      <w:r>
        <w:rPr>
          <w:rFonts w:ascii="Arial" w:hAnsi="Arial"/>
        </w:rPr>
        <w:t>26.4 Records.</w:t>
      </w:r>
    </w:p>
    <w:p>
      <w:pPr>
        <w:widowControl/>
        <w:jc w:val="both"/>
      </w:pPr>
      <w:r>
        <w:rPr>
          <w:rFonts w:ascii="Arial" w:hAnsi="Arial"/>
        </w:rPr>
        <w:t>Marketplace records and audit logs may assist participants but are not guaranteed to satisfy every legal evidentiary, records-retention, government-contracting, accounting, or regulatory requirement. Customers must maintain records independently where required.</w:t>
      </w:r>
    </w:p>
    <w:p>
      <w:pPr>
        <w:pStyle w:val="Heading1"/>
        <w:widowControl/>
      </w:pPr>
      <w:r>
        <w:rPr>
          <w:rFonts w:ascii="Arial" w:hAnsi="Arial"/>
        </w:rPr>
        <w:t>ARTICLE 27. SUSPENSION, REMOVAL, ENFORCEMENT, AND MARKETPLACE SAFETY</w:t>
      </w:r>
    </w:p>
    <w:p>
      <w:pPr>
        <w:pStyle w:val="Heading2"/>
        <w:widowControl/>
      </w:pPr>
      <w:r>
        <w:rPr>
          <w:rFonts w:ascii="Arial" w:hAnsi="Arial"/>
        </w:rPr>
        <w:t>27.1 Protective Actions.</w:t>
      </w:r>
    </w:p>
    <w:p>
      <w:pPr>
        <w:widowControl/>
        <w:jc w:val="both"/>
      </w:pPr>
      <w:r>
        <w:rPr>
          <w:rFonts w:ascii="Arial" w:hAnsi="Arial"/>
        </w:rPr>
        <w:t>PrimeMatch AI may suspend, restrict, delist, quarantine, or terminate accounts, profiles, listings, transactions, integrations, messages, or functionality when reasonably necessary to address suspected fraud, security risk, policy violations, legal process, sanctions concerns, payment risk, marketplace manipulation, material misrepresentation, or threats to users or the Platform.</w:t>
      </w:r>
    </w:p>
    <w:p>
      <w:pPr>
        <w:pStyle w:val="Heading2"/>
        <w:widowControl/>
      </w:pPr>
      <w:r>
        <w:rPr>
          <w:rFonts w:ascii="Arial" w:hAnsi="Arial"/>
        </w:rPr>
        <w:t>27.2 Investigations.</w:t>
      </w:r>
    </w:p>
    <w:p>
      <w:pPr>
        <w:widowControl/>
        <w:jc w:val="both"/>
      </w:pPr>
      <w:r>
        <w:rPr>
          <w:rFonts w:ascii="Arial" w:hAnsi="Arial"/>
        </w:rPr>
        <w:t>PrimeMatch AI may request identity, authority, transaction, credential, payment, or other documentation reasonably related to an investigation. Failure to cooperate may result in continued restrictions. PrimeMatch AI may preserve relevant records and cooperate with lawful governmental or regulatory requests.</w:t>
      </w:r>
    </w:p>
    <w:p>
      <w:pPr>
        <w:pStyle w:val="Heading2"/>
        <w:widowControl/>
      </w:pPr>
      <w:r>
        <w:rPr>
          <w:rFonts w:ascii="Arial" w:hAnsi="Arial"/>
        </w:rPr>
        <w:t>27.3 No Duty to Police.</w:t>
      </w:r>
    </w:p>
    <w:p>
      <w:pPr>
        <w:widowControl/>
        <w:jc w:val="both"/>
      </w:pPr>
      <w:r>
        <w:rPr>
          <w:rFonts w:ascii="Arial" w:hAnsi="Arial"/>
        </w:rPr>
        <w:t>PrimeMatch AI may monitor and enforce marketplace standards but does not undertake a general duty to investigate every participant, statement, listing, message, transaction, or dispute. Users remain responsible for their own due diligence and risk management.</w:t>
      </w:r>
    </w:p>
    <w:p>
      <w:pPr>
        <w:pStyle w:val="Heading2"/>
        <w:widowControl/>
      </w:pPr>
      <w:r>
        <w:rPr>
          <w:rFonts w:ascii="Arial" w:hAnsi="Arial"/>
        </w:rPr>
        <w:t>27.4 Emergency Measures.</w:t>
      </w:r>
    </w:p>
    <w:p>
      <w:pPr>
        <w:widowControl/>
        <w:jc w:val="both"/>
      </w:pPr>
      <w:r>
        <w:rPr>
          <w:rFonts w:ascii="Arial" w:hAnsi="Arial"/>
        </w:rPr>
        <w:t>PrimeMatch AI may take immediate protective action without prior notice where reasonably necessary to address account compromise, imminent security threats, suspected fraud, unlawful activity, payment risk, or material harm. Notice and appeal procedures, if any, may follow after the immediate risk is contained.</w:t>
      </w:r>
    </w:p>
    <w:p>
      <w:pPr>
        <w:pStyle w:val="Heading1"/>
        <w:widowControl/>
      </w:pPr>
      <w:r>
        <w:rPr>
          <w:rFonts w:ascii="Arial" w:hAnsi="Arial"/>
        </w:rPr>
        <w:t>ARTICLE 28. DISCLAIMERS AND NO GUARANTEES</w:t>
      </w:r>
    </w:p>
    <w:p>
      <w:pPr>
        <w:pStyle w:val="Heading2"/>
        <w:widowControl/>
      </w:pPr>
      <w:r>
        <w:rPr>
          <w:rFonts w:ascii="Arial" w:hAnsi="Arial"/>
        </w:rPr>
        <w:t>28.1 General Disclaimer.</w:t>
      </w:r>
    </w:p>
    <w:p>
      <w:pPr>
        <w:widowControl/>
        <w:jc w:val="both"/>
      </w:pPr>
      <w:r>
        <w:rPr>
          <w:rFonts w:ascii="Arial" w:hAnsi="Arial"/>
        </w:rPr>
        <w:t>EXCEPT AS EXPRESSLY PROVIDED IN A SIGNED AGREEMENT, THE PLATFORM, MATCHING FEATURES, MARKETPLACE, PROFILES, LISTINGS, DATA, AI OUTPUTS, SCORES, RECOMMENDATIONS, COMMUNICATIONS, AND RELATED SERVICES ARE PROVIDED “AS IS” AND “AS AVAILABLE.” TO THE MAXIMUM EXTENT PERMITTED BY LAW, PRIMEMATCH AI DISCLAIMS IMPLIED WARRANTIES OF MERCHANTABILITY, FITNESS FOR A PARTICULAR PURPOSE, TITLE, NON-INFRINGEMENT, ACCURACY, COMPLETENESS, QUIET ENJOYMENT, AND WARRANTIES ARISING FROM COURSE OF DEALING OR USAGE OF TRADE.</w:t>
      </w:r>
    </w:p>
    <w:p>
      <w:pPr>
        <w:pStyle w:val="Heading2"/>
        <w:widowControl/>
      </w:pPr>
      <w:r>
        <w:rPr>
          <w:rFonts w:ascii="Arial" w:hAnsi="Arial"/>
        </w:rPr>
        <w:t>28.2 No Outcome Guarantees.</w:t>
      </w:r>
    </w:p>
    <w:p>
      <w:pPr>
        <w:widowControl/>
        <w:jc w:val="both"/>
      </w:pPr>
      <w:r>
        <w:rPr>
          <w:rFonts w:ascii="Arial" w:hAnsi="Arial"/>
        </w:rPr>
        <w:t>PRIMEMATCH AI DOES NOT GUARANTEE CONTRACT AWARDS, PROPOSAL SUCCESS, BUSINESS GROWTH, PROFITABILITY, SUCCESSFUL PARTNERSHIPS, LEGAL COMPLIANCE, LICENSING, INSURANCE, FINANCIAL STABILITY, VENDOR PERFORMANCE, MARKETPLACE QUALITY, PARTNER HONESTY, COMPATIBILITY, ELIGIBILITY, RESPONSIBILITY, OR ANY FUTURE OUTCOME.</w:t>
      </w:r>
    </w:p>
    <w:p>
      <w:pPr>
        <w:pStyle w:val="Heading2"/>
        <w:widowControl/>
      </w:pPr>
      <w:r>
        <w:rPr>
          <w:rFonts w:ascii="Arial" w:hAnsi="Arial"/>
        </w:rPr>
        <w:t>28.3 Decision-Support Only.</w:t>
      </w:r>
    </w:p>
    <w:p>
      <w:pPr>
        <w:widowControl/>
        <w:jc w:val="both"/>
      </w:pPr>
      <w:r>
        <w:rPr>
          <w:rFonts w:ascii="Arial" w:hAnsi="Arial"/>
        </w:rPr>
        <w:t>ALL RECOMMENDATIONS, RANKINGS, SCORES, CONFIDENCE VALUES, PREDICTIONS, FORECASTS, MATCHES, REPUTATION SIGNALS, ANALYTICS, AND AI OUTPUTS ARE INFORMATIONAL DECISION-SUPPORT TOOLS ONLY. USERS REMAIN SOLELY RESPONSIBLE FOR ALL BUSINESS, PROCUREMENT, LEGAL, FINANCIAL, STAFFING, CONTRACTING, TEAMING, VENDOR-SELECTION, AND MARKETPLACE DECISIONS.</w:t>
      </w:r>
    </w:p>
    <w:p>
      <w:pPr>
        <w:pStyle w:val="Heading2"/>
        <w:widowControl/>
      </w:pPr>
      <w:r>
        <w:rPr>
          <w:rFonts w:ascii="Arial" w:hAnsi="Arial"/>
        </w:rPr>
        <w:t>28.4 Counterparty Risk.</w:t>
      </w:r>
    </w:p>
    <w:p>
      <w:pPr>
        <w:widowControl/>
        <w:jc w:val="both"/>
      </w:pPr>
      <w:r>
        <w:rPr>
          <w:rFonts w:ascii="Arial" w:hAnsi="Arial"/>
        </w:rPr>
        <w:t>PRIMEMATCH AI IS NOT RESPONSIBLE FOR THE ACTS, OMISSIONS, REPRESENTATIONS, PRODUCTS, SERVICES, FINANCIAL CONDITION, SECURITY, LEGAL COMPLIANCE, PROFESSIONAL QUALIFICATIONS, OR PERFORMANCE OF MARKETPLACE PARTICIPANTS.</w:t>
      </w:r>
    </w:p>
    <w:p>
      <w:pPr>
        <w:pStyle w:val="Heading1"/>
        <w:widowControl/>
      </w:pPr>
      <w:r>
        <w:rPr>
          <w:rFonts w:ascii="Arial" w:hAnsi="Arial"/>
        </w:rPr>
        <w:t>ARTICLE 29. INDEMNIFICATION</w:t>
      </w:r>
    </w:p>
    <w:p>
      <w:pPr>
        <w:pStyle w:val="Heading2"/>
        <w:widowControl/>
      </w:pPr>
      <w:r>
        <w:rPr>
          <w:rFonts w:ascii="Arial" w:hAnsi="Arial"/>
        </w:rPr>
        <w:t>29.1 Customer Indemnity.</w:t>
      </w:r>
    </w:p>
    <w:p>
      <w:pPr>
        <w:widowControl/>
        <w:jc w:val="both"/>
      </w:pPr>
      <w:r>
        <w:rPr>
          <w:rFonts w:ascii="Arial" w:hAnsi="Arial"/>
        </w:rPr>
        <w:t>To the maximum extent permitted by law and subject to any negotiated enterprise limitations, Customer will defend, indemnify, and hold harmless PrimeMatch AI, its affiliates, and their officers, directors, employees, and agents from third-party claims, damages, judgments, penalties, costs, and reasonable attorneys’ fees arising from or relating to: (a) Customer Data or listings; (b) Customer’s products, services, proposals, representations, transactions, or performance; (c) Customer’s violation of law, procurement requirements, or third-party rights; (d) Customer’s misuse of AI Output, scores, recommendations, or marketplace functionality; or (e) disputes between Customer and another Marketplace Participant, except to the extent caused by PrimeMatch AI’s indemnifiable conduct under a separately applicable agreement.</w:t>
      </w:r>
    </w:p>
    <w:p>
      <w:pPr>
        <w:pStyle w:val="Heading2"/>
        <w:widowControl/>
      </w:pPr>
      <w:r>
        <w:rPr>
          <w:rFonts w:ascii="Arial" w:hAnsi="Arial"/>
        </w:rPr>
        <w:t>29.2 Provider-Specific Indemnity.</w:t>
      </w:r>
    </w:p>
    <w:p>
      <w:pPr>
        <w:widowControl/>
        <w:jc w:val="both"/>
      </w:pPr>
      <w:r>
        <w:rPr>
          <w:rFonts w:ascii="Arial" w:hAnsi="Arial"/>
        </w:rPr>
        <w:t>A Marketplace Provider will additionally defend and indemnify the PrimeMatch AI parties against third-party claims arising from the provider’s offerings, professional services, personnel, infringement, bodily injury or property damage caused by provider performance, failure to pay personnel or subcontractors, tax obligations, licensing deficiencies, or breach of its transaction agreement, subject to applicable law.</w:t>
      </w:r>
    </w:p>
    <w:p>
      <w:pPr>
        <w:pStyle w:val="Heading2"/>
        <w:widowControl/>
      </w:pPr>
      <w:r>
        <w:rPr>
          <w:rFonts w:ascii="Arial" w:hAnsi="Arial"/>
        </w:rPr>
        <w:t>29.3 Procedure.</w:t>
      </w:r>
    </w:p>
    <w:p>
      <w:pPr>
        <w:widowControl/>
        <w:jc w:val="both"/>
      </w:pPr>
      <w:r>
        <w:rPr>
          <w:rFonts w:ascii="Arial" w:hAnsi="Arial"/>
        </w:rPr>
        <w:t>The indemnified party will provide reasonably prompt notice, permit the indemnifying party to control the defense with qualified counsel, and provide reasonable cooperation at the indemnifying party’s expense. The indemnifying party may not settle a claim in a manner that admits fault by or imposes non-monetary obligations on the indemnified party without written consent, not to be unreasonably withheld.</w:t>
      </w:r>
    </w:p>
    <w:p>
      <w:pPr>
        <w:pStyle w:val="Heading1"/>
        <w:widowControl/>
      </w:pPr>
      <w:r>
        <w:rPr>
          <w:rFonts w:ascii="Arial" w:hAnsi="Arial"/>
        </w:rPr>
        <w:t>ARTICLE 30. LIMITATION OF LIABILITY</w:t>
      </w:r>
    </w:p>
    <w:p>
      <w:pPr>
        <w:pStyle w:val="Heading2"/>
        <w:widowControl/>
      </w:pPr>
      <w:r>
        <w:rPr>
          <w:rFonts w:ascii="Arial" w:hAnsi="Arial"/>
        </w:rPr>
        <w:t>30.1 Excluded Damages.</w:t>
      </w:r>
    </w:p>
    <w:p>
      <w:pPr>
        <w:widowControl/>
        <w:jc w:val="both"/>
      </w:pPr>
      <w:r>
        <w:rPr>
          <w:rFonts w:ascii="Arial" w:hAnsi="Arial"/>
        </w:rPr>
        <w:t>TO THE MAXIMUM EXTENT PERMITTED BY LAW, NEITHER PRIMEMATCH AI NOR ITS AFFILIATES, LICENSORS, OR SERVICE PROVIDERS WILL BE LIABLE FOR INDIRECT, INCIDENTAL, SPECIAL, EXEMPLARY, PUNITIVE, OR CONSEQUENTIAL DAMAGES; LOSS OF PROFITS, REVENUE, BUSINESS, GOODWILL, DATA, OR OPPORTUNITY; PROCUREMENT OR PROPOSAL COSTS; LOSS OF CONTRACT; SUBSTITUTE SERVICES; OR DAMAGES ARISING FROM A COUNTERPARTY’S CONDUCT, EVEN IF ADVISED OF THE POSSIBILITY OF SUCH DAMAGES.</w:t>
      </w:r>
    </w:p>
    <w:p>
      <w:pPr>
        <w:pStyle w:val="Heading2"/>
        <w:widowControl/>
      </w:pPr>
      <w:r>
        <w:rPr>
          <w:rFonts w:ascii="Arial" w:hAnsi="Arial"/>
        </w:rPr>
        <w:t>30.2 Liability Cap.</w:t>
      </w:r>
    </w:p>
    <w:p>
      <w:pPr>
        <w:widowControl/>
        <w:jc w:val="both"/>
      </w:pPr>
      <w:r>
        <w:rPr>
          <w:rFonts w:ascii="Arial" w:hAnsi="Arial"/>
        </w:rPr>
        <w:t>EXCEPT FOR LIABILITY THAT CANNOT LAWFULLY BE LIMITED AND SUBJECT TO ANY EXPRESSLY NEGOTIATED ENTERPRISE TERMS, PRIMEMATCH AI’S AGGREGATE LIABILITY ARISING OUT OF OR RELATING TO THIS AGREEMENT WILL NOT EXCEED THE GREATER OF (A) AMOUNTS PAID OR PAYABLE BY CUSTOMER TO PRIMEMATCH AI FOR THE COVERED SERVICES DURING THE TWELVE (12) MONTHS PRECEDING THE EVENT GIVING RISE TO LIABILITY OR (B) [INSERT FALLBACK AMOUNT, IF ANY, AFTER COUNSEL REVIEW].</w:t>
      </w:r>
    </w:p>
    <w:p>
      <w:pPr>
        <w:pStyle w:val="Heading2"/>
        <w:widowControl/>
      </w:pPr>
      <w:r>
        <w:rPr>
          <w:rFonts w:ascii="Arial" w:hAnsi="Arial"/>
        </w:rPr>
        <w:t>30.3 Allocation of Risk.</w:t>
      </w:r>
    </w:p>
    <w:p>
      <w:pPr>
        <w:widowControl/>
        <w:jc w:val="both"/>
      </w:pPr>
      <w:r>
        <w:rPr>
          <w:rFonts w:ascii="Arial" w:hAnsi="Arial"/>
        </w:rPr>
        <w:t>The parties agree that the disclaimers and limitations in this Agreement allocate risk between them and are reflected in pricing. These provisions apply even if a limited remedy fails of its essential purpose, to the maximum extent permitted by law.</w:t>
      </w:r>
    </w:p>
    <w:p>
      <w:pPr>
        <w:pStyle w:val="Heading2"/>
        <w:widowControl/>
      </w:pPr>
      <w:r>
        <w:rPr>
          <w:rFonts w:ascii="Arial" w:hAnsi="Arial"/>
        </w:rPr>
        <w:t>30.4 Participant Transactions.</w:t>
      </w:r>
    </w:p>
    <w:p>
      <w:pPr>
        <w:widowControl/>
        <w:jc w:val="both"/>
      </w:pPr>
      <w:r>
        <w:rPr>
          <w:rFonts w:ascii="Arial" w:hAnsi="Arial"/>
        </w:rPr>
        <w:t>PrimeMatch AI will not be liable for amounts owed under participant-to-participant contracts, provider nonperformance, buyer nonpayment, failed teaming relationships, lost awards, bid protests, unsuccessful proposals, contract terminations, or government or commercial source-selection decisions.</w:t>
      </w:r>
    </w:p>
    <w:p>
      <w:pPr>
        <w:pStyle w:val="Heading1"/>
        <w:widowControl/>
      </w:pPr>
      <w:r>
        <w:rPr>
          <w:rFonts w:ascii="Arial" w:hAnsi="Arial"/>
        </w:rPr>
        <w:t>ARTICLE 31. TERM, TERMINATION, AND EFFECT OF TERMINATION</w:t>
      </w:r>
    </w:p>
    <w:p>
      <w:pPr>
        <w:pStyle w:val="Heading2"/>
        <w:widowControl/>
      </w:pPr>
      <w:r>
        <w:rPr>
          <w:rFonts w:ascii="Arial" w:hAnsi="Arial"/>
        </w:rPr>
        <w:t>31.1 Term.</w:t>
      </w:r>
    </w:p>
    <w:p>
      <w:pPr>
        <w:widowControl/>
        <w:jc w:val="both"/>
      </w:pPr>
      <w:r>
        <w:rPr>
          <w:rFonts w:ascii="Arial" w:hAnsi="Arial"/>
        </w:rPr>
        <w:t>This Agreement begins when accepted and continues while Customer uses covered functionality, unless superseded or terminated under the Master Terms, an Order Form, or this Agreement.</w:t>
      </w:r>
    </w:p>
    <w:p>
      <w:pPr>
        <w:pStyle w:val="Heading2"/>
        <w:widowControl/>
      </w:pPr>
      <w:r>
        <w:rPr>
          <w:rFonts w:ascii="Arial" w:hAnsi="Arial"/>
        </w:rPr>
        <w:t>31.2 Termination Rights.</w:t>
      </w:r>
    </w:p>
    <w:p>
      <w:pPr>
        <w:widowControl/>
        <w:jc w:val="both"/>
      </w:pPr>
      <w:r>
        <w:rPr>
          <w:rFonts w:ascii="Arial" w:hAnsi="Arial"/>
        </w:rPr>
        <w:t>PrimeMatch AI may terminate or suspend covered functionality for material breach, nonpayment, security risk, unlawful conduct, fraud, sanctions concerns, marketplace abuse, or as otherwise authorized by the Master Terms. Customer may cease use subject to payment obligations, active transaction commitments, and any negotiated notice requirements.</w:t>
      </w:r>
    </w:p>
    <w:p>
      <w:pPr>
        <w:pStyle w:val="Heading2"/>
        <w:widowControl/>
      </w:pPr>
      <w:r>
        <w:rPr>
          <w:rFonts w:ascii="Arial" w:hAnsi="Arial"/>
        </w:rPr>
        <w:t>31.3 Active Transactions.</w:t>
      </w:r>
    </w:p>
    <w:p>
      <w:pPr>
        <w:widowControl/>
        <w:jc w:val="both"/>
      </w:pPr>
      <w:r>
        <w:rPr>
          <w:rFonts w:ascii="Arial" w:hAnsi="Arial"/>
        </w:rPr>
        <w:t>Termination of Platform access does not automatically terminate participant-to-participant contracts or eliminate accrued payment, confidentiality, intellectual-property, indemnity, tax, or performance obligations. Participants remain responsible for orderly transition or termination under their own agreements.</w:t>
      </w:r>
    </w:p>
    <w:p>
      <w:pPr>
        <w:pStyle w:val="Heading2"/>
        <w:widowControl/>
      </w:pPr>
      <w:r>
        <w:rPr>
          <w:rFonts w:ascii="Arial" w:hAnsi="Arial"/>
        </w:rPr>
        <w:t>31.4 Survival.</w:t>
      </w:r>
    </w:p>
    <w:p>
      <w:pPr>
        <w:widowControl/>
        <w:jc w:val="both"/>
      </w:pPr>
      <w:r>
        <w:rPr>
          <w:rFonts w:ascii="Arial" w:hAnsi="Arial"/>
        </w:rPr>
        <w:t>Provisions concerning intellectual property, confidentiality, data rights, disclaimers, no guarantees, indemnification, limitations of liability, dispute resolution, accrued payment obligations, records, and any provision that by its nature should survive will survive termination.</w:t>
      </w:r>
    </w:p>
    <w:p>
      <w:pPr>
        <w:pStyle w:val="Heading1"/>
        <w:widowControl/>
      </w:pPr>
      <w:r>
        <w:rPr>
          <w:rFonts w:ascii="Arial" w:hAnsi="Arial"/>
        </w:rPr>
        <w:t>ARTICLE 32. DISPUTE RESOLUTION, ARBITRATION, GOVERNING LAW, AND VENUE</w:t>
      </w:r>
    </w:p>
    <w:p>
      <w:pPr>
        <w:pStyle w:val="Heading2"/>
        <w:widowControl/>
      </w:pPr>
      <w:r>
        <w:rPr>
          <w:rFonts w:ascii="Arial" w:hAnsi="Arial"/>
        </w:rPr>
        <w:t>32.1 Informal Resolution.</w:t>
      </w:r>
    </w:p>
    <w:p>
      <w:pPr>
        <w:widowControl/>
        <w:jc w:val="both"/>
      </w:pPr>
      <w:r>
        <w:rPr>
          <w:rFonts w:ascii="Arial" w:hAnsi="Arial"/>
        </w:rPr>
        <w:t>Before initiating formal proceedings, the parties will attempt in good faith to resolve a dispute by written notice describing the issue and requested relief, followed by an escalation period of [30] days unless urgent injunctive relief is reasonably necessary.</w:t>
      </w:r>
    </w:p>
    <w:p>
      <w:pPr>
        <w:pStyle w:val="Heading2"/>
        <w:widowControl/>
      </w:pPr>
      <w:r>
        <w:rPr>
          <w:rFonts w:ascii="Arial" w:hAnsi="Arial"/>
        </w:rPr>
        <w:t>32.2 Arbitration.</w:t>
      </w:r>
    </w:p>
    <w:p>
      <w:pPr>
        <w:widowControl/>
        <w:jc w:val="both"/>
      </w:pPr>
      <w:r>
        <w:rPr>
          <w:rFonts w:ascii="Arial" w:hAnsi="Arial"/>
        </w:rPr>
        <w:t>Except for claims that applicable law permits to proceed in court and unless an enterprise or public-sector agreement provides otherwise, disputes arising out of or relating to this Agreement will be resolved by binding arbitration administered by [JAMS/AAA/OTHER — COUNSEL TO SELECT] under its applicable commercial rules, before one arbitrator experienced in technology and commercial contracts. The seat and hearing location will be [INSERT].</w:t>
      </w:r>
    </w:p>
    <w:p>
      <w:pPr>
        <w:pStyle w:val="Heading2"/>
        <w:widowControl/>
      </w:pPr>
      <w:r>
        <w:rPr>
          <w:rFonts w:ascii="Arial" w:hAnsi="Arial"/>
        </w:rPr>
        <w:t>32.3 Class Waiver.</w:t>
      </w:r>
    </w:p>
    <w:p>
      <w:pPr>
        <w:widowControl/>
        <w:jc w:val="both"/>
      </w:pPr>
      <w:r>
        <w:rPr>
          <w:rFonts w:ascii="Arial" w:hAnsi="Arial"/>
        </w:rPr>
        <w:t>TO THE MAXIMUM EXTENT PERMITTED BY LAW, DISPUTES WILL BE BROUGHT ONLY IN AN INDIVIDUAL CAPACITY AND NOT AS A PLAINTIFF OR CLASS MEMBER IN A PURPORTED CLASS, CONSOLIDATED, COLLECTIVE, OR REPRESENTATIVE ACTION. [COUNSEL TO CONFIRM ENFORCEABILITY AND REQUIRED OPT-OUT PROCESS BY JURISDICTION.]</w:t>
      </w:r>
    </w:p>
    <w:p>
      <w:pPr>
        <w:pStyle w:val="Heading2"/>
        <w:widowControl/>
      </w:pPr>
      <w:r>
        <w:rPr>
          <w:rFonts w:ascii="Arial" w:hAnsi="Arial"/>
        </w:rPr>
        <w:t>32.4 Governing Law.</w:t>
      </w:r>
    </w:p>
    <w:p>
      <w:pPr>
        <w:widowControl/>
        <w:jc w:val="both"/>
      </w:pPr>
      <w:r>
        <w:rPr>
          <w:rFonts w:ascii="Arial" w:hAnsi="Arial"/>
        </w:rPr>
        <w:t>This Agreement is governed by the laws of [INSERT STATE/JURISDICTION], without regard to conflict-of-laws principles, except to the extent superseded by federal law or a negotiated public-sector agreement.</w:t>
      </w:r>
    </w:p>
    <w:p>
      <w:pPr>
        <w:pStyle w:val="Heading2"/>
        <w:widowControl/>
      </w:pPr>
      <w:r>
        <w:rPr>
          <w:rFonts w:ascii="Arial" w:hAnsi="Arial"/>
        </w:rPr>
        <w:t>32.5 Injunctive Relief.</w:t>
      </w:r>
    </w:p>
    <w:p>
      <w:pPr>
        <w:widowControl/>
        <w:jc w:val="both"/>
      </w:pPr>
      <w:r>
        <w:rPr>
          <w:rFonts w:ascii="Arial" w:hAnsi="Arial"/>
        </w:rPr>
        <w:t>Nothing prevents a party from seeking temporary or preliminary injunctive relief in a court of competent jurisdiction to protect intellectual property, confidential information, security, or prevent unauthorized access or misuse pending resolution of the underlying dispute.</w:t>
      </w:r>
    </w:p>
    <w:p>
      <w:pPr>
        <w:pStyle w:val="Heading1"/>
        <w:widowControl/>
      </w:pPr>
      <w:r>
        <w:rPr>
          <w:rFonts w:ascii="Arial" w:hAnsi="Arial"/>
        </w:rPr>
        <w:t>ARTICLE 33. ENTERPRISE, PUBLIC-SECTOR, AND NEGOTIATED TERMS</w:t>
      </w:r>
    </w:p>
    <w:p>
      <w:pPr>
        <w:pStyle w:val="Heading2"/>
        <w:widowControl/>
      </w:pPr>
      <w:r>
        <w:rPr>
          <w:rFonts w:ascii="Arial" w:hAnsi="Arial"/>
        </w:rPr>
        <w:t>33.1 Enterprise Agreements.</w:t>
      </w:r>
    </w:p>
    <w:p>
      <w:pPr>
        <w:widowControl/>
        <w:jc w:val="both"/>
      </w:pPr>
      <w:r>
        <w:rPr>
          <w:rFonts w:ascii="Arial" w:hAnsi="Arial"/>
        </w:rPr>
        <w:t>Enterprise customers may negotiate additional terms concerning security, service levels, data processing, insurance, audit rights, support, integrations, marketplace governance, approved-provider programs, liability, or other matters. Any modification must be contained in an executed agreement or Order Form that expressly modifies this Agreement.</w:t>
      </w:r>
    </w:p>
    <w:p>
      <w:pPr>
        <w:pStyle w:val="Heading2"/>
        <w:widowControl/>
      </w:pPr>
      <w:r>
        <w:rPr>
          <w:rFonts w:ascii="Arial" w:hAnsi="Arial"/>
        </w:rPr>
        <w:t>33.2 Government and Public-Sector Customers.</w:t>
      </w:r>
    </w:p>
    <w:p>
      <w:pPr>
        <w:widowControl/>
        <w:jc w:val="both"/>
      </w:pPr>
      <w:r>
        <w:rPr>
          <w:rFonts w:ascii="Arial" w:hAnsi="Arial"/>
        </w:rPr>
        <w:t>Where Customer is a U.S. federal, state, local, tribal, or foreign governmental entity, provisions concerning indemnification, arbitration, governing law, venue, automatic renewal, confidentiality, publicity, records, audits, payment, or other matters apply only to the extent permitted by applicable law. Required public-sector addenda or mandatory clauses will control to the extent of a direct conflict.</w:t>
      </w:r>
    </w:p>
    <w:p>
      <w:pPr>
        <w:pStyle w:val="Heading2"/>
        <w:widowControl/>
      </w:pPr>
      <w:r>
        <w:rPr>
          <w:rFonts w:ascii="Arial" w:hAnsi="Arial"/>
        </w:rPr>
        <w:t>33.3 Government Contractors.</w:t>
      </w:r>
    </w:p>
    <w:p>
      <w:pPr>
        <w:widowControl/>
        <w:jc w:val="both"/>
      </w:pPr>
      <w:r>
        <w:rPr>
          <w:rFonts w:ascii="Arial" w:hAnsi="Arial"/>
        </w:rPr>
        <w:t>The fact that a customer or provider performs government contracts does not convert PrimeMatch AI into a government contractor, subcontractor, records custodian, or regulated system for that customer’s contract unless a written agreement expressly establishes such status and identifies applicable requirements.</w:t>
      </w:r>
    </w:p>
    <w:p>
      <w:pPr>
        <w:pStyle w:val="Heading2"/>
        <w:widowControl/>
      </w:pPr>
      <w:r>
        <w:rPr>
          <w:rFonts w:ascii="Arial" w:hAnsi="Arial"/>
        </w:rPr>
        <w:t>33.4 Flow-Downs.</w:t>
      </w:r>
    </w:p>
    <w:p>
      <w:pPr>
        <w:widowControl/>
        <w:jc w:val="both"/>
      </w:pPr>
      <w:r>
        <w:rPr>
          <w:rFonts w:ascii="Arial" w:hAnsi="Arial"/>
        </w:rPr>
        <w:t>No FAR, DFARS, agency supplement, grant term, prime contract clause, subcontract flow-down, or other government term applies to PrimeMatch AI merely because a customer is subject to it. Any required flow-down must be expressly identified and accepted in a signed written agreement by an authorized PrimeMatch AI representative.</w:t>
      </w:r>
    </w:p>
    <w:p>
      <w:pPr>
        <w:pStyle w:val="Heading1"/>
        <w:widowControl/>
      </w:pPr>
      <w:r>
        <w:rPr>
          <w:rFonts w:ascii="Arial" w:hAnsi="Arial"/>
        </w:rPr>
        <w:t>ARTICLE 34. GENERAL PROVISIONS</w:t>
      </w:r>
    </w:p>
    <w:p>
      <w:pPr>
        <w:pStyle w:val="Heading2"/>
        <w:widowControl/>
      </w:pPr>
      <w:r>
        <w:rPr>
          <w:rFonts w:ascii="Arial" w:hAnsi="Arial"/>
        </w:rPr>
        <w:t>34.1 Changes.</w:t>
      </w:r>
    </w:p>
    <w:p>
      <w:pPr>
        <w:widowControl/>
        <w:jc w:val="both"/>
      </w:pPr>
      <w:r>
        <w:rPr>
          <w:rFonts w:ascii="Arial" w:hAnsi="Arial"/>
        </w:rPr>
        <w:t>PrimeMatch AI may update this Agreement prospectively as permitted by applicable law and the Master Terms. Material changes may be communicated through the Platform, email, or other reasonable notice. Negotiated enterprise terms will not be modified except as provided in the applicable agreement.</w:t>
      </w:r>
    </w:p>
    <w:p>
      <w:pPr>
        <w:pStyle w:val="Heading2"/>
        <w:widowControl/>
      </w:pPr>
      <w:r>
        <w:rPr>
          <w:rFonts w:ascii="Arial" w:hAnsi="Arial"/>
        </w:rPr>
        <w:t>34.2 Assignment.</w:t>
      </w:r>
    </w:p>
    <w:p>
      <w:pPr>
        <w:widowControl/>
        <w:jc w:val="both"/>
      </w:pPr>
      <w:r>
        <w:rPr>
          <w:rFonts w:ascii="Arial" w:hAnsi="Arial"/>
        </w:rPr>
        <w:t>Customer may not assign this Agreement without PrimeMatch AI’s prior written consent, except in connection with a permitted merger, reorganization, or sale of substantially all relevant assets if the assignee is not a competitor and agrees in writing to be bound. PrimeMatch AI may assign this Agreement in connection with a corporate reorganization, financing, merger, acquisition, or sale of assets, subject to applicable law.</w:t>
      </w:r>
    </w:p>
    <w:p>
      <w:pPr>
        <w:pStyle w:val="Heading2"/>
        <w:widowControl/>
      </w:pPr>
      <w:r>
        <w:rPr>
          <w:rFonts w:ascii="Arial" w:hAnsi="Arial"/>
        </w:rPr>
        <w:t>34.3 Notices.</w:t>
      </w:r>
    </w:p>
    <w:p>
      <w:pPr>
        <w:widowControl/>
        <w:jc w:val="both"/>
      </w:pPr>
      <w:r>
        <w:rPr>
          <w:rFonts w:ascii="Arial" w:hAnsi="Arial"/>
        </w:rPr>
        <w:t>Legal notices must be sent to the addresses stated in the applicable Order Form or to [INSERT LEGAL NOTICE ADDRESS / EMAIL]. Operational notices may be delivered electronically through the Platform or account email.</w:t>
      </w:r>
    </w:p>
    <w:p>
      <w:pPr>
        <w:pStyle w:val="Heading2"/>
        <w:widowControl/>
      </w:pPr>
      <w:r>
        <w:rPr>
          <w:rFonts w:ascii="Arial" w:hAnsi="Arial"/>
        </w:rPr>
        <w:t>34.4 Severability; Waiver.</w:t>
      </w:r>
    </w:p>
    <w:p>
      <w:pPr>
        <w:widowControl/>
        <w:jc w:val="both"/>
      </w:pPr>
      <w:r>
        <w:rPr>
          <w:rFonts w:ascii="Arial" w:hAnsi="Arial"/>
        </w:rPr>
        <w:t>If a provision is unenforceable, it will be modified to the minimum extent necessary or severed, and the remainder will remain effective. Failure to enforce a provision is not a waiver.</w:t>
      </w:r>
    </w:p>
    <w:p>
      <w:pPr>
        <w:pStyle w:val="Heading2"/>
        <w:widowControl/>
      </w:pPr>
      <w:r>
        <w:rPr>
          <w:rFonts w:ascii="Arial" w:hAnsi="Arial"/>
        </w:rPr>
        <w:t>34.5 Force Majeure.</w:t>
      </w:r>
    </w:p>
    <w:p>
      <w:pPr>
        <w:widowControl/>
        <w:jc w:val="both"/>
      </w:pPr>
      <w:r>
        <w:rPr>
          <w:rFonts w:ascii="Arial" w:hAnsi="Arial"/>
        </w:rPr>
        <w:t>Neither party is liable for delay caused by events beyond reasonable control, including natural disasters, war, terrorism, labor disruptions, governmental actions, internet or telecommunications failures, cloud-provider failures, cyberattacks by third parties, power failures, or widespread service outages, except payment obligations already due.</w:t>
      </w:r>
    </w:p>
    <w:p>
      <w:pPr>
        <w:pStyle w:val="Heading2"/>
        <w:widowControl/>
      </w:pPr>
      <w:r>
        <w:rPr>
          <w:rFonts w:ascii="Arial" w:hAnsi="Arial"/>
        </w:rPr>
        <w:t>34.6 Entire Agreement and Order of Precedence.</w:t>
      </w:r>
    </w:p>
    <w:p>
      <w:pPr>
        <w:widowControl/>
        <w:jc w:val="both"/>
      </w:pPr>
      <w:r>
        <w:rPr>
          <w:rFonts w:ascii="Arial" w:hAnsi="Arial"/>
        </w:rPr>
        <w:t>This Agreement, the Master Terms, Privacy Policy, AI Transparency &amp; Recommendation Policy, applicable Order Forms, DPAs, public-sector addenda, and other incorporated terms constitute the agreement concerning covered subject matter. In the event of conflict, the following order applies unless expressly stated otherwise: (1) signed negotiated agreement or public-sector addendum; (2) Order Form; (3) DPA for data-protection matters; (4) this Agreement for partner-matching and marketplace matters; (5) Master Terms; and (6) incorporated policies.</w:t>
      </w:r>
    </w:p>
    <w:p>
      <w:pPr>
        <w:pStyle w:val="Heading2"/>
        <w:widowControl/>
      </w:pPr>
      <w:r>
        <w:rPr>
          <w:rFonts w:ascii="Arial" w:hAnsi="Arial"/>
        </w:rPr>
        <w:t>34.7 Contact.</w:t>
      </w:r>
    </w:p>
    <w:p>
      <w:pPr>
        <w:widowControl/>
        <w:jc w:val="both"/>
      </w:pPr>
      <w:r>
        <w:rPr>
          <w:rFonts w:ascii="Arial" w:hAnsi="Arial"/>
        </w:rPr>
        <w:t>Questions regarding this Agreement may be directed to [INSERT LEGAL EMAIL], [INSERT PRIVACY/SECURITY CONTACT AS APPLICABLE], or the contact information published by PrimeMatch AI.</w:t>
      </w:r>
    </w:p>
    <w:p>
      <w:pPr>
        <w:widowControl/>
      </w:pPr>
      <w:r>
        <w:rPr>
          <w:rFonts w:ascii="Arial" w:hAnsi="Arial"/>
        </w:rPr>
        <w:br w:type="page"/>
      </w:r>
    </w:p>
    <w:p>
      <w:pPr>
        <w:pStyle w:val="Heading1"/>
        <w:widowControl/>
      </w:pPr>
      <w:r>
        <w:rPr>
          <w:rFonts w:ascii="Arial" w:hAnsi="Arial"/>
        </w:rPr>
        <w:t>APPENDIX A. MATCHING, RANKING, AND SCORE INTERPRETATION FRAMEWORK</w:t>
      </w:r>
    </w:p>
    <w:p>
      <w:pPr>
        <w:widowControl/>
        <w:jc w:val="both"/>
      </w:pPr>
      <w:r>
        <w:rPr>
          <w:rFonts w:ascii="Arial" w:hAnsi="Arial"/>
        </w:rPr>
        <w:t>This Appendix summarizes how users should interpret key PrimeMatch AI™ partner and marketplace indicators. It does not disclose proprietary formulas, model weights, coefficients, source code, internal prompts, or trade secrets.</w:t>
      </w:r>
    </w:p>
    <w:tbl>
      <w:tblPr>
        <w:tblStyle w:val="TableGrid"/>
        <w:tblW w:type="auto" w:w="0"/>
        <w:jc w:val="center"/>
        <w:tblLook w:firstColumn="1" w:firstRow="1" w:lastColumn="0" w:lastRow="0" w:noHBand="0" w:noVBand="1" w:val="04A0"/>
      </w:tblPr>
      <w:tblGrid>
        <w:gridCol w:w="3389"/>
        <w:gridCol w:w="3389"/>
        <w:gridCol w:w="3389"/>
      </w:tblGrid>
      <w:tr>
        <w:tc>
          <w:tcPr>
            <w:tcW w:type="dxa" w:w="3389"/>
          </w:tcPr>
          <w:p>
            <w:pPr>
              <w:spacing w:after="40" w:line="240" w:lineRule="auto"/>
            </w:pPr>
            <w:r>
              <w:rPr>
                <w:b/>
                <w:sz w:val="17"/>
              </w:rPr>
              <w:t>Topic</w:t>
            </w:r>
          </w:p>
        </w:tc>
        <w:tc>
          <w:tcPr>
            <w:tcW w:type="dxa" w:w="3389"/>
          </w:tcPr>
          <w:p>
            <w:pPr>
              <w:spacing w:after="40" w:line="240" w:lineRule="auto"/>
            </w:pPr>
            <w:r>
              <w:rPr>
                <w:b/>
                <w:sz w:val="17"/>
              </w:rPr>
              <w:t>Meaning / User Responsibility</w:t>
            </w:r>
          </w:p>
        </w:tc>
        <w:tc>
          <w:tcPr>
            <w:tcW w:type="dxa" w:w="3389"/>
          </w:tcPr>
          <w:p>
            <w:pPr>
              <w:spacing w:after="40" w:line="240" w:lineRule="auto"/>
            </w:pPr>
            <w:r>
              <w:rPr>
                <w:b/>
                <w:sz w:val="17"/>
              </w:rPr>
              <w:t>Important Limitation</w:t>
            </w:r>
          </w:p>
        </w:tc>
      </w:tr>
      <w:tr>
        <w:tc>
          <w:tcPr>
            <w:tcW w:type="dxa" w:w="3389"/>
          </w:tcPr>
          <w:p>
            <w:pPr>
              <w:spacing w:after="40" w:line="240" w:lineRule="auto"/>
            </w:pPr>
            <w:r>
              <w:rPr>
                <w:rFonts w:ascii="Arial" w:hAnsi="Arial"/>
                <w:sz w:val="16"/>
              </w:rPr>
              <w:t>PrimeMatch Confidence™</w:t>
            </w:r>
          </w:p>
        </w:tc>
        <w:tc>
          <w:tcPr>
            <w:tcW w:type="dxa" w:w="3389"/>
          </w:tcPr>
          <w:p>
            <w:pPr>
              <w:spacing w:after="40" w:line="240" w:lineRule="auto"/>
            </w:pPr>
            <w:r>
              <w:rPr>
                <w:rFonts w:ascii="Arial" w:hAnsi="Arial"/>
                <w:sz w:val="16"/>
              </w:rPr>
              <w:t>Estimated support, relevance, completeness, or analytical confidence associated with an output.</w:t>
            </w:r>
          </w:p>
        </w:tc>
        <w:tc>
          <w:tcPr>
            <w:tcW w:type="dxa" w:w="3389"/>
          </w:tcPr>
          <w:p>
            <w:pPr>
              <w:spacing w:after="40" w:line="240" w:lineRule="auto"/>
            </w:pPr>
            <w:r>
              <w:rPr>
                <w:rFonts w:ascii="Arial" w:hAnsi="Arial"/>
                <w:sz w:val="16"/>
              </w:rPr>
              <w:t>Not a probability of award, success, truthfulness, compliance, or future performance.</w:t>
            </w:r>
          </w:p>
        </w:tc>
      </w:tr>
      <w:tr>
        <w:tc>
          <w:tcPr>
            <w:tcW w:type="dxa" w:w="3389"/>
          </w:tcPr>
          <w:p>
            <w:pPr>
              <w:spacing w:after="40" w:line="240" w:lineRule="auto"/>
            </w:pPr>
            <w:r>
              <w:rPr>
                <w:rFonts w:ascii="Arial" w:hAnsi="Arial"/>
                <w:sz w:val="16"/>
              </w:rPr>
              <w:t>Trust Score™</w:t>
            </w:r>
          </w:p>
        </w:tc>
        <w:tc>
          <w:tcPr>
            <w:tcW w:type="dxa" w:w="3389"/>
          </w:tcPr>
          <w:p>
            <w:pPr>
              <w:spacing w:after="40" w:line="240" w:lineRule="auto"/>
            </w:pPr>
            <w:r>
              <w:rPr>
                <w:rFonts w:ascii="Arial" w:hAnsi="Arial"/>
                <w:sz w:val="16"/>
              </w:rPr>
              <w:t>Decision-support synthesis of permitted verification, activity, consistency, reputation, relationship, responsiveness, or similar signals.</w:t>
            </w:r>
          </w:p>
        </w:tc>
        <w:tc>
          <w:tcPr>
            <w:tcW w:type="dxa" w:w="3389"/>
          </w:tcPr>
          <w:p>
            <w:pPr>
              <w:spacing w:after="40" w:line="240" w:lineRule="auto"/>
            </w:pPr>
            <w:r>
              <w:rPr>
                <w:rFonts w:ascii="Arial" w:hAnsi="Arial"/>
                <w:sz w:val="16"/>
              </w:rPr>
              <w:t>Not a credit score, background check, honesty certification, responsibility determination, or guarantee.</w:t>
            </w:r>
          </w:p>
        </w:tc>
      </w:tr>
      <w:tr>
        <w:tc>
          <w:tcPr>
            <w:tcW w:type="dxa" w:w="3389"/>
          </w:tcPr>
          <w:p>
            <w:pPr>
              <w:spacing w:after="40" w:line="240" w:lineRule="auto"/>
            </w:pPr>
            <w:r>
              <w:rPr>
                <w:rFonts w:ascii="Arial" w:hAnsi="Arial"/>
                <w:sz w:val="16"/>
              </w:rPr>
              <w:t>Team Strength Index™</w:t>
            </w:r>
          </w:p>
        </w:tc>
        <w:tc>
          <w:tcPr>
            <w:tcW w:type="dxa" w:w="3389"/>
          </w:tcPr>
          <w:p>
            <w:pPr>
              <w:spacing w:after="40" w:line="240" w:lineRule="auto"/>
            </w:pPr>
            <w:r>
              <w:rPr>
                <w:rFonts w:ascii="Arial" w:hAnsi="Arial"/>
                <w:sz w:val="16"/>
              </w:rPr>
              <w:t>Decision-support indicator concerning team composition, capability coverage, gaps, complementarity, and opportunity alignment.</w:t>
            </w:r>
          </w:p>
        </w:tc>
        <w:tc>
          <w:tcPr>
            <w:tcW w:type="dxa" w:w="3389"/>
          </w:tcPr>
          <w:p>
            <w:pPr>
              <w:spacing w:after="40" w:line="240" w:lineRule="auto"/>
            </w:pPr>
            <w:r>
              <w:rPr>
                <w:rFonts w:ascii="Arial" w:hAnsi="Arial"/>
                <w:sz w:val="16"/>
              </w:rPr>
              <w:t>Not a guarantee of compatibility, proposal score, award, workshare, or performance.</w:t>
            </w:r>
          </w:p>
        </w:tc>
      </w:tr>
      <w:tr>
        <w:tc>
          <w:tcPr>
            <w:tcW w:type="dxa" w:w="3389"/>
          </w:tcPr>
          <w:p>
            <w:pPr>
              <w:spacing w:after="40" w:line="240" w:lineRule="auto"/>
            </w:pPr>
            <w:r>
              <w:rPr>
                <w:rFonts w:ascii="Arial" w:hAnsi="Arial"/>
                <w:sz w:val="16"/>
              </w:rPr>
              <w:t>Partner ranking</w:t>
            </w:r>
          </w:p>
        </w:tc>
        <w:tc>
          <w:tcPr>
            <w:tcW w:type="dxa" w:w="3389"/>
          </w:tcPr>
          <w:p>
            <w:pPr>
              <w:spacing w:after="40" w:line="240" w:lineRule="auto"/>
            </w:pPr>
            <w:r>
              <w:rPr>
                <w:rFonts w:ascii="Arial" w:hAnsi="Arial"/>
                <w:sz w:val="16"/>
              </w:rPr>
              <w:t>Relative ordering based on configured and permitted relevance signals.</w:t>
            </w:r>
          </w:p>
        </w:tc>
        <w:tc>
          <w:tcPr>
            <w:tcW w:type="dxa" w:w="3389"/>
          </w:tcPr>
          <w:p>
            <w:pPr>
              <w:spacing w:after="40" w:line="240" w:lineRule="auto"/>
            </w:pPr>
            <w:r>
              <w:rPr>
                <w:rFonts w:ascii="Arial" w:hAnsi="Arial"/>
                <w:sz w:val="16"/>
              </w:rPr>
              <w:t>Not an endorsement, certification, or exhaustive market search.</w:t>
            </w:r>
          </w:p>
        </w:tc>
      </w:tr>
      <w:tr>
        <w:tc>
          <w:tcPr>
            <w:tcW w:type="dxa" w:w="3389"/>
          </w:tcPr>
          <w:p>
            <w:pPr>
              <w:spacing w:after="40" w:line="240" w:lineRule="auto"/>
            </w:pPr>
            <w:r>
              <w:rPr>
                <w:rFonts w:ascii="Arial" w:hAnsi="Arial"/>
                <w:sz w:val="16"/>
              </w:rPr>
              <w:t>Reputation Intelligence</w:t>
            </w:r>
          </w:p>
        </w:tc>
        <w:tc>
          <w:tcPr>
            <w:tcW w:type="dxa" w:w="3389"/>
          </w:tcPr>
          <w:p>
            <w:pPr>
              <w:spacing w:after="40" w:line="240" w:lineRule="auto"/>
            </w:pPr>
            <w:r>
              <w:rPr>
                <w:rFonts w:ascii="Arial" w:hAnsi="Arial"/>
                <w:sz w:val="16"/>
              </w:rPr>
              <w:t>Contextual synthesis of permitted marketplace and reputation-related signals.</w:t>
            </w:r>
          </w:p>
        </w:tc>
        <w:tc>
          <w:tcPr>
            <w:tcW w:type="dxa" w:w="3389"/>
          </w:tcPr>
          <w:p>
            <w:pPr>
              <w:spacing w:after="40" w:line="240" w:lineRule="auto"/>
            </w:pPr>
            <w:r>
              <w:rPr>
                <w:rFonts w:ascii="Arial" w:hAnsi="Arial"/>
                <w:sz w:val="16"/>
              </w:rPr>
              <w:t>Not a finding of misconduct or assurance that no negative information exists.</w:t>
            </w:r>
          </w:p>
        </w:tc>
      </w:tr>
    </w:tbl>
    <w:p>
      <w:pPr>
        <w:widowControl/>
      </w:pPr>
    </w:p>
    <w:p>
      <w:pPr>
        <w:widowControl/>
      </w:pPr>
      <w:r>
        <w:rPr>
          <w:rFonts w:ascii="Arial" w:hAnsi="Arial"/>
        </w:rPr>
        <w:br w:type="page"/>
      </w:r>
    </w:p>
    <w:p>
      <w:pPr>
        <w:pStyle w:val="Heading1"/>
        <w:widowControl/>
      </w:pPr>
      <w:r>
        <w:rPr>
          <w:rFonts w:ascii="Arial" w:hAnsi="Arial"/>
        </w:rPr>
        <w:t>APPENDIX B. MARKETPLACE PROVIDER STANDARDS</w:t>
      </w:r>
    </w:p>
    <w:p>
      <w:pPr>
        <w:widowControl/>
        <w:jc w:val="both"/>
      </w:pPr>
      <w:r>
        <w:rPr>
          <w:rFonts w:ascii="Arial" w:hAnsi="Arial"/>
        </w:rPr>
        <w:t>Marketplace Providers must maintain standards appropriate to enterprise and government-contracting environments. These standards supplement all other contractual obligations.</w:t>
      </w:r>
    </w:p>
    <w:tbl>
      <w:tblPr>
        <w:tblStyle w:val="TableGrid"/>
        <w:tblW w:type="auto" w:w="0"/>
        <w:jc w:val="center"/>
        <w:tblLook w:firstColumn="1" w:firstRow="1" w:lastColumn="0" w:lastRow="0" w:noHBand="0" w:noVBand="1" w:val="04A0"/>
      </w:tblPr>
      <w:tblGrid>
        <w:gridCol w:w="3389"/>
        <w:gridCol w:w="3389"/>
        <w:gridCol w:w="3389"/>
      </w:tblGrid>
      <w:tr>
        <w:tc>
          <w:tcPr>
            <w:tcW w:type="dxa" w:w="3389"/>
          </w:tcPr>
          <w:p>
            <w:pPr>
              <w:spacing w:after="40" w:line="240" w:lineRule="auto"/>
            </w:pPr>
            <w:r>
              <w:rPr>
                <w:b/>
                <w:sz w:val="17"/>
              </w:rPr>
              <w:t>Topic</w:t>
            </w:r>
          </w:p>
        </w:tc>
        <w:tc>
          <w:tcPr>
            <w:tcW w:type="dxa" w:w="3389"/>
          </w:tcPr>
          <w:p>
            <w:pPr>
              <w:spacing w:after="40" w:line="240" w:lineRule="auto"/>
            </w:pPr>
            <w:r>
              <w:rPr>
                <w:b/>
                <w:sz w:val="17"/>
              </w:rPr>
              <w:t>Meaning / User Responsibility</w:t>
            </w:r>
          </w:p>
        </w:tc>
        <w:tc>
          <w:tcPr>
            <w:tcW w:type="dxa" w:w="3389"/>
          </w:tcPr>
          <w:p>
            <w:pPr>
              <w:spacing w:after="40" w:line="240" w:lineRule="auto"/>
            </w:pPr>
            <w:r>
              <w:rPr>
                <w:b/>
                <w:sz w:val="17"/>
              </w:rPr>
              <w:t>Important Limitation</w:t>
            </w:r>
          </w:p>
        </w:tc>
      </w:tr>
      <w:tr>
        <w:tc>
          <w:tcPr>
            <w:tcW w:type="dxa" w:w="3389"/>
          </w:tcPr>
          <w:p>
            <w:pPr>
              <w:spacing w:after="40" w:line="240" w:lineRule="auto"/>
            </w:pPr>
            <w:r>
              <w:rPr>
                <w:rFonts w:ascii="Arial" w:hAnsi="Arial"/>
                <w:sz w:val="16"/>
              </w:rPr>
              <w:t>Accuracy</w:t>
            </w:r>
          </w:p>
        </w:tc>
        <w:tc>
          <w:tcPr>
            <w:tcW w:type="dxa" w:w="3389"/>
          </w:tcPr>
          <w:p>
            <w:pPr>
              <w:spacing w:after="40" w:line="240" w:lineRule="auto"/>
            </w:pPr>
            <w:r>
              <w:rPr>
                <w:rFonts w:ascii="Arial" w:hAnsi="Arial"/>
                <w:sz w:val="16"/>
              </w:rPr>
              <w:t>Profiles, listings, credentials, pricing, availability, experience, and claims must be current, supportable, and not misleading.</w:t>
            </w:r>
          </w:p>
        </w:tc>
        <w:tc>
          <w:tcPr>
            <w:tcW w:type="dxa" w:w="3389"/>
          </w:tcPr>
          <w:p>
            <w:pPr>
              <w:spacing w:after="40" w:line="240" w:lineRule="auto"/>
            </w:pPr>
            <w:r>
              <w:rPr>
                <w:rFonts w:ascii="Arial" w:hAnsi="Arial"/>
                <w:sz w:val="16"/>
              </w:rPr>
              <w:t>Material misrepresentation may result in delisting or suspension.</w:t>
            </w:r>
          </w:p>
        </w:tc>
      </w:tr>
      <w:tr>
        <w:tc>
          <w:tcPr>
            <w:tcW w:type="dxa" w:w="3389"/>
          </w:tcPr>
          <w:p>
            <w:pPr>
              <w:spacing w:after="40" w:line="240" w:lineRule="auto"/>
            </w:pPr>
            <w:r>
              <w:rPr>
                <w:rFonts w:ascii="Arial" w:hAnsi="Arial"/>
                <w:sz w:val="16"/>
              </w:rPr>
              <w:t>Licensing and insurance</w:t>
            </w:r>
          </w:p>
        </w:tc>
        <w:tc>
          <w:tcPr>
            <w:tcW w:type="dxa" w:w="3389"/>
          </w:tcPr>
          <w:p>
            <w:pPr>
              <w:spacing w:after="40" w:line="240" w:lineRule="auto"/>
            </w:pPr>
            <w:r>
              <w:rPr>
                <w:rFonts w:ascii="Arial" w:hAnsi="Arial"/>
                <w:sz w:val="16"/>
              </w:rPr>
              <w:t>Maintain licenses, registrations, permits, insurance, bonding, and professional supervision required for offered services.</w:t>
            </w:r>
          </w:p>
        </w:tc>
        <w:tc>
          <w:tcPr>
            <w:tcW w:type="dxa" w:w="3389"/>
          </w:tcPr>
          <w:p>
            <w:pPr>
              <w:spacing w:after="40" w:line="240" w:lineRule="auto"/>
            </w:pPr>
            <w:r>
              <w:rPr>
                <w:rFonts w:ascii="Arial" w:hAnsi="Arial"/>
                <w:sz w:val="16"/>
              </w:rPr>
              <w:t>PrimeMatch AI does not certify continuing compliance.</w:t>
            </w:r>
          </w:p>
        </w:tc>
      </w:tr>
      <w:tr>
        <w:tc>
          <w:tcPr>
            <w:tcW w:type="dxa" w:w="3389"/>
          </w:tcPr>
          <w:p>
            <w:pPr>
              <w:spacing w:after="40" w:line="240" w:lineRule="auto"/>
            </w:pPr>
            <w:r>
              <w:rPr>
                <w:rFonts w:ascii="Arial" w:hAnsi="Arial"/>
                <w:sz w:val="16"/>
              </w:rPr>
              <w:t>Confidentiality</w:t>
            </w:r>
          </w:p>
        </w:tc>
        <w:tc>
          <w:tcPr>
            <w:tcW w:type="dxa" w:w="3389"/>
          </w:tcPr>
          <w:p>
            <w:pPr>
              <w:spacing w:after="40" w:line="240" w:lineRule="auto"/>
            </w:pPr>
            <w:r>
              <w:rPr>
                <w:rFonts w:ascii="Arial" w:hAnsi="Arial"/>
                <w:sz w:val="16"/>
              </w:rPr>
              <w:t>Use customer, solicitation, proposal, and teaming information only as authorized.</w:t>
            </w:r>
          </w:p>
        </w:tc>
        <w:tc>
          <w:tcPr>
            <w:tcW w:type="dxa" w:w="3389"/>
          </w:tcPr>
          <w:p>
            <w:pPr>
              <w:spacing w:after="40" w:line="240" w:lineRule="auto"/>
            </w:pPr>
            <w:r>
              <w:rPr>
                <w:rFonts w:ascii="Arial" w:hAnsi="Arial"/>
                <w:sz w:val="16"/>
              </w:rPr>
              <w:t>Do not reuse confidential information for unrelated pursuits.</w:t>
            </w:r>
          </w:p>
        </w:tc>
      </w:tr>
      <w:tr>
        <w:tc>
          <w:tcPr>
            <w:tcW w:type="dxa" w:w="3389"/>
          </w:tcPr>
          <w:p>
            <w:pPr>
              <w:spacing w:after="40" w:line="240" w:lineRule="auto"/>
            </w:pPr>
            <w:r>
              <w:rPr>
                <w:rFonts w:ascii="Arial" w:hAnsi="Arial"/>
                <w:sz w:val="16"/>
              </w:rPr>
              <w:t>Security</w:t>
            </w:r>
          </w:p>
        </w:tc>
        <w:tc>
          <w:tcPr>
            <w:tcW w:type="dxa" w:w="3389"/>
          </w:tcPr>
          <w:p>
            <w:pPr>
              <w:spacing w:after="40" w:line="240" w:lineRule="auto"/>
            </w:pPr>
            <w:r>
              <w:rPr>
                <w:rFonts w:ascii="Arial" w:hAnsi="Arial"/>
                <w:sz w:val="16"/>
              </w:rPr>
              <w:t>Maintain reasonable security appropriate to data and services provided.</w:t>
            </w:r>
          </w:p>
        </w:tc>
        <w:tc>
          <w:tcPr>
            <w:tcW w:type="dxa" w:w="3389"/>
          </w:tcPr>
          <w:p>
            <w:pPr>
              <w:spacing w:after="40" w:line="240" w:lineRule="auto"/>
            </w:pPr>
            <w:r>
              <w:rPr>
                <w:rFonts w:ascii="Arial" w:hAnsi="Arial"/>
                <w:sz w:val="16"/>
              </w:rPr>
              <w:t>Notify affected customers of material incidents as required by contract or law.</w:t>
            </w:r>
          </w:p>
        </w:tc>
      </w:tr>
      <w:tr>
        <w:tc>
          <w:tcPr>
            <w:tcW w:type="dxa" w:w="3389"/>
          </w:tcPr>
          <w:p>
            <w:pPr>
              <w:spacing w:after="40" w:line="240" w:lineRule="auto"/>
            </w:pPr>
            <w:r>
              <w:rPr>
                <w:rFonts w:ascii="Arial" w:hAnsi="Arial"/>
                <w:sz w:val="16"/>
              </w:rPr>
              <w:t>Personnel</w:t>
            </w:r>
          </w:p>
        </w:tc>
        <w:tc>
          <w:tcPr>
            <w:tcW w:type="dxa" w:w="3389"/>
          </w:tcPr>
          <w:p>
            <w:pPr>
              <w:spacing w:after="40" w:line="240" w:lineRule="auto"/>
            </w:pPr>
            <w:r>
              <w:rPr>
                <w:rFonts w:ascii="Arial" w:hAnsi="Arial"/>
                <w:sz w:val="16"/>
              </w:rPr>
              <w:t>Use appropriately qualified personnel and disclose material subcontracting where required.</w:t>
            </w:r>
          </w:p>
        </w:tc>
        <w:tc>
          <w:tcPr>
            <w:tcW w:type="dxa" w:w="3389"/>
          </w:tcPr>
          <w:p>
            <w:pPr>
              <w:spacing w:after="40" w:line="240" w:lineRule="auto"/>
            </w:pPr>
            <w:r>
              <w:rPr>
                <w:rFonts w:ascii="Arial" w:hAnsi="Arial"/>
                <w:sz w:val="16"/>
              </w:rPr>
              <w:t>Provider remains responsible for its workforce and subcontractors.</w:t>
            </w:r>
          </w:p>
        </w:tc>
      </w:tr>
      <w:tr>
        <w:tc>
          <w:tcPr>
            <w:tcW w:type="dxa" w:w="3389"/>
          </w:tcPr>
          <w:p>
            <w:pPr>
              <w:spacing w:after="40" w:line="240" w:lineRule="auto"/>
            </w:pPr>
            <w:r>
              <w:rPr>
                <w:rFonts w:ascii="Arial" w:hAnsi="Arial"/>
                <w:sz w:val="16"/>
              </w:rPr>
              <w:t>Ethics</w:t>
            </w:r>
          </w:p>
        </w:tc>
        <w:tc>
          <w:tcPr>
            <w:tcW w:type="dxa" w:w="3389"/>
          </w:tcPr>
          <w:p>
            <w:pPr>
              <w:spacing w:after="40" w:line="240" w:lineRule="auto"/>
            </w:pPr>
            <w:r>
              <w:rPr>
                <w:rFonts w:ascii="Arial" w:hAnsi="Arial"/>
                <w:sz w:val="16"/>
              </w:rPr>
              <w:t>No bribery, kickbacks, bid-rigging, false certifications, deceptive reviews, or procurement manipulation.</w:t>
            </w:r>
          </w:p>
        </w:tc>
        <w:tc>
          <w:tcPr>
            <w:tcW w:type="dxa" w:w="3389"/>
          </w:tcPr>
          <w:p>
            <w:pPr>
              <w:spacing w:after="40" w:line="240" w:lineRule="auto"/>
            </w:pPr>
            <w:r>
              <w:rPr>
                <w:rFonts w:ascii="Arial" w:hAnsi="Arial"/>
                <w:sz w:val="16"/>
              </w:rPr>
              <w:t>Violations may lead to immediate protective action.</w:t>
            </w:r>
          </w:p>
        </w:tc>
      </w:tr>
    </w:tbl>
    <w:p>
      <w:pPr>
        <w:widowControl/>
      </w:pPr>
    </w:p>
    <w:p>
      <w:pPr>
        <w:widowControl/>
      </w:pPr>
      <w:r>
        <w:rPr>
          <w:rFonts w:ascii="Arial" w:hAnsi="Arial"/>
        </w:rPr>
        <w:br w:type="page"/>
      </w:r>
    </w:p>
    <w:p>
      <w:pPr>
        <w:pStyle w:val="Heading1"/>
        <w:widowControl/>
      </w:pPr>
      <w:r>
        <w:rPr>
          <w:rFonts w:ascii="Arial" w:hAnsi="Arial"/>
        </w:rPr>
        <w:t>APPENDIX C. PARTNER AND TEAMING DUE-DILIGENCE CHECKLIST</w:t>
      </w:r>
    </w:p>
    <w:p>
      <w:pPr>
        <w:widowControl/>
        <w:jc w:val="both"/>
      </w:pPr>
      <w:r>
        <w:rPr>
          <w:rFonts w:ascii="Arial" w:hAnsi="Arial"/>
        </w:rPr>
        <w:t>The following items are practical decision-support prompts only and are not legal advice. Users should tailor diligence to the contemplated opportunity, relationship, and risk profile.</w:t>
      </w:r>
    </w:p>
    <w:tbl>
      <w:tblPr>
        <w:tblStyle w:val="TableGrid"/>
        <w:tblW w:type="auto" w:w="0"/>
        <w:jc w:val="center"/>
        <w:tblLook w:firstColumn="1" w:firstRow="1" w:lastColumn="0" w:lastRow="0" w:noHBand="0" w:noVBand="1" w:val="04A0"/>
      </w:tblPr>
      <w:tblGrid>
        <w:gridCol w:w="3389"/>
        <w:gridCol w:w="3389"/>
        <w:gridCol w:w="3389"/>
      </w:tblGrid>
      <w:tr>
        <w:tc>
          <w:tcPr>
            <w:tcW w:type="dxa" w:w="3389"/>
          </w:tcPr>
          <w:p>
            <w:pPr>
              <w:spacing w:after="40" w:line="240" w:lineRule="auto"/>
            </w:pPr>
            <w:r>
              <w:rPr>
                <w:b/>
                <w:sz w:val="17"/>
              </w:rPr>
              <w:t>Topic</w:t>
            </w:r>
          </w:p>
        </w:tc>
        <w:tc>
          <w:tcPr>
            <w:tcW w:type="dxa" w:w="3389"/>
          </w:tcPr>
          <w:p>
            <w:pPr>
              <w:spacing w:after="40" w:line="240" w:lineRule="auto"/>
            </w:pPr>
            <w:r>
              <w:rPr>
                <w:b/>
                <w:sz w:val="17"/>
              </w:rPr>
              <w:t>Meaning / User Responsibility</w:t>
            </w:r>
          </w:p>
        </w:tc>
        <w:tc>
          <w:tcPr>
            <w:tcW w:type="dxa" w:w="3389"/>
          </w:tcPr>
          <w:p>
            <w:pPr>
              <w:spacing w:after="40" w:line="240" w:lineRule="auto"/>
            </w:pPr>
            <w:r>
              <w:rPr>
                <w:b/>
                <w:sz w:val="17"/>
              </w:rPr>
              <w:t>Important Limitation</w:t>
            </w:r>
          </w:p>
        </w:tc>
      </w:tr>
      <w:tr>
        <w:tc>
          <w:tcPr>
            <w:tcW w:type="dxa" w:w="3389"/>
          </w:tcPr>
          <w:p>
            <w:pPr>
              <w:spacing w:after="40" w:line="240" w:lineRule="auto"/>
            </w:pPr>
            <w:r>
              <w:rPr>
                <w:rFonts w:ascii="Arial" w:hAnsi="Arial"/>
                <w:sz w:val="16"/>
              </w:rPr>
              <w:t>Corporate identity</w:t>
            </w:r>
          </w:p>
        </w:tc>
        <w:tc>
          <w:tcPr>
            <w:tcW w:type="dxa" w:w="3389"/>
          </w:tcPr>
          <w:p>
            <w:pPr>
              <w:spacing w:after="40" w:line="240" w:lineRule="auto"/>
            </w:pPr>
            <w:r>
              <w:rPr>
                <w:rFonts w:ascii="Arial" w:hAnsi="Arial"/>
                <w:sz w:val="16"/>
              </w:rPr>
              <w:t>Verify legal name, jurisdiction, good standing, ownership, authorized representatives, and relevant affiliates.</w:t>
            </w:r>
          </w:p>
        </w:tc>
        <w:tc>
          <w:tcPr>
            <w:tcW w:type="dxa" w:w="3389"/>
          </w:tcPr>
          <w:p>
            <w:pPr>
              <w:spacing w:after="40" w:line="240" w:lineRule="auto"/>
            </w:pPr>
            <w:r>
              <w:rPr>
                <w:rFonts w:ascii="Arial" w:hAnsi="Arial"/>
                <w:sz w:val="16"/>
              </w:rPr>
            </w:r>
          </w:p>
        </w:tc>
      </w:tr>
      <w:tr>
        <w:tc>
          <w:tcPr>
            <w:tcW w:type="dxa" w:w="3389"/>
          </w:tcPr>
          <w:p>
            <w:pPr>
              <w:spacing w:after="40" w:line="240" w:lineRule="auto"/>
            </w:pPr>
            <w:r>
              <w:rPr>
                <w:rFonts w:ascii="Arial" w:hAnsi="Arial"/>
                <w:sz w:val="16"/>
              </w:rPr>
              <w:t>Government registrations</w:t>
            </w:r>
          </w:p>
        </w:tc>
        <w:tc>
          <w:tcPr>
            <w:tcW w:type="dxa" w:w="3389"/>
          </w:tcPr>
          <w:p>
            <w:pPr>
              <w:spacing w:after="40" w:line="240" w:lineRule="auto"/>
            </w:pPr>
            <w:r>
              <w:rPr>
                <w:rFonts w:ascii="Arial" w:hAnsi="Arial"/>
                <w:sz w:val="16"/>
              </w:rPr>
              <w:t>Review SAM.gov status, UEI/CAGE information, exclusions, and relevant socioeconomic representations directly from authoritative sources.</w:t>
            </w:r>
          </w:p>
        </w:tc>
        <w:tc>
          <w:tcPr>
            <w:tcW w:type="dxa" w:w="3389"/>
          </w:tcPr>
          <w:p>
            <w:pPr>
              <w:spacing w:after="40" w:line="240" w:lineRule="auto"/>
            </w:pPr>
            <w:r>
              <w:rPr>
                <w:rFonts w:ascii="Arial" w:hAnsi="Arial"/>
                <w:sz w:val="16"/>
              </w:rPr>
            </w:r>
          </w:p>
        </w:tc>
      </w:tr>
      <w:tr>
        <w:tc>
          <w:tcPr>
            <w:tcW w:type="dxa" w:w="3389"/>
          </w:tcPr>
          <w:p>
            <w:pPr>
              <w:spacing w:after="40" w:line="240" w:lineRule="auto"/>
            </w:pPr>
            <w:r>
              <w:rPr>
                <w:rFonts w:ascii="Arial" w:hAnsi="Arial"/>
                <w:sz w:val="16"/>
              </w:rPr>
              <w:t>Capabilities and capacity</w:t>
            </w:r>
          </w:p>
        </w:tc>
        <w:tc>
          <w:tcPr>
            <w:tcW w:type="dxa" w:w="3389"/>
          </w:tcPr>
          <w:p>
            <w:pPr>
              <w:spacing w:after="40" w:line="240" w:lineRule="auto"/>
            </w:pPr>
            <w:r>
              <w:rPr>
                <w:rFonts w:ascii="Arial" w:hAnsi="Arial"/>
                <w:sz w:val="16"/>
              </w:rPr>
              <w:t>Validate personnel, facilities, technical capability, geographic reach, schedule capacity, quality systems, and subcontracting dependencies.</w:t>
            </w:r>
          </w:p>
        </w:tc>
        <w:tc>
          <w:tcPr>
            <w:tcW w:type="dxa" w:w="3389"/>
          </w:tcPr>
          <w:p>
            <w:pPr>
              <w:spacing w:after="40" w:line="240" w:lineRule="auto"/>
            </w:pPr>
            <w:r>
              <w:rPr>
                <w:rFonts w:ascii="Arial" w:hAnsi="Arial"/>
                <w:sz w:val="16"/>
              </w:rPr>
            </w:r>
          </w:p>
        </w:tc>
      </w:tr>
      <w:tr>
        <w:tc>
          <w:tcPr>
            <w:tcW w:type="dxa" w:w="3389"/>
          </w:tcPr>
          <w:p>
            <w:pPr>
              <w:spacing w:after="40" w:line="240" w:lineRule="auto"/>
            </w:pPr>
            <w:r>
              <w:rPr>
                <w:rFonts w:ascii="Arial" w:hAnsi="Arial"/>
                <w:sz w:val="16"/>
              </w:rPr>
              <w:t>Past performance</w:t>
            </w:r>
          </w:p>
        </w:tc>
        <w:tc>
          <w:tcPr>
            <w:tcW w:type="dxa" w:w="3389"/>
          </w:tcPr>
          <w:p>
            <w:pPr>
              <w:spacing w:after="40" w:line="240" w:lineRule="auto"/>
            </w:pPr>
            <w:r>
              <w:rPr>
                <w:rFonts w:ascii="Arial" w:hAnsi="Arial"/>
                <w:sz w:val="16"/>
              </w:rPr>
              <w:t>Check references, contract history, relevance, recency, performance issues, claims, and termination history where lawful and appropriate.</w:t>
            </w:r>
          </w:p>
        </w:tc>
        <w:tc>
          <w:tcPr>
            <w:tcW w:type="dxa" w:w="3389"/>
          </w:tcPr>
          <w:p>
            <w:pPr>
              <w:spacing w:after="40" w:line="240" w:lineRule="auto"/>
            </w:pPr>
            <w:r>
              <w:rPr>
                <w:rFonts w:ascii="Arial" w:hAnsi="Arial"/>
                <w:sz w:val="16"/>
              </w:rPr>
            </w:r>
          </w:p>
        </w:tc>
      </w:tr>
      <w:tr>
        <w:tc>
          <w:tcPr>
            <w:tcW w:type="dxa" w:w="3389"/>
          </w:tcPr>
          <w:p>
            <w:pPr>
              <w:spacing w:after="40" w:line="240" w:lineRule="auto"/>
            </w:pPr>
            <w:r>
              <w:rPr>
                <w:rFonts w:ascii="Arial" w:hAnsi="Arial"/>
                <w:sz w:val="16"/>
              </w:rPr>
              <w:t>Financial and insurance</w:t>
            </w:r>
          </w:p>
        </w:tc>
        <w:tc>
          <w:tcPr>
            <w:tcW w:type="dxa" w:w="3389"/>
          </w:tcPr>
          <w:p>
            <w:pPr>
              <w:spacing w:after="40" w:line="240" w:lineRule="auto"/>
            </w:pPr>
            <w:r>
              <w:rPr>
                <w:rFonts w:ascii="Arial" w:hAnsi="Arial"/>
                <w:sz w:val="16"/>
              </w:rPr>
              <w:t>Assess financial capacity, bonding, insurance, credit or solvency information through lawful channels as appropriate to the risk.</w:t>
            </w:r>
          </w:p>
        </w:tc>
        <w:tc>
          <w:tcPr>
            <w:tcW w:type="dxa" w:w="3389"/>
          </w:tcPr>
          <w:p>
            <w:pPr>
              <w:spacing w:after="40" w:line="240" w:lineRule="auto"/>
            </w:pPr>
            <w:r>
              <w:rPr>
                <w:rFonts w:ascii="Arial" w:hAnsi="Arial"/>
                <w:sz w:val="16"/>
              </w:rPr>
            </w:r>
          </w:p>
        </w:tc>
      </w:tr>
      <w:tr>
        <w:tc>
          <w:tcPr>
            <w:tcW w:type="dxa" w:w="3389"/>
          </w:tcPr>
          <w:p>
            <w:pPr>
              <w:spacing w:after="40" w:line="240" w:lineRule="auto"/>
            </w:pPr>
            <w:r>
              <w:rPr>
                <w:rFonts w:ascii="Arial" w:hAnsi="Arial"/>
                <w:sz w:val="16"/>
              </w:rPr>
              <w:t>Security and data</w:t>
            </w:r>
          </w:p>
        </w:tc>
        <w:tc>
          <w:tcPr>
            <w:tcW w:type="dxa" w:w="3389"/>
          </w:tcPr>
          <w:p>
            <w:pPr>
              <w:spacing w:after="40" w:line="240" w:lineRule="auto"/>
            </w:pPr>
            <w:r>
              <w:rPr>
                <w:rFonts w:ascii="Arial" w:hAnsi="Arial"/>
                <w:sz w:val="16"/>
              </w:rPr>
              <w:t>Review cybersecurity, CUI handling, clearances, export controls, data-protection practices, incident history, and required certifications.</w:t>
            </w:r>
          </w:p>
        </w:tc>
        <w:tc>
          <w:tcPr>
            <w:tcW w:type="dxa" w:w="3389"/>
          </w:tcPr>
          <w:p>
            <w:pPr>
              <w:spacing w:after="40" w:line="240" w:lineRule="auto"/>
            </w:pPr>
            <w:r>
              <w:rPr>
                <w:rFonts w:ascii="Arial" w:hAnsi="Arial"/>
                <w:sz w:val="16"/>
              </w:rPr>
            </w:r>
          </w:p>
        </w:tc>
      </w:tr>
      <w:tr>
        <w:tc>
          <w:tcPr>
            <w:tcW w:type="dxa" w:w="3389"/>
          </w:tcPr>
          <w:p>
            <w:pPr>
              <w:spacing w:after="40" w:line="240" w:lineRule="auto"/>
            </w:pPr>
            <w:r>
              <w:rPr>
                <w:rFonts w:ascii="Arial" w:hAnsi="Arial"/>
                <w:sz w:val="16"/>
              </w:rPr>
              <w:t>Conflicts and ethics</w:t>
            </w:r>
          </w:p>
        </w:tc>
        <w:tc>
          <w:tcPr>
            <w:tcW w:type="dxa" w:w="3389"/>
          </w:tcPr>
          <w:p>
            <w:pPr>
              <w:spacing w:after="40" w:line="240" w:lineRule="auto"/>
            </w:pPr>
            <w:r>
              <w:rPr>
                <w:rFonts w:ascii="Arial" w:hAnsi="Arial"/>
                <w:sz w:val="16"/>
              </w:rPr>
              <w:t>Assess OCI, personal conflicts, procurement-integrity risks, sanctions, anti-corruption concerns, and potential competitive conflicts.</w:t>
            </w:r>
          </w:p>
        </w:tc>
        <w:tc>
          <w:tcPr>
            <w:tcW w:type="dxa" w:w="3389"/>
          </w:tcPr>
          <w:p>
            <w:pPr>
              <w:spacing w:after="40" w:line="240" w:lineRule="auto"/>
            </w:pPr>
            <w:r>
              <w:rPr>
                <w:rFonts w:ascii="Arial" w:hAnsi="Arial"/>
                <w:sz w:val="16"/>
              </w:rPr>
            </w:r>
          </w:p>
        </w:tc>
      </w:tr>
      <w:tr>
        <w:tc>
          <w:tcPr>
            <w:tcW w:type="dxa" w:w="3389"/>
          </w:tcPr>
          <w:p>
            <w:pPr>
              <w:spacing w:after="40" w:line="240" w:lineRule="auto"/>
            </w:pPr>
            <w:r>
              <w:rPr>
                <w:rFonts w:ascii="Arial" w:hAnsi="Arial"/>
                <w:sz w:val="16"/>
              </w:rPr>
              <w:t>Teaming terms</w:t>
            </w:r>
          </w:p>
        </w:tc>
        <w:tc>
          <w:tcPr>
            <w:tcW w:type="dxa" w:w="3389"/>
          </w:tcPr>
          <w:p>
            <w:pPr>
              <w:spacing w:after="40" w:line="240" w:lineRule="auto"/>
            </w:pPr>
            <w:r>
              <w:rPr>
                <w:rFonts w:ascii="Arial" w:hAnsi="Arial"/>
                <w:sz w:val="16"/>
              </w:rPr>
              <w:t>Document NDA, exclusivity, workshare, proposal costs, pricing, IP, data rights, responsibilities, flow-downs, termination, and dispute resolution.</w:t>
            </w:r>
          </w:p>
        </w:tc>
        <w:tc>
          <w:tcPr>
            <w:tcW w:type="dxa" w:w="3389"/>
          </w:tcPr>
          <w:p>
            <w:pPr>
              <w:spacing w:after="40" w:line="240" w:lineRule="auto"/>
            </w:pPr>
            <w:r>
              <w:rPr>
                <w:rFonts w:ascii="Arial" w:hAnsi="Arial"/>
                <w:sz w:val="16"/>
              </w:rPr>
            </w:r>
          </w:p>
        </w:tc>
      </w:tr>
    </w:tbl>
    <w:p>
      <w:pPr>
        <w:widowControl/>
      </w:pPr>
    </w:p>
    <w:p>
      <w:pPr>
        <w:widowControl/>
      </w:pPr>
      <w:r>
        <w:rPr>
          <w:rFonts w:ascii="Arial" w:hAnsi="Arial"/>
        </w:rPr>
        <w:br w:type="page"/>
      </w:r>
    </w:p>
    <w:p>
      <w:pPr>
        <w:pStyle w:val="Heading1"/>
        <w:widowControl/>
      </w:pPr>
      <w:r>
        <w:rPr>
          <w:rFonts w:ascii="Arial" w:hAnsi="Arial"/>
        </w:rPr>
        <w:t>APPENDIX D. GOVERNMENT CONTRACTING MARKETPLACE COMPLIANCE CHECKLIST</w:t>
      </w:r>
    </w:p>
    <w:p>
      <w:pPr>
        <w:widowControl/>
        <w:jc w:val="both"/>
      </w:pPr>
      <w:r>
        <w:rPr>
          <w:rFonts w:ascii="Arial" w:hAnsi="Arial"/>
        </w:rPr>
        <w:t>This Appendix is intended to reinforce user responsibility when using PrimeMatch AI™ in government contracting. It is not a substitute for the solicitation, contract, counsel, contracting officer guidance, or professional compliance review.</w:t>
      </w:r>
    </w:p>
    <w:tbl>
      <w:tblPr>
        <w:tblStyle w:val="TableGrid"/>
        <w:tblW w:type="auto" w:w="0"/>
        <w:jc w:val="center"/>
        <w:tblLook w:firstColumn="1" w:firstRow="1" w:lastColumn="0" w:lastRow="0" w:noHBand="0" w:noVBand="1" w:val="04A0"/>
      </w:tblPr>
      <w:tblGrid>
        <w:gridCol w:w="3389"/>
        <w:gridCol w:w="3389"/>
        <w:gridCol w:w="3389"/>
      </w:tblGrid>
      <w:tr>
        <w:tc>
          <w:tcPr>
            <w:tcW w:type="dxa" w:w="3389"/>
          </w:tcPr>
          <w:p>
            <w:pPr>
              <w:spacing w:after="40" w:line="240" w:lineRule="auto"/>
            </w:pPr>
            <w:r>
              <w:rPr>
                <w:b/>
                <w:sz w:val="17"/>
              </w:rPr>
              <w:t>Topic</w:t>
            </w:r>
          </w:p>
        </w:tc>
        <w:tc>
          <w:tcPr>
            <w:tcW w:type="dxa" w:w="3389"/>
          </w:tcPr>
          <w:p>
            <w:pPr>
              <w:spacing w:after="40" w:line="240" w:lineRule="auto"/>
            </w:pPr>
            <w:r>
              <w:rPr>
                <w:b/>
                <w:sz w:val="17"/>
              </w:rPr>
              <w:t>Meaning / User Responsibility</w:t>
            </w:r>
          </w:p>
        </w:tc>
        <w:tc>
          <w:tcPr>
            <w:tcW w:type="dxa" w:w="3389"/>
          </w:tcPr>
          <w:p>
            <w:pPr>
              <w:spacing w:after="40" w:line="240" w:lineRule="auto"/>
            </w:pPr>
            <w:r>
              <w:rPr>
                <w:b/>
                <w:sz w:val="17"/>
              </w:rPr>
              <w:t>Important Limitation</w:t>
            </w:r>
          </w:p>
        </w:tc>
      </w:tr>
      <w:tr>
        <w:tc>
          <w:tcPr>
            <w:tcW w:type="dxa" w:w="3389"/>
          </w:tcPr>
          <w:p>
            <w:pPr>
              <w:spacing w:after="40" w:line="240" w:lineRule="auto"/>
            </w:pPr>
            <w:r>
              <w:rPr>
                <w:rFonts w:ascii="Arial" w:hAnsi="Arial"/>
                <w:sz w:val="16"/>
              </w:rPr>
              <w:t>Official solicitation</w:t>
            </w:r>
          </w:p>
        </w:tc>
        <w:tc>
          <w:tcPr>
            <w:tcW w:type="dxa" w:w="3389"/>
          </w:tcPr>
          <w:p>
            <w:pPr>
              <w:spacing w:after="40" w:line="240" w:lineRule="auto"/>
            </w:pPr>
            <w:r>
              <w:rPr>
                <w:rFonts w:ascii="Arial" w:hAnsi="Arial"/>
                <w:sz w:val="16"/>
              </w:rPr>
              <w:t>Review the current solicitation, amendments, attachments, Q&amp;A, clauses, and official posting source before acting.</w:t>
            </w:r>
          </w:p>
        </w:tc>
        <w:tc>
          <w:tcPr>
            <w:tcW w:type="dxa" w:w="3389"/>
          </w:tcPr>
          <w:p>
            <w:pPr>
              <w:spacing w:after="40" w:line="240" w:lineRule="auto"/>
            </w:pPr>
            <w:r>
              <w:rPr>
                <w:rFonts w:ascii="Arial" w:hAnsi="Arial"/>
                <w:sz w:val="16"/>
              </w:rPr>
            </w:r>
          </w:p>
        </w:tc>
      </w:tr>
      <w:tr>
        <w:tc>
          <w:tcPr>
            <w:tcW w:type="dxa" w:w="3389"/>
          </w:tcPr>
          <w:p>
            <w:pPr>
              <w:spacing w:after="40" w:line="240" w:lineRule="auto"/>
            </w:pPr>
            <w:r>
              <w:rPr>
                <w:rFonts w:ascii="Arial" w:hAnsi="Arial"/>
                <w:sz w:val="16"/>
              </w:rPr>
              <w:t>Eligibility</w:t>
            </w:r>
          </w:p>
        </w:tc>
        <w:tc>
          <w:tcPr>
            <w:tcW w:type="dxa" w:w="3389"/>
          </w:tcPr>
          <w:p>
            <w:pPr>
              <w:spacing w:after="40" w:line="240" w:lineRule="auto"/>
            </w:pPr>
            <w:r>
              <w:rPr>
                <w:rFonts w:ascii="Arial" w:hAnsi="Arial"/>
                <w:sz w:val="16"/>
              </w:rPr>
              <w:t>Confirm responsibility, size/status, certifications, registrations, licenses, bonding, clearances, and other requirements using authoritative sources.</w:t>
            </w:r>
          </w:p>
        </w:tc>
        <w:tc>
          <w:tcPr>
            <w:tcW w:type="dxa" w:w="3389"/>
          </w:tcPr>
          <w:p>
            <w:pPr>
              <w:spacing w:after="40" w:line="240" w:lineRule="auto"/>
            </w:pPr>
            <w:r>
              <w:rPr>
                <w:rFonts w:ascii="Arial" w:hAnsi="Arial"/>
                <w:sz w:val="16"/>
              </w:rPr>
            </w:r>
          </w:p>
        </w:tc>
      </w:tr>
      <w:tr>
        <w:tc>
          <w:tcPr>
            <w:tcW w:type="dxa" w:w="3389"/>
          </w:tcPr>
          <w:p>
            <w:pPr>
              <w:spacing w:after="40" w:line="240" w:lineRule="auto"/>
            </w:pPr>
            <w:r>
              <w:rPr>
                <w:rFonts w:ascii="Arial" w:hAnsi="Arial"/>
                <w:sz w:val="16"/>
              </w:rPr>
              <w:t>Competition</w:t>
            </w:r>
          </w:p>
        </w:tc>
        <w:tc>
          <w:tcPr>
            <w:tcW w:type="dxa" w:w="3389"/>
          </w:tcPr>
          <w:p>
            <w:pPr>
              <w:spacing w:after="40" w:line="240" w:lineRule="auto"/>
            </w:pPr>
            <w:r>
              <w:rPr>
                <w:rFonts w:ascii="Arial" w:hAnsi="Arial"/>
                <w:sz w:val="16"/>
              </w:rPr>
              <w:t>Avoid unlawful coordination, bid-rigging, market allocation, pricing collusion, or exchange of competitively sensitive information without lawful basis.</w:t>
            </w:r>
          </w:p>
        </w:tc>
        <w:tc>
          <w:tcPr>
            <w:tcW w:type="dxa" w:w="3389"/>
          </w:tcPr>
          <w:p>
            <w:pPr>
              <w:spacing w:after="40" w:line="240" w:lineRule="auto"/>
            </w:pPr>
            <w:r>
              <w:rPr>
                <w:rFonts w:ascii="Arial" w:hAnsi="Arial"/>
                <w:sz w:val="16"/>
              </w:rPr>
            </w:r>
          </w:p>
        </w:tc>
      </w:tr>
      <w:tr>
        <w:tc>
          <w:tcPr>
            <w:tcW w:type="dxa" w:w="3389"/>
          </w:tcPr>
          <w:p>
            <w:pPr>
              <w:spacing w:after="40" w:line="240" w:lineRule="auto"/>
            </w:pPr>
            <w:r>
              <w:rPr>
                <w:rFonts w:ascii="Arial" w:hAnsi="Arial"/>
                <w:sz w:val="16"/>
              </w:rPr>
              <w:t>Procurement integrity</w:t>
            </w:r>
          </w:p>
        </w:tc>
        <w:tc>
          <w:tcPr>
            <w:tcW w:type="dxa" w:w="3389"/>
          </w:tcPr>
          <w:p>
            <w:pPr>
              <w:spacing w:after="40" w:line="240" w:lineRule="auto"/>
            </w:pPr>
            <w:r>
              <w:rPr>
                <w:rFonts w:ascii="Arial" w:hAnsi="Arial"/>
                <w:sz w:val="16"/>
              </w:rPr>
              <w:t>Do not seek, use, transmit, or exploit source-selection, contractor bid/proposal, competitor proprietary, or other protected procurement information.</w:t>
            </w:r>
          </w:p>
        </w:tc>
        <w:tc>
          <w:tcPr>
            <w:tcW w:type="dxa" w:w="3389"/>
          </w:tcPr>
          <w:p>
            <w:pPr>
              <w:spacing w:after="40" w:line="240" w:lineRule="auto"/>
            </w:pPr>
            <w:r>
              <w:rPr>
                <w:rFonts w:ascii="Arial" w:hAnsi="Arial"/>
                <w:sz w:val="16"/>
              </w:rPr>
            </w:r>
          </w:p>
        </w:tc>
      </w:tr>
      <w:tr>
        <w:tc>
          <w:tcPr>
            <w:tcW w:type="dxa" w:w="3389"/>
          </w:tcPr>
          <w:p>
            <w:pPr>
              <w:spacing w:after="40" w:line="240" w:lineRule="auto"/>
            </w:pPr>
            <w:r>
              <w:rPr>
                <w:rFonts w:ascii="Arial" w:hAnsi="Arial"/>
                <w:sz w:val="16"/>
              </w:rPr>
              <w:t>Teaming</w:t>
            </w:r>
          </w:p>
        </w:tc>
        <w:tc>
          <w:tcPr>
            <w:tcW w:type="dxa" w:w="3389"/>
          </w:tcPr>
          <w:p>
            <w:pPr>
              <w:spacing w:after="40" w:line="240" w:lineRule="auto"/>
            </w:pPr>
            <w:r>
              <w:rPr>
                <w:rFonts w:ascii="Arial" w:hAnsi="Arial"/>
                <w:sz w:val="16"/>
              </w:rPr>
              <w:t>Evaluate affiliation, ostensible subcontractor, limitations on subcontracting, joint venture, mentor-protégé, workshare, and prime-sub rules as applicable.</w:t>
            </w:r>
          </w:p>
        </w:tc>
        <w:tc>
          <w:tcPr>
            <w:tcW w:type="dxa" w:w="3389"/>
          </w:tcPr>
          <w:p>
            <w:pPr>
              <w:spacing w:after="40" w:line="240" w:lineRule="auto"/>
            </w:pPr>
            <w:r>
              <w:rPr>
                <w:rFonts w:ascii="Arial" w:hAnsi="Arial"/>
                <w:sz w:val="16"/>
              </w:rPr>
            </w:r>
          </w:p>
        </w:tc>
      </w:tr>
      <w:tr>
        <w:tc>
          <w:tcPr>
            <w:tcW w:type="dxa" w:w="3389"/>
          </w:tcPr>
          <w:p>
            <w:pPr>
              <w:spacing w:after="40" w:line="240" w:lineRule="auto"/>
            </w:pPr>
            <w:r>
              <w:rPr>
                <w:rFonts w:ascii="Arial" w:hAnsi="Arial"/>
                <w:sz w:val="16"/>
              </w:rPr>
              <w:t>Cybersecurity/data</w:t>
            </w:r>
          </w:p>
        </w:tc>
        <w:tc>
          <w:tcPr>
            <w:tcW w:type="dxa" w:w="3389"/>
          </w:tcPr>
          <w:p>
            <w:pPr>
              <w:spacing w:after="40" w:line="240" w:lineRule="auto"/>
            </w:pPr>
            <w:r>
              <w:rPr>
                <w:rFonts w:ascii="Arial" w:hAnsi="Arial"/>
                <w:sz w:val="16"/>
              </w:rPr>
              <w:t>Identify applicable CUI, FCI, security, incident-reporting, cloud, data-location, and cybersecurity obligations before sharing data or performing work.</w:t>
            </w:r>
          </w:p>
        </w:tc>
        <w:tc>
          <w:tcPr>
            <w:tcW w:type="dxa" w:w="3389"/>
          </w:tcPr>
          <w:p>
            <w:pPr>
              <w:spacing w:after="40" w:line="240" w:lineRule="auto"/>
            </w:pPr>
            <w:r>
              <w:rPr>
                <w:rFonts w:ascii="Arial" w:hAnsi="Arial"/>
                <w:sz w:val="16"/>
              </w:rPr>
            </w:r>
          </w:p>
        </w:tc>
      </w:tr>
      <w:tr>
        <w:tc>
          <w:tcPr>
            <w:tcW w:type="dxa" w:w="3389"/>
          </w:tcPr>
          <w:p>
            <w:pPr>
              <w:spacing w:after="40" w:line="240" w:lineRule="auto"/>
            </w:pPr>
            <w:r>
              <w:rPr>
                <w:rFonts w:ascii="Arial" w:hAnsi="Arial"/>
                <w:sz w:val="16"/>
              </w:rPr>
              <w:t>Proposal validation</w:t>
            </w:r>
          </w:p>
        </w:tc>
        <w:tc>
          <w:tcPr>
            <w:tcW w:type="dxa" w:w="3389"/>
          </w:tcPr>
          <w:p>
            <w:pPr>
              <w:spacing w:after="40" w:line="240" w:lineRule="auto"/>
            </w:pPr>
            <w:r>
              <w:rPr>
                <w:rFonts w:ascii="Arial" w:hAnsi="Arial"/>
                <w:sz w:val="16"/>
              </w:rPr>
              <w:t>Validate every representation, certification, resume, past-performance claim, technical assertion, price, and AI-generated statement before submission.</w:t>
            </w:r>
          </w:p>
        </w:tc>
        <w:tc>
          <w:tcPr>
            <w:tcW w:type="dxa" w:w="3389"/>
          </w:tcPr>
          <w:p>
            <w:pPr>
              <w:spacing w:after="40" w:line="240" w:lineRule="auto"/>
            </w:pPr>
            <w:r>
              <w:rPr>
                <w:rFonts w:ascii="Arial" w:hAnsi="Arial"/>
                <w:sz w:val="16"/>
              </w:rPr>
            </w:r>
          </w:p>
        </w:tc>
      </w:tr>
      <w:tr>
        <w:tc>
          <w:tcPr>
            <w:tcW w:type="dxa" w:w="3389"/>
          </w:tcPr>
          <w:p>
            <w:pPr>
              <w:spacing w:after="40" w:line="240" w:lineRule="auto"/>
            </w:pPr>
            <w:r>
              <w:rPr>
                <w:rFonts w:ascii="Arial" w:hAnsi="Arial"/>
                <w:sz w:val="16"/>
              </w:rPr>
              <w:t>Records</w:t>
            </w:r>
          </w:p>
        </w:tc>
        <w:tc>
          <w:tcPr>
            <w:tcW w:type="dxa" w:w="3389"/>
          </w:tcPr>
          <w:p>
            <w:pPr>
              <w:spacing w:after="40" w:line="240" w:lineRule="auto"/>
            </w:pPr>
            <w:r>
              <w:rPr>
                <w:rFonts w:ascii="Arial" w:hAnsi="Arial"/>
                <w:sz w:val="16"/>
              </w:rPr>
              <w:t>Maintain independent records sufficient for audit, invoicing, cost, proposal, subcontract, compliance, and contract administration obligations.</w:t>
            </w:r>
          </w:p>
        </w:tc>
        <w:tc>
          <w:tcPr>
            <w:tcW w:type="dxa" w:w="3389"/>
          </w:tcPr>
          <w:p>
            <w:pPr>
              <w:spacing w:after="40" w:line="240" w:lineRule="auto"/>
            </w:pPr>
            <w:r>
              <w:rPr>
                <w:rFonts w:ascii="Arial" w:hAnsi="Arial"/>
                <w:sz w:val="16"/>
              </w:rPr>
            </w:r>
          </w:p>
        </w:tc>
      </w:tr>
    </w:tbl>
    <w:p>
      <w:pPr>
        <w:widowControl/>
      </w:pPr>
    </w:p>
    <w:p>
      <w:pPr>
        <w:pStyle w:val="Heading1"/>
        <w:widowControl/>
      </w:pPr>
      <w:r>
        <w:rPr>
          <w:rFonts w:ascii="Arial" w:hAnsi="Arial"/>
        </w:rPr>
        <w:t>PUBLICATION AND COUNSEL-REVIEW NOTES</w:t>
      </w:r>
    </w:p>
    <w:p>
      <w:pPr>
        <w:pStyle w:val="ListBullet"/>
        <w:widowControl/>
        <w:jc w:val="both"/>
      </w:pPr>
      <w:r>
        <w:rPr>
          <w:rFonts w:ascii="Arial" w:hAnsi="Arial"/>
        </w:rPr>
        <w:t>Confirm the legal entity name, principal address, legal notice address, governing law, arbitration provider, arbitration seat, class-waiver mechanics, and any required state-specific consumer or business disclosures.</w:t>
      </w:r>
    </w:p>
    <w:p>
      <w:pPr>
        <w:pStyle w:val="ListBullet"/>
        <w:widowControl/>
        <w:jc w:val="both"/>
      </w:pPr>
      <w:r>
        <w:rPr>
          <w:rFonts w:ascii="Arial" w:hAnsi="Arial"/>
        </w:rPr>
        <w:t>Confirm whether PrimeMatch AI will directly collect marketplace transaction fees, hold or route funds, facilitate payouts, maintain reserves, or provide refunds. If so, payment-flow and money-transmission implications should be separately reviewed.</w:t>
      </w:r>
    </w:p>
    <w:p>
      <w:pPr>
        <w:pStyle w:val="ListBullet"/>
        <w:widowControl/>
        <w:jc w:val="both"/>
      </w:pPr>
      <w:r>
        <w:rPr>
          <w:rFonts w:ascii="Arial" w:hAnsi="Arial"/>
        </w:rPr>
        <w:t>Confirm marketplace provider categories and whether any category involves regulated professional services, employment/staffing, financial services, insurance, construction licensing, security services, healthcare, or other sector-specific requirements.</w:t>
      </w:r>
    </w:p>
    <w:p>
      <w:pPr>
        <w:pStyle w:val="ListBullet"/>
        <w:widowControl/>
        <w:jc w:val="both"/>
      </w:pPr>
      <w:r>
        <w:rPr>
          <w:rFonts w:ascii="Arial" w:hAnsi="Arial"/>
        </w:rPr>
        <w:t>Confirm whether any PrimeMatch AI environment is authorized to receive Controlled Unclassified Information, export-controlled information, government source-selection information, or other specially regulated data. Do not publish broad authorization language unless supported by the actual technical and contractual environment.</w:t>
      </w:r>
    </w:p>
    <w:p>
      <w:pPr>
        <w:pStyle w:val="ListBullet"/>
        <w:widowControl/>
        <w:jc w:val="both"/>
      </w:pPr>
      <w:r>
        <w:rPr>
          <w:rFonts w:ascii="Arial" w:hAnsi="Arial"/>
        </w:rPr>
        <w:t>Coordinate final publication with the Master Terms of Service, Privacy Policy, AI Transparency &amp; Recommendation Policy, Data Processing Addendum, Security Addendum, and enterprise/public-sector order forms so that definitions, liability caps, dispute procedures, and data terms remain consistent.</w:t>
      </w:r>
    </w:p>
    <w:sectPr w:rsidR="00FC693F" w:rsidRPr="0006063C" w:rsidSect="00034616">
      <w:headerReference w:type="default" r:id="rId9"/>
      <w:footerReference w:type="default" r:id="rId10"/>
      <w:pgSz w:w="12240" w:h="15840"/>
      <w:pgMar w:top="979"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5"/>
      </w:rPr>
      <w:t xml:space="preserve">PrimeMatch AI™ — Confidential Draft for Attorney Review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sz w:val="15"/>
      </w:rPr>
      <w:t>PRIMEMATCH AI™  |  PARTNER MATCHING &amp; MARKETPLACE AGREEMENT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4" w:lineRule="auto"/>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rial" w:hAnsi="Arial"/>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Arial" w:hAnsi="Arial"/>
      <w:b/>
      <w:bCs/>
      <w:color w:val="4F81BD" w:themeColor="accent1"/>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rial" w:hAnsi="Arial"/>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Arial" w:hAnsi="Arial"/>
      <w:b w:val="0"/>
      <w:i/>
      <w:iCs/>
      <w:color w:val="4F81BD" w:themeColor="accent1"/>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PrimeMatch AI Partner Matching &amp; Marketplace Agreement v1.0</dc:title>
  <dc:subject>Partner Matching, Marketplace, Teaming, and Provider Terms</dc:subject>
  <dc:creator>PrimeMatch AI</dc:creator>
  <cp:keywords>PrimeMatch AI, marketplace, partner matching, teaming, government contracting, SaaS, artificial intelligence</cp:keywords>
  <dc:description>generated by python-docx</dc:description>
  <cp:lastModifiedBy/>
  <cp:revision>1</cp:revision>
  <dcterms:created xsi:type="dcterms:W3CDTF">2013-12-23T23:15:00Z</dcterms:created>
  <dcterms:modified xsi:type="dcterms:W3CDTF">2013-12-23T23:15:00Z</dcterms:modified>
  <cp:category/>
</cp:coreProperties>
</file>