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jc w:val="center"/>
      </w:pPr>
      <w:r>
        <w:rPr>
          <w:rFonts w:ascii="Aptos Display" w:hAnsi="Aptos Display"/>
          <w:b/>
          <w:i w:val="0"/>
          <w:color w:val="000000"/>
          <w:sz w:val="36"/>
        </w:rPr>
        <w:t>CONFIDENTIALITY AND NON DISCLOSURE UNDERTAKING</w:t>
      </w:r>
    </w:p>
    <w:p>
      <w:pPr>
        <w:spacing w:after="200"/>
        <w:jc w:val="center"/>
      </w:pPr>
      <w:r>
        <w:rPr>
          <w:rFonts w:ascii="Aptos Display" w:hAnsi="Aptos Display"/>
          <w:b/>
          <w:i w:val="0"/>
          <w:color w:val="000000"/>
          <w:sz w:val="24"/>
        </w:rPr>
        <w:t>COMPROMISO DE CONFIDENCIALIDAD Y NO DIVULGACIÓN</w:t>
      </w:r>
    </w:p>
    <w:p>
      <w:pPr>
        <w:keepLines w:val="0"/>
        <w:spacing w:after="80" w:line="245" w:lineRule="auto"/>
      </w:pPr>
      <w:r>
        <w:rPr>
          <w:rFonts w:ascii="Aptos" w:hAnsi="Aptos"/>
          <w:color w:val="000000"/>
          <w:sz w:val="19"/>
        </w:rPr>
        <w:t>This individual undertaking allows the undersigned prospective buyer to receive limited confidential information solely to evaluate a confidential business opportunity. It does not disclose the identity of the owners, the entities involved, the location, the legal structure or the proposed transaction structure. Each prospective buyer must complete and sign a separate copy, even when participating in the same company or investment group.</w:t>
      </w:r>
    </w:p>
    <w:p>
      <w:pPr>
        <w:keepLines w:val="0"/>
        <w:spacing w:after="80" w:line="245" w:lineRule="auto"/>
      </w:pPr>
      <w:r>
        <w:rPr>
          <w:rFonts w:ascii="Aptos" w:hAnsi="Aptos"/>
          <w:color w:val="000000"/>
          <w:sz w:val="19"/>
        </w:rPr>
        <w:t>Este compromiso individual permite al posible comprador abajo firmante recibir información confidencial limitada únicamente para evaluar una oportunidad de negocio confidencial. No revela la identidad de los propietarios, las entidades involucradas, la ubicación, la estructura jurídica ni la estructura de la operación propuesta. Cada posible comprador deberá completar y firmar un ejemplar por separado, aun cuando participe en la misma empresa o grupo de inversión.</w:t>
      </w:r>
    </w:p>
    <w:p>
      <w:pPr>
        <w:pStyle w:val="Heading1"/>
        <w:spacing w:before="120" w:after="80"/>
      </w:pPr>
      <w:r>
        <w:rPr>
          <w:rFonts w:ascii="Aptos Display" w:hAnsi="Aptos Display"/>
          <w:b/>
          <w:i w:val="0"/>
          <w:color w:val="000000"/>
          <w:sz w:val="26"/>
        </w:rPr>
        <w:t>Recipient information  Datos del Receptor</w:t>
      </w:r>
    </w:p>
    <w:tbl>
      <w:tblPr>
        <w:tblW w:type="auto" w:w="0"/>
        <w:jc w:val="center"/>
        <w:tblLayout w:type="fixed"/>
        <w:tblLook w:firstColumn="1" w:firstRow="1" w:lastColumn="0" w:lastRow="0" w:noHBand="0" w:noVBand="1" w:val="04A0"/>
      </w:tblPr>
      <w:tblGrid>
        <w:gridCol w:w="3816"/>
        <w:gridCol w:w="5688"/>
      </w:tblGrid>
      <w:tr>
        <w:trPr>
          <w:tblHeader w:val="true"/>
          <w:cantSplit/>
        </w:trPr>
        <w:tc>
          <w:tcPr>
            <w:tcW w:type="dxa" w:w="4939"/>
            <w:shd w:fill="333333"/>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pPr>
              <w:jc w:val="center"/>
            </w:pPr>
            <w:r/>
            <w:r>
              <w:rPr>
                <w:rFonts w:ascii="Aptos" w:hAnsi="Aptos"/>
                <w:b/>
                <w:i w:val="0"/>
                <w:color w:val="FFFFFF"/>
                <w:sz w:val="18"/>
              </w:rPr>
              <w:t>Information requested / Información solicitada</w:t>
            </w:r>
          </w:p>
        </w:tc>
        <w:tc>
          <w:tcPr>
            <w:tcW w:type="dxa" w:w="4939"/>
            <w:shd w:fill="333333"/>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pPr>
              <w:jc w:val="center"/>
            </w:pPr>
            <w:r/>
            <w:r>
              <w:rPr>
                <w:rFonts w:ascii="Aptos" w:hAnsi="Aptos"/>
                <w:b/>
                <w:i w:val="0"/>
                <w:color w:val="FFFFFF"/>
                <w:sz w:val="18"/>
              </w:rPr>
              <w:t>Recipient response / Respuesta del Receptor</w:t>
            </w:r>
          </w:p>
        </w:tc>
      </w:tr>
      <w:tr>
        <w:trPr>
          <w:cantSplit/>
        </w:trPr>
        <w:tc>
          <w:tcPr>
            <w:tcW w:type="dxa" w:w="3816"/>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r>
              <w:rPr>
                <w:rFonts w:ascii="Aptos" w:hAnsi="Aptos"/>
                <w:b/>
                <w:i w:val="0"/>
                <w:color w:val="000000"/>
                <w:sz w:val="18"/>
              </w:rPr>
              <w:t>Full legal name / Nombre legal completo</w:t>
            </w:r>
          </w:p>
        </w:tc>
        <w:tc>
          <w:tcPr>
            <w:tcW w:type="dxa" w:w="5688"/>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sdt>
              <w:sdtPr>
                <w:tag w:val="RECIPIENT_FULL_NAME"/>
                <w:alias w:val="RECIPIENT_FULL_NAME"/>
                <w:text/>
              </w:sdtPr>
              <w:sdtContent>
                <w:r>
                  <w:rPr>
                    <w:rFonts w:ascii="Aptos" w:hAnsi="Aptos"/>
                    <w:b w:val="0"/>
                    <w:i w:val="0"/>
                    <w:color w:val="000000"/>
                    <w:sz w:val="18"/>
                  </w:rPr>
                  <w:t/>
                </w:r>
              </w:sdtContent>
            </w:sdt>
          </w:p>
        </w:tc>
      </w:tr>
      <w:tr>
        <w:trPr>
          <w:cantSplit/>
        </w:trPr>
        <w:tc>
          <w:tcPr>
            <w:tcW w:type="dxa" w:w="3816"/>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r>
              <w:rPr>
                <w:rFonts w:ascii="Aptos" w:hAnsi="Aptos"/>
                <w:b/>
                <w:i w:val="0"/>
                <w:color w:val="000000"/>
                <w:sz w:val="18"/>
              </w:rPr>
              <w:t>Nationality / Nacionalidad</w:t>
            </w:r>
          </w:p>
        </w:tc>
        <w:tc>
          <w:tcPr>
            <w:tcW w:type="dxa" w:w="5688"/>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sdt>
              <w:sdtPr>
                <w:tag w:val="NATIONALITY"/>
                <w:alias w:val="NATIONALITY"/>
                <w:text/>
              </w:sdtPr>
              <w:sdtContent>
                <w:r>
                  <w:rPr>
                    <w:rFonts w:ascii="Aptos" w:hAnsi="Aptos"/>
                    <w:b w:val="0"/>
                    <w:i w:val="0"/>
                    <w:color w:val="000000"/>
                    <w:sz w:val="18"/>
                  </w:rPr>
                  <w:t/>
                </w:r>
              </w:sdtContent>
            </w:sdt>
          </w:p>
        </w:tc>
      </w:tr>
      <w:tr>
        <w:trPr>
          <w:cantSplit/>
        </w:trPr>
        <w:tc>
          <w:tcPr>
            <w:tcW w:type="dxa" w:w="3816"/>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r>
              <w:rPr>
                <w:rFonts w:ascii="Aptos" w:hAnsi="Aptos"/>
                <w:b/>
                <w:i w:val="0"/>
                <w:color w:val="000000"/>
                <w:sz w:val="18"/>
              </w:rPr>
              <w:t>Passport or ID type and number / Pasaporte o identificación y número</w:t>
            </w:r>
          </w:p>
        </w:tc>
        <w:tc>
          <w:tcPr>
            <w:tcW w:type="dxa" w:w="5688"/>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sdt>
              <w:sdtPr>
                <w:tag w:val="ID_DETAILS"/>
                <w:alias w:val="ID_DETAILS"/>
                <w:text/>
              </w:sdtPr>
              <w:sdtContent>
                <w:r>
                  <w:rPr>
                    <w:rFonts w:ascii="Aptos" w:hAnsi="Aptos"/>
                    <w:b w:val="0"/>
                    <w:i w:val="0"/>
                    <w:color w:val="000000"/>
                    <w:sz w:val="18"/>
                  </w:rPr>
                  <w:t/>
                </w:r>
              </w:sdtContent>
            </w:sdt>
          </w:p>
        </w:tc>
      </w:tr>
      <w:tr>
        <w:trPr>
          <w:cantSplit/>
        </w:trPr>
        <w:tc>
          <w:tcPr>
            <w:tcW w:type="dxa" w:w="3816"/>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r>
              <w:rPr>
                <w:rFonts w:ascii="Aptos" w:hAnsi="Aptos"/>
                <w:b/>
                <w:i w:val="0"/>
                <w:color w:val="000000"/>
                <w:sz w:val="18"/>
              </w:rPr>
              <w:t>Residential address / Domicilio</w:t>
            </w:r>
          </w:p>
        </w:tc>
        <w:tc>
          <w:tcPr>
            <w:tcW w:type="dxa" w:w="5688"/>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sdt>
              <w:sdtPr>
                <w:tag w:val="ADDRESS"/>
                <w:alias w:val="ADDRESS"/>
                <w:text/>
              </w:sdtPr>
              <w:sdtContent>
                <w:r>
                  <w:rPr>
                    <w:rFonts w:ascii="Aptos" w:hAnsi="Aptos"/>
                    <w:b w:val="0"/>
                    <w:i w:val="0"/>
                    <w:color w:val="000000"/>
                    <w:sz w:val="18"/>
                  </w:rPr>
                  <w:t/>
                </w:r>
              </w:sdtContent>
            </w:sdt>
          </w:p>
        </w:tc>
      </w:tr>
      <w:tr>
        <w:trPr>
          <w:cantSplit/>
        </w:trPr>
        <w:tc>
          <w:tcPr>
            <w:tcW w:type="dxa" w:w="3816"/>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r>
              <w:rPr>
                <w:rFonts w:ascii="Aptos" w:hAnsi="Aptos"/>
                <w:b/>
                <w:i w:val="0"/>
                <w:color w:val="000000"/>
                <w:sz w:val="18"/>
              </w:rPr>
              <w:t>Email / Correo electrónico</w:t>
            </w:r>
          </w:p>
        </w:tc>
        <w:tc>
          <w:tcPr>
            <w:tcW w:type="dxa" w:w="5688"/>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sdt>
              <w:sdtPr>
                <w:tag w:val="EMAIL"/>
                <w:alias w:val="EMAIL"/>
                <w:text/>
              </w:sdtPr>
              <w:sdtContent>
                <w:r>
                  <w:rPr>
                    <w:rFonts w:ascii="Aptos" w:hAnsi="Aptos"/>
                    <w:b w:val="0"/>
                    <w:i w:val="0"/>
                    <w:color w:val="000000"/>
                    <w:sz w:val="18"/>
                  </w:rPr>
                  <w:t/>
                </w:r>
              </w:sdtContent>
            </w:sdt>
          </w:p>
        </w:tc>
      </w:tr>
      <w:tr>
        <w:trPr>
          <w:cantSplit/>
        </w:trPr>
        <w:tc>
          <w:tcPr>
            <w:tcW w:type="dxa" w:w="3816"/>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r>
              <w:rPr>
                <w:rFonts w:ascii="Aptos" w:hAnsi="Aptos"/>
                <w:b/>
                <w:i w:val="0"/>
                <w:color w:val="000000"/>
                <w:sz w:val="18"/>
              </w:rPr>
              <w:t>Telephone / Teléfono</w:t>
            </w:r>
          </w:p>
        </w:tc>
        <w:tc>
          <w:tcPr>
            <w:tcW w:type="dxa" w:w="5688"/>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sdt>
              <w:sdtPr>
                <w:tag w:val="PHONE"/>
                <w:alias w:val="PHONE"/>
                <w:text/>
              </w:sdtPr>
              <w:sdtContent>
                <w:r>
                  <w:rPr>
                    <w:rFonts w:ascii="Aptos" w:hAnsi="Aptos"/>
                    <w:b w:val="0"/>
                    <w:i w:val="0"/>
                    <w:color w:val="000000"/>
                    <w:sz w:val="18"/>
                  </w:rPr>
                  <w:t/>
                </w:r>
              </w:sdtContent>
            </w:sdt>
          </w:p>
        </w:tc>
      </w:tr>
      <w:tr>
        <w:trPr>
          <w:cantSplit/>
        </w:trPr>
        <w:tc>
          <w:tcPr>
            <w:tcW w:type="dxa" w:w="3816"/>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r>
              <w:rPr>
                <w:rFonts w:ascii="Aptos" w:hAnsi="Aptos"/>
                <w:b/>
                <w:i w:val="0"/>
                <w:color w:val="000000"/>
                <w:sz w:val="18"/>
              </w:rPr>
              <w:t>Company or investment group, if any / Empresa o grupo de inversión, si aplica</w:t>
            </w:r>
          </w:p>
        </w:tc>
        <w:tc>
          <w:tcPr>
            <w:tcW w:type="dxa" w:w="5688"/>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sdt>
              <w:sdtPr>
                <w:tag w:val="GROUP_AFFILIATION"/>
                <w:alias w:val="GROUP_AFFILIATION"/>
                <w:text/>
              </w:sdtPr>
              <w:sdtContent>
                <w:r>
                  <w:rPr>
                    <w:rFonts w:ascii="Aptos" w:hAnsi="Aptos"/>
                    <w:b w:val="0"/>
                    <w:i w:val="0"/>
                    <w:color w:val="000000"/>
                    <w:sz w:val="18"/>
                  </w:rPr>
                  <w:t/>
                </w:r>
              </w:sdtContent>
            </w:sdt>
          </w:p>
        </w:tc>
      </w:tr>
      <w:tr>
        <w:trPr>
          <w:cantSplit/>
        </w:trPr>
        <w:tc>
          <w:tcPr>
            <w:tcW w:type="dxa" w:w="3816"/>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r>
              <w:rPr>
                <w:rFonts w:ascii="Aptos" w:hAnsi="Aptos"/>
                <w:b/>
                <w:i w:val="0"/>
                <w:color w:val="000000"/>
                <w:sz w:val="18"/>
              </w:rPr>
              <w:t>Capacity or title, if applicable / Cargo o carácter, si aplica</w:t>
            </w:r>
          </w:p>
        </w:tc>
        <w:tc>
          <w:tcPr>
            <w:tcW w:type="dxa" w:w="5688"/>
            <w:tcBorders>
              <w:top w:val="single" w:sz="8" w:color="D9D9D9"/>
              <w:left w:val="single" w:sz="8" w:color="D9D9D9"/>
              <w:bottom w:val="single" w:sz="8" w:color="D9D9D9"/>
              <w:right w:val="single" w:sz="8" w:color="D9D9D9"/>
              <w:insideH w:val="single" w:sz="8" w:color="D9D9D9"/>
              <w:insideV w:val="single" w:sz="8" w:color="D9D9D9"/>
            </w:tcBorders>
            <w:tcMar>
              <w:top w:w="70" w:type="dxa"/>
              <w:start w:w="120" w:type="dxa"/>
              <w:bottom w:w="70" w:type="dxa"/>
              <w:end w:w="120" w:type="dxa"/>
            </w:tcMar>
            <w:vAlign w:val="center"/>
          </w:tcPr>
          <w:p>
            <w:r/>
            <w:sdt>
              <w:sdtPr>
                <w:tag w:val="CAPACITY"/>
                <w:alias w:val="CAPACITY"/>
                <w:text/>
              </w:sdtPr>
              <w:sdtContent>
                <w:r>
                  <w:rPr>
                    <w:rFonts w:ascii="Aptos" w:hAnsi="Aptos"/>
                    <w:b w:val="0"/>
                    <w:i w:val="0"/>
                    <w:color w:val="000000"/>
                    <w:sz w:val="18"/>
                  </w:rPr>
                  <w:t/>
                </w:r>
              </w:sdtContent>
            </w:sdt>
          </w:p>
        </w:tc>
      </w:tr>
    </w:tbl>
    <w:p>
      <w:pPr>
        <w:keepLines/>
        <w:spacing w:after="60" w:line="240" w:lineRule="auto"/>
      </w:pPr>
      <w:r>
        <w:rPr>
          <w:rFonts w:ascii="Aptos" w:hAnsi="Aptos"/>
          <w:b w:val="0"/>
          <w:i w:val="0"/>
          <w:color w:val="000000"/>
          <w:sz w:val="18"/>
        </w:rPr>
        <w:t>By signing, the Recipient confirms that the information above is accurate and that any copy of identification and evidence of available funds or financing requested for qualification purposes has been or will be provided separately.</w:t>
      </w:r>
    </w:p>
    <w:p>
      <w:pPr>
        <w:keepLines/>
        <w:spacing w:after="60" w:line="240" w:lineRule="auto"/>
      </w:pPr>
      <w:r>
        <w:rPr>
          <w:rFonts w:ascii="Aptos" w:hAnsi="Aptos"/>
          <w:b w:val="0"/>
          <w:i w:val="0"/>
          <w:color w:val="000000"/>
          <w:sz w:val="18"/>
        </w:rPr>
        <w:t>Al firmar, el Receptor confirma que la información anterior es correcta y que cualquier copia de identificación y evidencia de fondos disponibles o financiamiento solicitada para fines de calificación ha sido o será entregada por separado.</w:t>
      </w:r>
    </w:p>
    <w:p>
      <w:pPr>
        <w:pStyle w:val="Heading1"/>
        <w:pageBreakBefore/>
      </w:pPr>
      <w:r>
        <w:rPr>
          <w:rFonts w:ascii="Aptos Display" w:hAnsi="Aptos Display"/>
          <w:b/>
          <w:i w:val="0"/>
          <w:color w:val="000000"/>
          <w:sz w:val="28"/>
        </w:rPr>
        <w:t>English Terms</w:t>
      </w:r>
    </w:p>
    <w:p>
      <w:pPr>
        <w:pStyle w:val="ClauseHeading"/>
        <w:keepNext/>
      </w:pPr>
      <w:r>
        <w:rPr>
          <w:color w:val="000000"/>
        </w:rPr>
        <w:t>1. Protected persons and coordination</w:t>
      </w:r>
    </w:p>
    <w:p>
      <w:pPr>
        <w:keepLines w:val="0"/>
        <w:spacing w:after="120" w:line="259" w:lineRule="auto"/>
      </w:pPr>
      <w:r>
        <w:rPr>
          <w:color w:val="000000"/>
        </w:rPr>
        <w:t>This undertaking is made for the benefit of the undisclosed owners, controlling persons, entities and other persons connected with the confidential opportunity, together with their authorized representatives and advisers (the Protected Persons). Their identities remain Confidential Information and may be disclosed later only when authorized. Kevin Ricard acts solely as the independent Marketing Agent coordinating the disclosure process and is not the seller, broker, legal representative, lawyer, notary, trustee or escrow agent.</w:t>
      </w:r>
    </w:p>
    <w:p>
      <w:pPr>
        <w:pStyle w:val="ClauseHeading"/>
        <w:keepNext/>
      </w:pPr>
      <w:r>
        <w:rPr>
          <w:rFonts w:ascii="Aptos" w:hAnsi="Aptos"/>
          <w:b/>
          <w:i w:val="0"/>
          <w:color w:val="000000"/>
          <w:sz w:val="22"/>
        </w:rPr>
        <w:t>2. Permitted purpose</w:t>
      </w:r>
    </w:p>
    <w:p>
      <w:pPr>
        <w:keepLines w:val="0"/>
        <w:spacing w:after="120" w:line="259" w:lineRule="auto"/>
      </w:pPr>
      <w:r>
        <w:rPr>
          <w:color w:val="000000"/>
        </w:rPr>
        <w:t>The Recipient may use Confidential Information only to evaluate the confidential business opportunity with the Recipient's own legal, tax and financial advisers (the Permitted Purpose). The Recipient shall not use Confidential Information for competition, solicitation, publicity, personal advantage or any other purpose.</w:t>
      </w:r>
    </w:p>
    <w:p>
      <w:pPr>
        <w:pStyle w:val="ClauseHeading"/>
        <w:keepNext/>
      </w:pPr>
      <w:r>
        <w:rPr>
          <w:color w:val="000000"/>
        </w:rPr>
        <w:t>3. Controlled disclosure process</w:t>
      </w:r>
    </w:p>
    <w:p>
      <w:pPr>
        <w:keepLines w:val="0"/>
        <w:spacing w:after="120" w:line="259" w:lineRule="auto"/>
      </w:pPr>
      <w:r>
        <w:rPr>
          <w:color w:val="000000"/>
        </w:rPr>
        <w:t>This undertaking intentionally does not disclose the identity, location, ownership, legal structure, assets or proposed transaction structure of the confidential opportunity. Additional information will be disclosed progressively and only when authorized by the Protected Persons. After this undertaking has been signed and the required authorization has been confirmed, the Recipient may receive personal and revocable access to a restricted Google Drive folder containing selected photographs, videos and other approved materials. The Recipient shall not forward the folder link, add users, download, reproduce, screen-record or redistribute its contents unless expressly authorized in writing. Further commercial, financial, legal, ownership, property and transaction information may be provided later, in stages, subject to authorization and any additional qualification requirements, including identification and evidence of available funds or financing.</w:t>
      </w:r>
    </w:p>
    <w:p>
      <w:pPr>
        <w:pStyle w:val="ClauseHeading"/>
        <w:keepNext/>
      </w:pPr>
      <w:r>
        <w:rPr>
          <w:rFonts w:ascii="Aptos" w:hAnsi="Aptos"/>
          <w:b/>
          <w:i w:val="0"/>
          <w:color w:val="000000"/>
          <w:sz w:val="22"/>
        </w:rPr>
        <w:t>4. Confidential Information</w:t>
      </w:r>
    </w:p>
    <w:p>
      <w:pPr>
        <w:keepLines w:val="0"/>
        <w:spacing w:after="120" w:line="259" w:lineRule="auto"/>
      </w:pPr>
      <w:r>
        <w:rPr>
          <w:color w:val="000000"/>
        </w:rPr>
        <w:t>Confidential Information includes all non-public information disclosed before or after signature, orally, visually, electronically or in writing, including:</w:t>
      </w:r>
    </w:p>
    <w:p>
      <w:pPr>
        <w:pStyle w:val="ListBullet"/>
        <w:spacing w:after="80" w:line="252" w:lineRule="auto"/>
        <w:ind w:left="374" w:hanging="202"/>
      </w:pPr>
      <w:r>
        <w:rPr>
          <w:color w:val="000000"/>
        </w:rPr>
        <w:t>the existence, status and terms of the confidential opportunity and all related discussions or communications;</w:t>
      </w:r>
    </w:p>
    <w:p>
      <w:pPr>
        <w:pStyle w:val="ListBullet"/>
        <w:spacing w:after="80" w:line="252" w:lineRule="auto"/>
        <w:ind w:left="374" w:hanging="202"/>
      </w:pPr>
      <w:r>
        <w:rPr>
          <w:color w:val="000000"/>
        </w:rPr>
        <w:t>the identity and contact details of the Protected Persons, as well as the identity, name, location and access details of any business, site or asset disclosed later;</w:t>
      </w:r>
    </w:p>
    <w:p>
      <w:pPr>
        <w:pStyle w:val="ListBullet"/>
        <w:spacing w:after="80" w:line="252" w:lineRule="auto"/>
        <w:ind w:left="374" w:hanging="202"/>
      </w:pPr>
      <w:r>
        <w:rPr>
          <w:color w:val="000000"/>
        </w:rPr>
        <w:t>photographs, videos, virtual tours, recordings, documents and other materials shared through Google Drive or by any other approved method;</w:t>
      </w:r>
    </w:p>
    <w:p>
      <w:pPr>
        <w:pStyle w:val="ListBullet"/>
        <w:spacing w:after="80" w:line="252" w:lineRule="auto"/>
        <w:ind w:left="374" w:hanging="202"/>
      </w:pPr>
      <w:r>
        <w:rPr>
          <w:color w:val="000000"/>
        </w:rPr>
        <w:t>financial, commercial, operational, corporate, tax, legal, contractual, technical, permit, personnel, customer, supplier and due diligence information;</w:t>
      </w:r>
    </w:p>
    <w:p>
      <w:pPr>
        <w:pStyle w:val="ListBullet"/>
        <w:spacing w:after="80" w:line="252" w:lineRule="auto"/>
        <w:ind w:left="374" w:hanging="202"/>
      </w:pPr>
      <w:r>
        <w:rPr>
          <w:color w:val="000000"/>
        </w:rPr>
        <w:t>any information concerning ownership, possession, use rights, assets, liabilities or the legal and transaction structure, if and when later disclosed;</w:t>
      </w:r>
    </w:p>
    <w:p>
      <w:pPr>
        <w:pStyle w:val="ListBullet"/>
        <w:spacing w:after="80" w:line="252" w:lineRule="auto"/>
        <w:ind w:left="374" w:hanging="202"/>
      </w:pPr>
      <w:r>
        <w:rPr>
          <w:color w:val="000000"/>
        </w:rPr>
        <w:t>folder links, access credentials, permissions and the identity or contact details of prospects, advisers, collaborators and transaction participants; and</w:t>
      </w:r>
    </w:p>
    <w:p>
      <w:pPr>
        <w:pStyle w:val="ListBullet"/>
        <w:spacing w:after="80" w:line="252" w:lineRule="auto"/>
        <w:ind w:left="374" w:hanging="202"/>
      </w:pPr>
      <w:r>
        <w:rPr>
          <w:color w:val="000000"/>
        </w:rPr>
        <w:t>notes, analyses, screenshots, copies or other materials derived from any of the foregoing.</w:t>
      </w:r>
    </w:p>
    <w:p>
      <w:pPr>
        <w:keepLines w:val="0"/>
        <w:spacing w:after="120" w:line="259" w:lineRule="auto"/>
      </w:pPr>
      <w:r>
        <w:rPr>
          <w:rFonts w:ascii="Aptos" w:hAnsi="Aptos"/>
          <w:b w:val="0"/>
          <w:i w:val="0"/>
          <w:color w:val="000000"/>
          <w:sz w:val="21"/>
        </w:rPr>
        <w:t>Confidential Information does not include information that the Recipient can prove was lawfully public without breach, was already lawfully known without a duty of confidentiality, was received lawfully from an unrestricted third party, or was independently developed without use of Confidential Information.</w:t>
      </w:r>
    </w:p>
    <w:p>
      <w:pPr>
        <w:pStyle w:val="ClauseHeading"/>
        <w:keepNext/>
      </w:pPr>
      <w:r>
        <w:rPr>
          <w:rFonts w:ascii="Aptos" w:hAnsi="Aptos"/>
          <w:b/>
          <w:i w:val="0"/>
          <w:color w:val="000000"/>
          <w:sz w:val="22"/>
        </w:rPr>
        <w:t>5. Non-disclosure and group members</w:t>
      </w:r>
    </w:p>
    <w:p>
      <w:pPr>
        <w:keepLines w:val="0"/>
        <w:spacing w:after="120" w:line="259" w:lineRule="auto"/>
      </w:pPr>
      <w:r>
        <w:rPr>
          <w:color w:val="000000"/>
        </w:rPr>
        <w:t>The Recipient shall keep Confidential Information strictly confidential and shall not disclose it to any other person, including another member of the Recipient's company or investment group, unless that person has signed a separate confidentiality undertaking approved for this process or the Protected Persons have authorized the disclosure in writing. The Recipient may disclose only what is reasonably necessary to professional advisers who need the information for the Permitted Purpose and who are bound by confidentiality obligations at least as protective as these terms. The Recipient remains responsible for every disclosure or misuse by a person to whom the Recipient gives access.</w:t>
      </w:r>
    </w:p>
    <w:p>
      <w:pPr>
        <w:pStyle w:val="ClauseHeading"/>
        <w:keepNext/>
      </w:pPr>
      <w:r>
        <w:rPr>
          <w:rFonts w:ascii="Aptos" w:hAnsi="Aptos"/>
          <w:b/>
          <w:i w:val="0"/>
          <w:color w:val="000000"/>
          <w:sz w:val="22"/>
        </w:rPr>
        <w:t>6. Site visit and contact restrictions</w:t>
      </w:r>
    </w:p>
    <w:p>
      <w:pPr>
        <w:keepLines w:val="0"/>
        <w:spacing w:after="120" w:line="259" w:lineRule="auto"/>
      </w:pPr>
      <w:r>
        <w:rPr>
          <w:color w:val="000000"/>
        </w:rPr>
        <w:t>Without prior written authorization from the Protected Persons, the Recipient shall not photograph, film, record, livestream or publicly identify any site, business, asset, location, person or operation disclosed during this process. The Recipient shall not directly contact or solicit any owner, employee, guest, supplier, creditor, authority or other person connected with the confidential opportunity. Questions and communications shall be directed through Kevin Ricard as Marketing Agent or through an authorized adviser.</w:t>
      </w:r>
    </w:p>
    <w:p>
      <w:pPr>
        <w:pStyle w:val="ClauseHeading"/>
        <w:keepNext/>
      </w:pPr>
      <w:r>
        <w:rPr>
          <w:rFonts w:ascii="Aptos" w:hAnsi="Aptos"/>
          <w:b/>
          <w:i w:val="0"/>
          <w:color w:val="000000"/>
          <w:sz w:val="22"/>
        </w:rPr>
        <w:t>7. No circumvention</w:t>
      </w:r>
    </w:p>
    <w:p>
      <w:pPr>
        <w:keepLines w:val="0"/>
        <w:spacing w:after="120" w:line="259" w:lineRule="auto"/>
      </w:pPr>
      <w:r>
        <w:rPr>
          <w:color w:val="000000"/>
        </w:rPr>
        <w:t>The Recipient shall not use Confidential Information, Google Drive access or introductions made through this process to bypass Kevin Ricard, the Protected Persons or their designated advisers, or to pursue any direct or separate transaction relating to the confidential opportunity without prior written authorization.</w:t>
      </w:r>
    </w:p>
    <w:p>
      <w:pPr>
        <w:pStyle w:val="ClauseHeading"/>
        <w:keepNext/>
      </w:pPr>
      <w:r>
        <w:rPr>
          <w:rFonts w:ascii="Aptos" w:hAnsi="Aptos"/>
          <w:b/>
          <w:i w:val="0"/>
          <w:color w:val="000000"/>
          <w:sz w:val="22"/>
        </w:rPr>
        <w:t>8. No offer, authority or warranty</w:t>
      </w:r>
    </w:p>
    <w:p>
      <w:pPr>
        <w:keepLines w:val="0"/>
        <w:spacing w:after="120" w:line="259" w:lineRule="auto"/>
      </w:pPr>
      <w:r>
        <w:rPr>
          <w:color w:val="000000"/>
        </w:rPr>
        <w:t>The disclosure of information, access to the Google Drive folder, a site visit or discussions do not constitute an offer, promise, reservation, sale agreement or obligation to proceed. Only a definitive written agreement signed by the authorized parties can create transaction obligations. The Protected Persons may accept or reject any proposal, limit or revoke access, and stop discussions at any time. Neither Kevin Ricard nor any collaborator may bind the Protected Persons. The Recipient must conduct independent due diligence and rely only on representations expressly included in a definitive signed agreement.</w:t>
      </w:r>
    </w:p>
    <w:p>
      <w:pPr>
        <w:pStyle w:val="ClauseHeading"/>
        <w:keepNext/>
      </w:pPr>
      <w:r>
        <w:rPr>
          <w:rFonts w:ascii="Aptos" w:hAnsi="Aptos"/>
          <w:b/>
          <w:i w:val="0"/>
          <w:color w:val="000000"/>
          <w:sz w:val="22"/>
        </w:rPr>
        <w:t>9. Return and destruction</w:t>
      </w:r>
    </w:p>
    <w:p>
      <w:pPr>
        <w:keepLines w:val="0"/>
        <w:spacing w:after="120" w:line="259" w:lineRule="auto"/>
      </w:pPr>
      <w:r>
        <w:rPr>
          <w:rFonts w:ascii="Aptos" w:hAnsi="Aptos"/>
          <w:b w:val="0"/>
          <w:i w:val="0"/>
          <w:color w:val="000000"/>
          <w:sz w:val="21"/>
        </w:rPr>
        <w:t>Upon written request or the end of discussions, the Recipient shall promptly stop using the Confidential Information and, within five business days, return or permanently destroy all copies and derived materials, except one archival copy that legal counsel may retain solely where required by law or professional rules. If requested, the Recipient shall confirm compliance in writing.</w:t>
      </w:r>
    </w:p>
    <w:p>
      <w:pPr>
        <w:pStyle w:val="ClauseHeading"/>
        <w:keepNext/>
      </w:pPr>
      <w:r>
        <w:rPr>
          <w:rFonts w:ascii="Aptos" w:hAnsi="Aptos"/>
          <w:b/>
          <w:i w:val="0"/>
          <w:color w:val="000000"/>
          <w:sz w:val="22"/>
        </w:rPr>
        <w:t>10. Required disclosure</w:t>
      </w:r>
    </w:p>
    <w:p>
      <w:pPr>
        <w:keepLines w:val="0"/>
        <w:spacing w:after="120" w:line="259" w:lineRule="auto"/>
      </w:pPr>
      <w:r>
        <w:rPr>
          <w:color w:val="000000"/>
        </w:rPr>
        <w:t>If law, regulation or a binding order requires disclosure, the Recipient shall, to the extent legally permitted, promptly notify the Protected Persons through the Marketing Agent, cooperate in seeking protective treatment and disclose only the minimum information legally required.</w:t>
      </w:r>
    </w:p>
    <w:p>
      <w:pPr>
        <w:pStyle w:val="ClauseHeading"/>
        <w:keepNext/>
      </w:pPr>
      <w:r>
        <w:rPr>
          <w:rFonts w:ascii="Aptos" w:hAnsi="Aptos"/>
          <w:b/>
          <w:i w:val="0"/>
          <w:color w:val="000000"/>
          <w:sz w:val="22"/>
        </w:rPr>
        <w:t>11. Duration and remedies</w:t>
      </w:r>
    </w:p>
    <w:p>
      <w:pPr>
        <w:keepLines w:val="0"/>
        <w:spacing w:after="120" w:line="259" w:lineRule="auto"/>
      </w:pPr>
      <w:r>
        <w:rPr>
          <w:rFonts w:ascii="Aptos" w:hAnsi="Aptos"/>
          <w:b w:val="0"/>
          <w:i w:val="0"/>
          <w:color w:val="000000"/>
          <w:sz w:val="21"/>
        </w:rPr>
        <w:t>These obligations continue for three years from signature. Obligations concerning trade secrets, personal data and information protected for a longer period by applicable law continue for as long as that protection applies. The Recipient acknowledges that unauthorized disclosure or use may cause irreparable harm for which damages may be insufficient and that the protected persons may seek injunctive relief, damages and any other remedy available by law.</w:t>
      </w:r>
    </w:p>
    <w:p>
      <w:pPr>
        <w:pStyle w:val="ClauseHeading"/>
        <w:keepNext/>
      </w:pPr>
      <w:r>
        <w:rPr>
          <w:rFonts w:ascii="Aptos" w:hAnsi="Aptos"/>
          <w:b/>
          <w:i w:val="0"/>
          <w:color w:val="000000"/>
          <w:sz w:val="22"/>
        </w:rPr>
        <w:t>12. Law and disputes</w:t>
      </w:r>
    </w:p>
    <w:p>
      <w:pPr>
        <w:keepLines w:val="0"/>
        <w:spacing w:after="120" w:line="259" w:lineRule="auto"/>
      </w:pPr>
      <w:r>
        <w:rPr>
          <w:color w:val="000000"/>
        </w:rPr>
        <w:t>This undertaking is governed by the laws of the State of Quintana Roo and applicable federal laws of Mexico. Before filing a claim, the parties shall attempt in good faith for thirty days to resolve the matter. Subject to mandatory law, the competent courts of Quintana Roo shall have jurisdiction.</w:t>
      </w:r>
    </w:p>
    <w:p>
      <w:pPr>
        <w:pStyle w:val="ClauseHeading"/>
        <w:keepNext/>
      </w:pPr>
      <w:r>
        <w:rPr>
          <w:rFonts w:ascii="Aptos" w:hAnsi="Aptos"/>
          <w:b/>
          <w:i w:val="0"/>
          <w:color w:val="000000"/>
          <w:sz w:val="22"/>
        </w:rPr>
        <w:t>13. Language, electronic signature and entire undertaking</w:t>
      </w:r>
    </w:p>
    <w:p>
      <w:pPr>
        <w:keepLines w:val="0"/>
        <w:spacing w:after="120" w:line="259" w:lineRule="auto"/>
      </w:pPr>
      <w:r>
        <w:rPr>
          <w:color w:val="000000"/>
        </w:rPr>
        <w:t>This undertaking is executed in English and Spanish. The Spanish version prevails in the event of inconsistency. Electronic signatures and counterparts are valid. This document contains the entire confidentiality undertaking of the Recipient for the confidential opportunity and may be amended only in a writing authorized by the Protected Persons.</w:t>
      </w:r>
    </w:p>
    <w:p>
      <w:pPr>
        <w:pStyle w:val="Heading1"/>
        <w:pageBreakBefore w:val="0"/>
      </w:pPr>
      <w:r>
        <w:rPr>
          <w:rFonts w:ascii="Aptos Display" w:hAnsi="Aptos Display"/>
          <w:b/>
          <w:i w:val="0"/>
          <w:color w:val="000000"/>
          <w:sz w:val="28"/>
        </w:rPr>
        <w:t>Términos en Español</w:t>
      </w:r>
    </w:p>
    <w:p>
      <w:pPr>
        <w:pStyle w:val="ClauseHeading"/>
        <w:keepNext/>
      </w:pPr>
      <w:r>
        <w:rPr>
          <w:color w:val="000000"/>
        </w:rPr>
        <w:t>1. Personas protegidas y coordinación</w:t>
      </w:r>
    </w:p>
    <w:p>
      <w:pPr>
        <w:keepLines w:val="0"/>
        <w:spacing w:after="120" w:line="259" w:lineRule="auto"/>
      </w:pPr>
      <w:r>
        <w:rPr>
          <w:color w:val="000000"/>
        </w:rPr>
        <w:t>El Receptor otorga este compromiso en beneficio de los propietarios, personas de control, entidades y demás personas no reveladas vinculadas con la oportunidad confidencial, junto con sus representantes y asesores autorizados (las Personas Protegidas). Sus identidades permanecerán como Información Confidencial y únicamente podrán divulgarse posteriormente cuando exista autorización. Kevin Ricard actúa exclusivamente como Agente de Comercialización independiente que coordina el proceso de divulgación y no es vendedor, corredor inmobiliario, representante legal, abogado, notario, fiduciario ni agente de depósito en garantía.</w:t>
      </w:r>
    </w:p>
    <w:p>
      <w:pPr>
        <w:pStyle w:val="ClauseHeading"/>
        <w:keepNext/>
      </w:pPr>
      <w:r>
        <w:rPr>
          <w:rFonts w:ascii="Aptos" w:hAnsi="Aptos"/>
          <w:b/>
          <w:i w:val="0"/>
          <w:color w:val="000000"/>
          <w:sz w:val="22"/>
        </w:rPr>
        <w:t>2. Finalidad permitida</w:t>
      </w:r>
    </w:p>
    <w:p>
      <w:pPr>
        <w:keepLines w:val="0"/>
        <w:spacing w:after="120" w:line="259" w:lineRule="auto"/>
      </w:pPr>
      <w:r>
        <w:rPr>
          <w:color w:val="000000"/>
        </w:rPr>
        <w:t>El Receptor podrá utilizar la Información Confidencial únicamente para evaluar la oportunidad de negocio confidencial con sus propios asesores legales, fiscales y financieros (la Finalidad Permitida). El Receptor no utilizará la Información Confidencial para competir, solicitar clientes o personal, hacer publicidad, obtener una ventaja personal ni para cualquier otra finalidad.</w:t>
      </w:r>
    </w:p>
    <w:p>
      <w:pPr>
        <w:pStyle w:val="ClauseHeading"/>
        <w:keepNext/>
      </w:pPr>
      <w:r>
        <w:rPr>
          <w:color w:val="000000"/>
        </w:rPr>
        <w:t>3. Proceso de divulgación controlada</w:t>
      </w:r>
    </w:p>
    <w:p>
      <w:pPr>
        <w:keepLines w:val="0"/>
        <w:spacing w:after="120" w:line="259" w:lineRule="auto"/>
      </w:pPr>
      <w:r>
        <w:rPr>
          <w:color w:val="000000"/>
        </w:rPr>
        <w:t>Este compromiso intencionalmente no revela la identidad, ubicación, propiedad, estructura jurídica, activos ni estructura de la operación propuesta de la oportunidad confidencial. La información adicional será divulgada progresivamente y únicamente cuando las Personas Protegidas lo autoricen. Después de la firma de este compromiso y de confirmarse la autorización requerida, el Receptor podrá recibir acceso personal y revocable a una carpeta restringida de Google Drive que contenga fotografías, videos y otros materiales seleccionados y aprobados. El Receptor no reenviará el enlace de la carpeta, agregará usuarios, descargará, reproducirá, grabará la pantalla ni redistribuirá su contenido, salvo autorización expresa y por escrito. La información comercial, financiera, legal, de propiedad y relativa a la operación podrá ser proporcionada posteriormente y por etapas, sujeta a autorización y a requisitos adicionales de calificación, incluyendo identificación y evidencia de fondos disponibles o financiamiento.</w:t>
      </w:r>
    </w:p>
    <w:p>
      <w:pPr>
        <w:pStyle w:val="ClauseHeading"/>
        <w:keepNext/>
      </w:pPr>
      <w:r>
        <w:rPr>
          <w:rFonts w:ascii="Aptos" w:hAnsi="Aptos"/>
          <w:b/>
          <w:i w:val="0"/>
          <w:color w:val="000000"/>
          <w:sz w:val="22"/>
        </w:rPr>
        <w:t>4. Información Confidencial</w:t>
      </w:r>
    </w:p>
    <w:p>
      <w:pPr>
        <w:keepLines w:val="0"/>
        <w:spacing w:after="120" w:line="259" w:lineRule="auto"/>
      </w:pPr>
      <w:r>
        <w:rPr>
          <w:color w:val="000000"/>
        </w:rPr>
        <w:t>La Información Confidencial comprende toda información no pública divulgada antes o después de la firma, ya sea verbal, visual, electrónica o escrita, incluyendo:</w:t>
      </w:r>
    </w:p>
    <w:p>
      <w:pPr>
        <w:pStyle w:val="ListBullet"/>
        <w:spacing w:after="80" w:line="252" w:lineRule="auto"/>
        <w:ind w:left="374" w:hanging="202"/>
      </w:pPr>
      <w:r>
        <w:rPr>
          <w:color w:val="000000"/>
        </w:rPr>
        <w:t>la existencia, estado y condiciones de la oportunidad confidencial y todas las conversaciones o comunicaciones relacionadas;</w:t>
      </w:r>
    </w:p>
    <w:p>
      <w:pPr>
        <w:pStyle w:val="ListBullet"/>
        <w:spacing w:after="80" w:line="252" w:lineRule="auto"/>
        <w:ind w:left="374" w:hanging="202"/>
      </w:pPr>
      <w:r>
        <w:rPr>
          <w:color w:val="000000"/>
        </w:rPr>
        <w:t>la identidad y datos de contacto de las Personas Protegidas, así como la identidad, nombre, ubicación y datos de acceso de cualquier negocio, sitio o activo que se revele posteriormente;</w:t>
      </w:r>
    </w:p>
    <w:p>
      <w:pPr>
        <w:pStyle w:val="ListBullet"/>
        <w:spacing w:after="80" w:line="252" w:lineRule="auto"/>
        <w:ind w:left="374" w:hanging="202"/>
      </w:pPr>
      <w:r>
        <w:rPr>
          <w:color w:val="000000"/>
        </w:rPr>
        <w:t>fotografías, videos, recorridos virtuales, grabaciones, documentos y demás materiales compartidos mediante Google Drive o por cualquier otro medio aprobado;</w:t>
      </w:r>
    </w:p>
    <w:p>
      <w:pPr>
        <w:pStyle w:val="ListBullet"/>
        <w:spacing w:after="80" w:line="252" w:lineRule="auto"/>
        <w:ind w:left="374" w:hanging="202"/>
      </w:pPr>
      <w:r>
        <w:rPr>
          <w:color w:val="000000"/>
        </w:rPr>
        <w:t>información financiera, comercial, operativa, corporativa, fiscal, legal, contractual, técnica, de permisos, personal, clientes, proveedores y debida diligencia;</w:t>
      </w:r>
    </w:p>
    <w:p>
      <w:pPr>
        <w:pStyle w:val="ListBullet"/>
        <w:spacing w:after="80" w:line="252" w:lineRule="auto"/>
        <w:ind w:left="374" w:hanging="202"/>
      </w:pPr>
      <w:r>
        <w:rPr>
          <w:color w:val="000000"/>
        </w:rPr>
        <w:t>cualquier información relativa a la propiedad, posesión, derechos de uso, activos, pasivos o estructura jurídica y de la operación, cuando sea revelada posteriormente;</w:t>
      </w:r>
    </w:p>
    <w:p>
      <w:pPr>
        <w:pStyle w:val="ListBullet"/>
        <w:spacing w:after="80" w:line="252" w:lineRule="auto"/>
        <w:ind w:left="374" w:hanging="202"/>
      </w:pPr>
      <w:r>
        <w:rPr>
          <w:color w:val="000000"/>
        </w:rPr>
        <w:t>enlaces de carpetas, credenciales de acceso, permisos y la identidad o datos de contacto de prospectos, asesores, colaboradores y participantes de la operación; y</w:t>
      </w:r>
    </w:p>
    <w:p>
      <w:pPr>
        <w:pStyle w:val="ListBullet"/>
        <w:spacing w:after="80" w:line="252" w:lineRule="auto"/>
        <w:ind w:left="374" w:hanging="202"/>
      </w:pPr>
      <w:r>
        <w:rPr>
          <w:color w:val="000000"/>
        </w:rPr>
        <w:t>notas, análisis, capturas de pantalla, copias u otros materiales derivados de lo anterior.</w:t>
      </w:r>
    </w:p>
    <w:p>
      <w:pPr>
        <w:keepLines w:val="0"/>
        <w:spacing w:after="120" w:line="259" w:lineRule="auto"/>
      </w:pPr>
      <w:r>
        <w:rPr>
          <w:rFonts w:ascii="Aptos" w:hAnsi="Aptos"/>
          <w:b w:val="0"/>
          <w:i w:val="0"/>
          <w:color w:val="000000"/>
          <w:sz w:val="21"/>
        </w:rPr>
        <w:t>La Información Confidencial no incluye información que el Receptor pueda demostrar que se hizo pública lícitamente sin incumplimiento, que ya conocía lícitamente sin obligación de confidencialidad, que recibió lícitamente de un tercero sin restricciones o que desarrolló de manera independiente sin utilizar Información Confidencial.</w:t>
      </w:r>
    </w:p>
    <w:p>
      <w:pPr>
        <w:pStyle w:val="ClauseHeading"/>
        <w:keepNext/>
      </w:pPr>
      <w:r>
        <w:rPr>
          <w:rFonts w:ascii="Aptos" w:hAnsi="Aptos"/>
          <w:b/>
          <w:i w:val="0"/>
          <w:color w:val="000000"/>
          <w:sz w:val="22"/>
        </w:rPr>
        <w:t>5. No divulgación e integrantes del grupo</w:t>
      </w:r>
    </w:p>
    <w:p>
      <w:pPr>
        <w:keepLines w:val="0"/>
        <w:spacing w:after="120" w:line="259" w:lineRule="auto"/>
      </w:pPr>
      <w:r>
        <w:rPr>
          <w:color w:val="000000"/>
        </w:rPr>
        <w:t>El Receptor mantendrá la Información Confidencial en estricta confidencialidad y no la divulgará a ninguna otra persona, incluyendo a otro integrante de su empresa o grupo de inversión, salvo que dicha persona haya firmado por separado un compromiso de confidencialidad aprobado para este proceso o que las Personas Protegidas hayan autorizado la divulgación por escrito. El Receptor únicamente podrá revelar la información razonablemente necesaria a asesores profesionales que deban conocerla para la Finalidad Permitida y que estén sujetos a obligaciones de confidencialidad por lo menos igual de protectoras. El Receptor será responsable de toda divulgación o uso indebido por parte de cualquier persona a la que permita el acceso.</w:t>
      </w:r>
    </w:p>
    <w:p>
      <w:pPr>
        <w:pStyle w:val="ClauseHeading"/>
        <w:keepNext/>
      </w:pPr>
      <w:r>
        <w:rPr>
          <w:rFonts w:ascii="Aptos" w:hAnsi="Aptos"/>
          <w:b/>
          <w:i w:val="0"/>
          <w:color w:val="000000"/>
          <w:sz w:val="22"/>
        </w:rPr>
        <w:t>6. Visita y restricciones de contacto</w:t>
      </w:r>
    </w:p>
    <w:p>
      <w:pPr>
        <w:keepLines w:val="0"/>
        <w:spacing w:after="120" w:line="259" w:lineRule="auto"/>
      </w:pPr>
      <w:r>
        <w:rPr>
          <w:color w:val="000000"/>
        </w:rPr>
        <w:t>Sin la autorización previa y por escrito de las Personas Protegidas, el Receptor no fotografiará, filmará, grabará, transmitirá en vivo ni identificará públicamente ningún sitio, negocio, activo, ubicación, persona u operación revelada durante este proceso. El Receptor no contactará ni solicitará directamente a ningún propietario, empleado, huésped, proveedor, acreedor, autoridad u otra persona vinculada con la oportunidad confidencial. Las preguntas y comunicaciones se dirigirán por conducto de Kevin Ricard como Agente de Comercialización o de un asesor autorizado.</w:t>
      </w:r>
    </w:p>
    <w:p>
      <w:pPr>
        <w:pStyle w:val="ClauseHeading"/>
        <w:keepNext/>
      </w:pPr>
      <w:r>
        <w:rPr>
          <w:rFonts w:ascii="Aptos" w:hAnsi="Aptos"/>
          <w:b/>
          <w:i w:val="0"/>
          <w:color w:val="000000"/>
          <w:sz w:val="22"/>
        </w:rPr>
        <w:t>7. No elusión</w:t>
      </w:r>
    </w:p>
    <w:p>
      <w:pPr>
        <w:keepLines w:val="0"/>
        <w:spacing w:after="120" w:line="259" w:lineRule="auto"/>
      </w:pPr>
      <w:r>
        <w:rPr>
          <w:color w:val="000000"/>
        </w:rPr>
        <w:t>El Receptor no utilizará la Información Confidencial, el acceso a Google Drive ni las presentaciones realizadas durante este proceso para eludir a Kevin Ricard, a las Personas Protegidas o a sus asesores designados, ni para buscar una operación directa o separada relacionada con la oportunidad confidencial sin autorización previa y por escrito.</w:t>
      </w:r>
    </w:p>
    <w:p>
      <w:pPr>
        <w:pStyle w:val="ClauseHeading"/>
        <w:keepNext/>
      </w:pPr>
      <w:r>
        <w:rPr>
          <w:rFonts w:ascii="Aptos" w:hAnsi="Aptos"/>
          <w:b/>
          <w:i w:val="0"/>
          <w:color w:val="000000"/>
          <w:sz w:val="22"/>
        </w:rPr>
        <w:t>8. Ausencia de oferta, facultades o garantías</w:t>
      </w:r>
    </w:p>
    <w:p>
      <w:pPr>
        <w:keepLines w:val="0"/>
        <w:spacing w:after="120" w:line="259" w:lineRule="auto"/>
      </w:pPr>
      <w:r>
        <w:rPr>
          <w:color w:val="000000"/>
        </w:rPr>
        <w:t>La divulgación de información, el acceso a la carpeta de Google Drive, una visita o las conversaciones no constituyen oferta, promesa, reservación, contrato de compraventa ni obligación de continuar. Únicamente un contrato definitivo por escrito y firmado por las partes autorizadas podrá crear obligaciones relativas a la operación. Las Personas Protegidas podrán aceptar o rechazar cualquier propuesta, limitar o revocar el acceso y suspender las conversaciones en cualquier momento. Ni Kevin Ricard ni colaborador alguno podrán obligar a las Personas Protegidas. El Receptor realizará su propia debida diligencia y se basará únicamente en las declaraciones expresamente incluidas en un contrato definitivo firmado.</w:t>
      </w:r>
    </w:p>
    <w:p>
      <w:pPr>
        <w:pStyle w:val="ClauseHeading"/>
        <w:keepNext/>
      </w:pPr>
      <w:r>
        <w:rPr>
          <w:rFonts w:ascii="Aptos" w:hAnsi="Aptos"/>
          <w:b/>
          <w:i w:val="0"/>
          <w:color w:val="000000"/>
          <w:sz w:val="22"/>
        </w:rPr>
        <w:t>9. Devolución y destrucción</w:t>
      </w:r>
    </w:p>
    <w:p>
      <w:pPr>
        <w:keepLines w:val="0"/>
        <w:spacing w:after="120" w:line="259" w:lineRule="auto"/>
      </w:pPr>
      <w:r>
        <w:rPr>
          <w:rFonts w:ascii="Aptos" w:hAnsi="Aptos"/>
          <w:b w:val="0"/>
          <w:i w:val="0"/>
          <w:color w:val="000000"/>
          <w:sz w:val="21"/>
        </w:rPr>
        <w:t>A solicitud escrita o al concluir las conversaciones, el Receptor dejará inmediatamente de utilizar la Información Confidencial y, dentro de cinco días hábiles, devolverá o destruirá permanentemente todas las copias y materiales derivados, salvo una copia de archivo que el asesor legal pueda conservar únicamente cuando así lo exija la ley o sus normas profesionales. Si se solicita, el Receptor confirmará por escrito el cumplimiento.</w:t>
      </w:r>
    </w:p>
    <w:p>
      <w:pPr>
        <w:pStyle w:val="ClauseHeading"/>
        <w:keepNext/>
      </w:pPr>
      <w:r>
        <w:rPr>
          <w:rFonts w:ascii="Aptos" w:hAnsi="Aptos"/>
          <w:b/>
          <w:i w:val="0"/>
          <w:color w:val="000000"/>
          <w:sz w:val="22"/>
        </w:rPr>
        <w:t>10. Divulgación obligatoria</w:t>
      </w:r>
    </w:p>
    <w:p>
      <w:pPr>
        <w:keepLines w:val="0"/>
        <w:spacing w:after="120" w:line="259" w:lineRule="auto"/>
      </w:pPr>
      <w:r>
        <w:rPr>
          <w:color w:val="000000"/>
        </w:rPr>
        <w:t>Si una ley, reglamento u orden obligatoria exige una divulgación, el Receptor, en la medida permitida legalmente, notificará de inmediato a las Personas Protegidas por conducto del Agente de Comercialización, colaborará para obtener medidas de protección y divulgará únicamente la información mínima exigida legalmente.</w:t>
      </w:r>
    </w:p>
    <w:p>
      <w:pPr>
        <w:pStyle w:val="ClauseHeading"/>
        <w:keepNext/>
      </w:pPr>
      <w:r>
        <w:rPr>
          <w:rFonts w:ascii="Aptos" w:hAnsi="Aptos"/>
          <w:b/>
          <w:i w:val="0"/>
          <w:color w:val="000000"/>
          <w:sz w:val="22"/>
        </w:rPr>
        <w:t>11. Vigencia y remedios</w:t>
      </w:r>
    </w:p>
    <w:p>
      <w:pPr>
        <w:keepLines w:val="0"/>
        <w:spacing w:after="120" w:line="259" w:lineRule="auto"/>
      </w:pPr>
      <w:r>
        <w:rPr>
          <w:rFonts w:ascii="Aptos" w:hAnsi="Aptos"/>
          <w:b w:val="0"/>
          <w:i w:val="0"/>
          <w:color w:val="000000"/>
          <w:sz w:val="21"/>
        </w:rPr>
        <w:t>Estas obligaciones continuarán durante tres años a partir de la firma. Las obligaciones relativas a secretos comerciales, datos personales e información protegida durante un plazo mayor por la ley aplicable continuarán mientras subsista dicha protección. El Receptor reconoce que una divulgación o uso no autorizado podrá causar daños irreparables para los cuales una indemnización resulte insuficiente y que las personas protegidas podrán solicitar medidas cautelares, daños y cualesquiera otros remedios disponibles conforme a derecho.</w:t>
      </w:r>
    </w:p>
    <w:p>
      <w:pPr>
        <w:pStyle w:val="ClauseHeading"/>
        <w:keepNext/>
      </w:pPr>
      <w:r>
        <w:rPr>
          <w:rFonts w:ascii="Aptos" w:hAnsi="Aptos"/>
          <w:b/>
          <w:i w:val="0"/>
          <w:color w:val="000000"/>
          <w:sz w:val="22"/>
        </w:rPr>
        <w:t>12. Ley aplicable y controversias</w:t>
      </w:r>
    </w:p>
    <w:p>
      <w:pPr>
        <w:keepLines w:val="0"/>
        <w:spacing w:after="120" w:line="259" w:lineRule="auto"/>
      </w:pPr>
      <w:r>
        <w:rPr>
          <w:color w:val="000000"/>
        </w:rPr>
        <w:t>Este compromiso se regirá por las leyes del Estado de Quintana Roo y las leyes federales aplicables de México. Antes de presentar una reclamación, las partes intentarán de buena fe resolverla durante treinta días. Sujeto a la legislación imperativa, serán competentes los tribunales de Quintana Roo.</w:t>
      </w:r>
    </w:p>
    <w:p>
      <w:pPr>
        <w:pStyle w:val="ClauseHeading"/>
        <w:keepNext/>
      </w:pPr>
      <w:r>
        <w:rPr>
          <w:rFonts w:ascii="Aptos" w:hAnsi="Aptos"/>
          <w:b/>
          <w:i w:val="0"/>
          <w:color w:val="000000"/>
          <w:sz w:val="22"/>
        </w:rPr>
        <w:t>13. Idioma, firma electrónica y totalidad del compromiso</w:t>
      </w:r>
    </w:p>
    <w:p>
      <w:pPr>
        <w:keepLines w:val="0"/>
        <w:spacing w:after="120" w:line="259" w:lineRule="auto"/>
      </w:pPr>
      <w:r>
        <w:rPr>
          <w:color w:val="000000"/>
        </w:rPr>
        <w:t>Este compromiso se celebra en español e inglés. En caso de discrepancia, prevalecerá la versión en español. Las firmas electrónicas y los ejemplares separados serán válidos. Este documento contiene la totalidad del compromiso de confidencialidad del Receptor respecto de la oportunidad confidencial y solamente podrá modificarse mediante escrito autorizado por las Personas Protegidas.</w:t>
      </w:r>
    </w:p>
    <w:p>
      <w:pPr>
        <w:pStyle w:val="Heading1"/>
      </w:pPr>
      <w:r>
        <w:rPr>
          <w:rFonts w:ascii="Aptos Display" w:hAnsi="Aptos Display"/>
          <w:b/>
          <w:i w:val="0"/>
          <w:color w:val="000000"/>
          <w:sz w:val="28"/>
        </w:rPr>
        <w:t>Acceptance and Signature  Aceptación y Firma</w:t>
      </w:r>
    </w:p>
    <w:p>
      <w:pPr>
        <w:keepLines w:val="0"/>
        <w:spacing w:after="120" w:line="259" w:lineRule="auto"/>
      </w:pPr>
      <w:r>
        <w:rPr>
          <w:rFonts w:ascii="Aptos" w:hAnsi="Aptos"/>
          <w:b w:val="0"/>
          <w:i w:val="0"/>
          <w:color w:val="000000"/>
          <w:sz w:val="21"/>
        </w:rPr>
        <w:t>The Recipient confirms having read and understood both language versions, having had the opportunity to obtain independent legal advice, and agreeing to be personally bound by this undertaking.</w:t>
      </w:r>
    </w:p>
    <w:p>
      <w:pPr>
        <w:keepLines w:val="0"/>
        <w:spacing w:after="120" w:line="259" w:lineRule="auto"/>
      </w:pPr>
      <w:r>
        <w:rPr>
          <w:rFonts w:ascii="Aptos" w:hAnsi="Aptos"/>
          <w:b w:val="0"/>
          <w:i w:val="0"/>
          <w:color w:val="000000"/>
          <w:sz w:val="21"/>
        </w:rPr>
        <w:t>El Receptor confirma haber leído y comprendido ambas versiones, haber tenido la oportunidad de obtener asesoría legal independiente y aceptar quedar obligado personalmente por este compromiso.</w:t>
      </w:r>
    </w:p>
    <w:tbl>
      <w:tblPr>
        <w:tblW w:type="auto" w:w="0"/>
        <w:jc w:val="center"/>
        <w:tblLayout w:type="fixed"/>
        <w:tblLook w:firstColumn="1" w:firstRow="1" w:lastColumn="0" w:lastRow="0" w:noHBand="0" w:noVBand="1" w:val="04A0"/>
      </w:tblPr>
      <w:tblGrid>
        <w:gridCol w:w="3816"/>
        <w:gridCol w:w="5688"/>
      </w:tblGrid>
      <w:tr>
        <w:trPr>
          <w:cantSplit/>
        </w:trPr>
        <w:tc>
          <w:tcPr>
            <w:tcW w:type="dxa" w:w="3816"/>
            <w:tcBorders>
              <w:top w:val="single" w:sz="8" w:color="D9D9D9"/>
              <w:left w:val="single" w:sz="8" w:color="D9D9D9"/>
              <w:bottom w:val="single" w:sz="8" w:color="D9D9D9"/>
              <w:right w:val="single" w:sz="8" w:color="D9D9D9"/>
              <w:insideH w:val="single" w:sz="8" w:color="D9D9D9"/>
              <w:insideV w:val="single" w:sz="8" w:color="D9D9D9"/>
            </w:tcBorders>
            <w:tcMar>
              <w:top w:w="160" w:type="dxa"/>
              <w:start w:w="120" w:type="dxa"/>
              <w:bottom w:w="160" w:type="dxa"/>
              <w:end w:w="120" w:type="dxa"/>
            </w:tcMar>
            <w:vAlign w:val="center"/>
          </w:tcPr>
          <w:p>
            <w:r/>
            <w:r>
              <w:rPr>
                <w:rFonts w:ascii="Aptos" w:hAnsi="Aptos"/>
                <w:b/>
                <w:i w:val="0"/>
                <w:color w:val="000000"/>
                <w:sz w:val="19"/>
              </w:rPr>
              <w:t>Recipient full legal name / Nombre legal completo</w:t>
            </w:r>
          </w:p>
        </w:tc>
        <w:tc>
          <w:tcPr>
            <w:tcW w:type="dxa" w:w="5688"/>
            <w:tcBorders>
              <w:top w:val="single" w:sz="8" w:color="D9D9D9"/>
              <w:left w:val="single" w:sz="8" w:color="D9D9D9"/>
              <w:bottom w:val="single" w:sz="8" w:color="D9D9D9"/>
              <w:right w:val="single" w:sz="8" w:color="D9D9D9"/>
              <w:insideH w:val="single" w:sz="8" w:color="D9D9D9"/>
              <w:insideV w:val="single" w:sz="8" w:color="D9D9D9"/>
            </w:tcBorders>
            <w:tcMar>
              <w:top w:w="160" w:type="dxa"/>
              <w:start w:w="120" w:type="dxa"/>
              <w:bottom w:w="160" w:type="dxa"/>
              <w:end w:w="120" w:type="dxa"/>
            </w:tcMar>
            <w:vAlign w:val="center"/>
          </w:tcPr>
          <w:p>
            <w:r/>
            <w:sdt>
              <w:sdtPr>
                <w:tag w:val="SIGNATORY_NAME"/>
                <w:alias w:val="SIGNATORY_NAME"/>
                <w:text/>
              </w:sdtPr>
              <w:sdtContent>
                <w:r>
                  <w:rPr>
                    <w:rFonts w:ascii="Aptos" w:hAnsi="Aptos"/>
                    <w:b w:val="0"/>
                    <w:i w:val="0"/>
                    <w:color w:val="000000"/>
                    <w:sz w:val="19"/>
                  </w:rPr>
                  <w:t/>
                </w:r>
              </w:sdtContent>
            </w:sdt>
          </w:p>
        </w:tc>
      </w:tr>
      <w:tr>
        <w:trPr>
          <w:cantSplit/>
        </w:trPr>
        <w:tc>
          <w:tcPr>
            <w:tcW w:type="dxa" w:w="3816"/>
            <w:tcBorders>
              <w:top w:val="single" w:sz="8" w:color="D9D9D9"/>
              <w:left w:val="single" w:sz="8" w:color="D9D9D9"/>
              <w:bottom w:val="single" w:sz="8" w:color="D9D9D9"/>
              <w:right w:val="single" w:sz="8" w:color="D9D9D9"/>
              <w:insideH w:val="single" w:sz="8" w:color="D9D9D9"/>
              <w:insideV w:val="single" w:sz="8" w:color="D9D9D9"/>
            </w:tcBorders>
            <w:tcMar>
              <w:top w:w="160" w:type="dxa"/>
              <w:start w:w="120" w:type="dxa"/>
              <w:bottom w:w="160" w:type="dxa"/>
              <w:end w:w="120" w:type="dxa"/>
            </w:tcMar>
            <w:vAlign w:val="center"/>
            <w:shd w:fill="F2F2F2"/>
          </w:tcPr>
          <w:p>
            <w:r/>
            <w:r>
              <w:rPr>
                <w:rFonts w:ascii="Aptos" w:hAnsi="Aptos"/>
                <w:b/>
                <w:i w:val="0"/>
                <w:color w:val="000000"/>
                <w:sz w:val="19"/>
              </w:rPr>
              <w:t>Signature / Firma</w:t>
            </w:r>
          </w:p>
        </w:tc>
        <w:tc>
          <w:tcPr>
            <w:tcW w:type="dxa" w:w="5688"/>
            <w:tcBorders>
              <w:top w:val="single" w:sz="8" w:color="D9D9D9"/>
              <w:left w:val="single" w:sz="8" w:color="D9D9D9"/>
              <w:bottom w:val="single" w:sz="8" w:color="D9D9D9"/>
              <w:right w:val="single" w:sz="8" w:color="D9D9D9"/>
              <w:insideH w:val="single" w:sz="8" w:color="D9D9D9"/>
              <w:insideV w:val="single" w:sz="8" w:color="D9D9D9"/>
            </w:tcBorders>
            <w:tcMar>
              <w:top w:w="160" w:type="dxa"/>
              <w:start w:w="120" w:type="dxa"/>
              <w:bottom w:w="160" w:type="dxa"/>
              <w:end w:w="120" w:type="dxa"/>
            </w:tcMar>
            <w:vAlign w:val="center"/>
            <w:shd w:fill="F2F2F2"/>
          </w:tcPr>
          <w:p>
            <w:r/>
            <w:sdt>
              <w:sdtPr>
                <w:tag w:val="SIGNATURE"/>
                <w:alias w:val="SIGNATURE"/>
                <w:text/>
              </w:sdtPr>
              <w:sdtContent>
                <w:r>
                  <w:rPr>
                    <w:rFonts w:ascii="Aptos" w:hAnsi="Aptos"/>
                    <w:b w:val="0"/>
                    <w:i w:val="0"/>
                    <w:color w:val="000000"/>
                    <w:sz w:val="19"/>
                  </w:rPr>
                  <w:t/>
                </w:r>
              </w:sdtContent>
            </w:sdt>
          </w:p>
        </w:tc>
      </w:tr>
      <w:tr>
        <w:trPr>
          <w:cantSplit/>
        </w:trPr>
        <w:tc>
          <w:tcPr>
            <w:tcW w:type="dxa" w:w="3816"/>
            <w:tcBorders>
              <w:top w:val="single" w:sz="8" w:color="D9D9D9"/>
              <w:left w:val="single" w:sz="8" w:color="D9D9D9"/>
              <w:bottom w:val="single" w:sz="8" w:color="D9D9D9"/>
              <w:right w:val="single" w:sz="8" w:color="D9D9D9"/>
              <w:insideH w:val="single" w:sz="8" w:color="D9D9D9"/>
              <w:insideV w:val="single" w:sz="8" w:color="D9D9D9"/>
            </w:tcBorders>
            <w:tcMar>
              <w:top w:w="160" w:type="dxa"/>
              <w:start w:w="120" w:type="dxa"/>
              <w:bottom w:w="160" w:type="dxa"/>
              <w:end w:w="120" w:type="dxa"/>
            </w:tcMar>
            <w:vAlign w:val="center"/>
          </w:tcPr>
          <w:p>
            <w:r/>
            <w:r>
              <w:rPr>
                <w:rFonts w:ascii="Aptos" w:hAnsi="Aptos"/>
                <w:b/>
                <w:i w:val="0"/>
                <w:color w:val="000000"/>
                <w:sz w:val="19"/>
              </w:rPr>
              <w:t>Date / Fecha</w:t>
            </w:r>
          </w:p>
        </w:tc>
        <w:tc>
          <w:tcPr>
            <w:tcW w:type="dxa" w:w="5688"/>
            <w:tcBorders>
              <w:top w:val="single" w:sz="8" w:color="D9D9D9"/>
              <w:left w:val="single" w:sz="8" w:color="D9D9D9"/>
              <w:bottom w:val="single" w:sz="8" w:color="D9D9D9"/>
              <w:right w:val="single" w:sz="8" w:color="D9D9D9"/>
              <w:insideH w:val="single" w:sz="8" w:color="D9D9D9"/>
              <w:insideV w:val="single" w:sz="8" w:color="D9D9D9"/>
            </w:tcBorders>
            <w:tcMar>
              <w:top w:w="160" w:type="dxa"/>
              <w:start w:w="120" w:type="dxa"/>
              <w:bottom w:w="160" w:type="dxa"/>
              <w:end w:w="120" w:type="dxa"/>
            </w:tcMar>
            <w:vAlign w:val="center"/>
          </w:tcPr>
          <w:p>
            <w:r/>
            <w:sdt>
              <w:sdtPr>
                <w:tag w:val="SIGNATURE_DATE"/>
                <w:alias w:val="SIGNATURE_DATE"/>
                <w:text/>
              </w:sdtPr>
              <w:sdtContent>
                <w:r>
                  <w:rPr>
                    <w:rFonts w:ascii="Aptos" w:hAnsi="Aptos"/>
                    <w:b w:val="0"/>
                    <w:i w:val="0"/>
                    <w:color w:val="000000"/>
                    <w:sz w:val="19"/>
                  </w:rPr>
                  <w:t/>
                </w:r>
              </w:sdtContent>
            </w:sdt>
          </w:p>
        </w:tc>
      </w:tr>
      <w:tr>
        <w:trPr>
          <w:cantSplit/>
        </w:trPr>
        <w:tc>
          <w:tcPr>
            <w:tcW w:type="dxa" w:w="3816"/>
            <w:tcBorders>
              <w:top w:val="single" w:sz="8" w:color="D9D9D9"/>
              <w:left w:val="single" w:sz="8" w:color="D9D9D9"/>
              <w:bottom w:val="single" w:sz="8" w:color="D9D9D9"/>
              <w:right w:val="single" w:sz="8" w:color="D9D9D9"/>
              <w:insideH w:val="single" w:sz="8" w:color="D9D9D9"/>
              <w:insideV w:val="single" w:sz="8" w:color="D9D9D9"/>
            </w:tcBorders>
            <w:tcMar>
              <w:top w:w="160" w:type="dxa"/>
              <w:start w:w="120" w:type="dxa"/>
              <w:bottom w:w="160" w:type="dxa"/>
              <w:end w:w="120" w:type="dxa"/>
            </w:tcMar>
            <w:vAlign w:val="center"/>
            <w:shd w:fill="F2F2F2"/>
          </w:tcPr>
          <w:p>
            <w:r/>
            <w:r>
              <w:rPr>
                <w:rFonts w:ascii="Aptos" w:hAnsi="Aptos"/>
                <w:b/>
                <w:i w:val="0"/>
                <w:color w:val="000000"/>
                <w:sz w:val="19"/>
              </w:rPr>
              <w:t>Place of signature / Lugar de firma</w:t>
            </w:r>
          </w:p>
        </w:tc>
        <w:tc>
          <w:tcPr>
            <w:tcW w:type="dxa" w:w="5688"/>
            <w:tcBorders>
              <w:top w:val="single" w:sz="8" w:color="D9D9D9"/>
              <w:left w:val="single" w:sz="8" w:color="D9D9D9"/>
              <w:bottom w:val="single" w:sz="8" w:color="D9D9D9"/>
              <w:right w:val="single" w:sz="8" w:color="D9D9D9"/>
              <w:insideH w:val="single" w:sz="8" w:color="D9D9D9"/>
              <w:insideV w:val="single" w:sz="8" w:color="D9D9D9"/>
            </w:tcBorders>
            <w:tcMar>
              <w:top w:w="160" w:type="dxa"/>
              <w:start w:w="120" w:type="dxa"/>
              <w:bottom w:w="160" w:type="dxa"/>
              <w:end w:w="120" w:type="dxa"/>
            </w:tcMar>
            <w:vAlign w:val="center"/>
            <w:shd w:fill="F2F2F2"/>
          </w:tcPr>
          <w:p>
            <w:r/>
            <w:sdt>
              <w:sdtPr>
                <w:tag w:val="SIGNATURE_PLACE"/>
                <w:alias w:val="SIGNATURE_PLACE"/>
                <w:text/>
              </w:sdtPr>
              <w:sdtContent>
                <w:r>
                  <w:rPr>
                    <w:rFonts w:ascii="Aptos" w:hAnsi="Aptos"/>
                    <w:b w:val="0"/>
                    <w:i w:val="0"/>
                    <w:color w:val="000000"/>
                    <w:sz w:val="19"/>
                  </w:rPr>
                  <w:t/>
                </w:r>
              </w:sdtContent>
            </w:sdt>
          </w:p>
        </w:tc>
      </w:tr>
    </w:tbl>
    <w:p>
      <w:pPr>
        <w:keepLines w:val="0"/>
        <w:spacing w:after="120" w:line="259" w:lineRule="auto"/>
      </w:pPr>
      <w:r>
        <w:rPr>
          <w:color w:val="000000"/>
        </w:rPr>
        <w:t>If the Recipient is participating through a company or investment group, this signature binds the individual Recipient. It does not authorize disclosure to other members of that company or group unless they have separately signed or the Protected Persons have authorized the disclosure in writing.</w:t>
      </w:r>
    </w:p>
    <w:p>
      <w:pPr>
        <w:keepLines w:val="0"/>
        <w:spacing w:after="120" w:line="259" w:lineRule="auto"/>
      </w:pPr>
      <w:r>
        <w:rPr>
          <w:color w:val="000000"/>
        </w:rPr>
        <w:t>Si el Receptor participa por medio de una empresa o grupo de inversión, esta firma obliga individualmente al Receptor. No autoriza la divulgación a otros integrantes de la empresa o grupo, salvo que hayan firmado por separado o que las Personas Protegidas hayan autorizado la divulgación por escrito.</w:t>
      </w:r>
    </w:p>
    <w:sectPr w:rsidR="00FC693F" w:rsidRPr="0006063C" w:rsidSect="00034616">
      <w:footerReference w:type="default" r:id="rId9"/>
      <w:pgSz w:w="12240" w:h="15840"/>
      <w:pgMar w:top="792" w:right="1181" w:bottom="864"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000000"/>
        <w:sz w:val="17"/>
      </w:rPr>
      <w:t xml:space="preserve">Recipient initials / Iniciales del Receptor: </w:t>
    </w:r>
    <w:sdt>
      <w:sdtPr>
        <w:tag w:val="RECIPIENT_INITIALS"/>
        <w:alias w:val="RECIPIENT_INITIALS"/>
        <w:text/>
      </w:sdtPr>
      <w:sdtContent>
        <w:r>
          <w:rPr>
            <w:rFonts w:ascii="Aptos" w:hAnsi="Aptos"/>
            <w:b w:val="0"/>
            <w:i w:val="0"/>
            <w:color w:val="000000"/>
            <w:sz w:val="17"/>
          </w:rPr>
          <w:t/>
        </w:r>
      </w:sdtContent>
    </w:sdt>
    <w:r>
      <w:rPr>
        <w:rFonts w:ascii="Aptos" w:hAnsi="Aptos"/>
        <w:b w:val="0"/>
        <w:i w:val="0"/>
        <w:color w:val="000000"/>
        <w:sz w:val="17"/>
      </w:rPr>
      <w:t xml:space="preserve">     |     Page / Página </w:t>
    </w:r>
    <w:r>
      <w:rPr>
        <w:rFonts w:ascii="Aptos" w:hAnsi="Aptos"/>
        <w:b w:val="0"/>
        <w:i w:val="0"/>
        <w:color w:val="000000"/>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Heading">
    <w:name w:val="Clause Heading"/>
    <w:pPr>
      <w:spacing w:before="180" w:after="60"/>
    </w:pPr>
    <w:rPr>
      <w:rFonts w:ascii="Aptos Display" w:hAnsi="Aptos Display"/>
      <w:b/>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Confidentiality and Non Disclosure Undertaking</dc:title>
  <dc:subject>Confidential business opportunity</dc:subject>
  <dc:creator>Kevin Ricard</dc:creator>
  <cp:keywords>confidentiality, NDA, prospective buyer, marketing agent</cp:keywords>
  <dc:description>generated by python-docx</dc:description>
  <cp:lastModifiedBy/>
  <cp:revision>1</cp:revision>
  <dcterms:created xsi:type="dcterms:W3CDTF">2013-12-23T23:15:00Z</dcterms:created>
  <dcterms:modified xsi:type="dcterms:W3CDTF">2013-12-23T23:15:00Z</dcterms:modified>
  <cp:category/>
</cp:coreProperties>
</file>