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800"/>
        <w:jc w:val="center"/>
      </w:pPr>
      <w:r>
        <w:rPr>
          <w:rFonts w:ascii="Arial" w:cs="Arial" w:eastAsia="Arial" w:hAnsi="Arial"/>
          <w:b/>
          <w:bCs/>
          <w:color w:val="1B2A4A"/>
          <w:sz w:val="48"/>
          <w:szCs w:val="48"/>
        </w:rPr>
        <w:t xml:space="preserve">SableAssent Coin Corporation</w:t>
      </w:r>
    </w:p>
    <w:p>
      <w:pPr>
        <w:spacing w:after="80" w:before="0"/>
        <w:jc w:val="center"/>
      </w:pPr>
      <w:r>
        <w:rPr>
          <w:rFonts w:ascii="Arial" w:cs="Arial" w:eastAsia="Arial" w:hAnsi="Arial"/>
          <w:b/>
          <w:bCs/>
          <w:color w:val="C8A84A"/>
          <w:sz w:val="36"/>
          <w:szCs w:val="36"/>
        </w:rPr>
        <w:t xml:space="preserve">Terms of Service</w:t>
      </w:r>
    </w:p>
    <w:p>
      <w:pPr>
        <w:spacing w:after="60" w:before="0"/>
        <w:jc w:val="center"/>
      </w:pPr>
      <w:r>
        <w:rPr>
          <w:rFonts w:ascii="Arial" w:cs="Arial" w:eastAsia="Arial" w:hAnsi="Arial"/>
          <w:color w:val="5D6D7E"/>
          <w:sz w:val="22"/>
          <w:szCs w:val="22"/>
        </w:rPr>
        <w:t xml:space="preserve">sac1gov.com  |  ourfrontdeskai.com  |  sableassent.com</w:t>
      </w:r>
    </w:p>
    <w:p>
      <w:pPr>
        <w:spacing w:after="60" w:before="0"/>
        <w:jc w:val="center"/>
      </w:pPr>
      <w:r>
        <w:rPr>
          <w:rFonts w:ascii="Arial" w:cs="Arial" w:eastAsia="Arial" w:hAnsi="Arial"/>
          <w:color w:val="5D6D7E"/>
          <w:sz w:val="20"/>
          <w:szCs w:val="20"/>
        </w:rPr>
        <w:t xml:space="preserve">Effective Date: June 2026  |  Version 1.0</w:t>
      </w:r>
    </w:p>
    <w:p>
      <w:pPr>
        <w:pBdr>
          <w:bottom w:val="single" w:color="C8A84A" w:sz="6" w:space="1"/>
        </w:pBdr>
        <w:spacing w:after="160" w:before="1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c>
          <w:tcPr>
            <w:tcW w:type="dxa" w:w="480"/>
            <w:tcBorders>
              <w:top w:val="single" w:color="D68910" w:sz="1"/>
              <w:left w:val="single" w:color="D68910" w:sz="1"/>
              <w:bottom w:val="single" w:color="D68910" w:sz="1"/>
              <w:right w:val="single" w:color="D68910" w:sz="1"/>
            </w:tcBorders>
            <w:shd w:fill="FEF9E7" w:val="clear"/>
            <w:tcMar>
              <w:top w:type="dxa" w:w="100"/>
              <w:left w:type="dxa" w:w="120"/>
              <w:bottom w:type="dxa" w:w="100"/>
              <w:right w:type="dxa" w:w="80"/>
            </w:tcMar>
            <w:vAlign w:val="center"/>
          </w:tcPr>
          <w:p>
            <w:pPr>
              <w:jc w:val="center"/>
            </w:pPr>
            <w:r>
              <w:rPr>
                <w:rFonts w:ascii="Arial" w:cs="Arial" w:eastAsia="Arial" w:hAnsi="Arial"/>
                <w:color w:val="D68910"/>
                <w:sz w:val="24"/>
                <w:szCs w:val="24"/>
              </w:rPr>
              <w:t xml:space="preserve">⚠</w:t>
            </w:r>
          </w:p>
        </w:tc>
        <w:tc>
          <w:tcPr>
            <w:tcW w:type="dxa" w:w="8880"/>
            <w:tcBorders>
              <w:top w:val="single" w:color="D68910" w:sz="1"/>
              <w:left w:val="single" w:color="D68910" w:sz="1"/>
              <w:bottom w:val="single" w:color="D68910" w:sz="1"/>
              <w:right w:val="single" w:color="D68910" w:sz="1"/>
            </w:tcBorders>
            <w:shd w:fill="FEF9E7" w:val="clear"/>
            <w:tcMar>
              <w:top w:type="dxa" w:w="100"/>
              <w:left w:type="dxa" w:w="160"/>
              <w:bottom w:type="dxa" w:w="100"/>
              <w:right w:type="dxa" w:w="120"/>
            </w:tcMar>
          </w:tcPr>
          <w:p>
            <w:r>
              <w:rPr>
                <w:rFonts w:ascii="Arial" w:cs="Arial" w:eastAsia="Arial" w:hAnsi="Arial"/>
                <w:color w:val="1A1A1A"/>
                <w:sz w:val="21"/>
                <w:szCs w:val="21"/>
              </w:rPr>
              <w:t xml:space="preserve">PLEASE READ THESE TERMS CAREFULLY. By accessing or using any SableAssent platform, purchasing SAC1 tokens, or subscribing to any SableAssent service, you agree to be bound by these Terms of Service. If you do not agree, do not use our services.</w:t>
            </w:r>
          </w:p>
        </w:tc>
      </w:tr>
    </w:tbl>
    <w:p>
      <w:pPr>
        <w:spacing w:after="40" w:before="40"/>
      </w:pPr>
      <w:r>
        <w:rPr>
          <w:sz w:val="20"/>
          <w:szCs w:val="20"/>
        </w:rPr>
        <w:t xml:space="preserve"/>
      </w:r>
    </w:p>
    <w:p>
      <w:r>
        <w:br w:type="page"/>
      </w:r>
    </w:p>
    <w:p>
      <w:pPr>
        <w:pStyle w:val="Heading1"/>
        <w:spacing w:after="120" w:before="360"/>
      </w:pPr>
      <w:r>
        <w:rPr>
          <w:rFonts w:ascii="Arial" w:cs="Arial" w:eastAsia="Arial" w:hAnsi="Arial"/>
          <w:b/>
          <w:bCs/>
          <w:color w:val="1B2A4A"/>
          <w:sz w:val="32"/>
          <w:szCs w:val="32"/>
        </w:rPr>
        <w:t xml:space="preserve">1. Acceptance of Terms &amp; Eligibility</w:t>
      </w:r>
    </w:p>
    <w:p>
      <w:pPr>
        <w:spacing w:after="80" w:before="60"/>
      </w:pPr>
      <w:r>
        <w:rPr>
          <w:rFonts w:ascii="Arial" w:cs="Arial" w:eastAsia="Arial" w:hAnsi="Arial"/>
          <w:color w:val="1A1A1A"/>
          <w:sz w:val="22"/>
          <w:szCs w:val="22"/>
        </w:rPr>
        <w:t xml:space="preserve">These Terms of Service ("Terms") govern your use of SableAssent Coin Corporation's platforms, products, and services including SAC1 governance memberships, SAC1 token purchases, cross-border remittance services, and FrontDesk AI.</w:t>
      </w:r>
    </w:p>
    <w:p>
      <w:pPr>
        <w:spacing w:after="40" w:before="40"/>
      </w:pPr>
      <w:r>
        <w:rPr>
          <w:sz w:val="20"/>
          <w:szCs w:val="20"/>
        </w:rPr>
        <w:t xml:space="preserve"/>
      </w:r>
    </w:p>
    <w:p>
      <w:pPr>
        <w:pStyle w:val="Heading2"/>
        <w:pBdr>
          <w:bottom w:val="single" w:color="C8A84A" w:sz="4" w:space="4"/>
        </w:pBdr>
        <w:spacing w:after="100" w:before="280"/>
      </w:pPr>
      <w:r>
        <w:rPr>
          <w:rFonts w:ascii="Arial" w:cs="Arial" w:eastAsia="Arial" w:hAnsi="Arial"/>
          <w:b/>
          <w:bCs/>
          <w:color w:val="2E5FA3"/>
          <w:sz w:val="26"/>
          <w:szCs w:val="26"/>
        </w:rPr>
        <w:t xml:space="preserve">1.1 Eligibility</w:t>
      </w:r>
    </w:p>
    <w:p>
      <w:pPr>
        <w:pStyle w:val="ListParagraph"/>
        <w:numPr>
          <w:ilvl w:val="0"/>
          <w:numId w:val="2"/>
        </w:numPr>
        <w:spacing w:after="40" w:before="40"/>
      </w:pPr>
      <w:r>
        <w:rPr>
          <w:rFonts w:ascii="Arial" w:cs="Arial" w:eastAsia="Arial" w:hAnsi="Arial"/>
          <w:color w:val="1A1A1A"/>
          <w:sz w:val="22"/>
          <w:szCs w:val="22"/>
        </w:rPr>
        <w:t xml:space="preserve">You must be at least 18 years old (or the legal age of majority in your jurisdiction)</w:t>
      </w:r>
    </w:p>
    <w:p>
      <w:pPr>
        <w:pStyle w:val="ListParagraph"/>
        <w:numPr>
          <w:ilvl w:val="0"/>
          <w:numId w:val="2"/>
        </w:numPr>
        <w:spacing w:after="40" w:before="40"/>
      </w:pPr>
      <w:r>
        <w:rPr>
          <w:rFonts w:ascii="Arial" w:cs="Arial" w:eastAsia="Arial" w:hAnsi="Arial"/>
          <w:color w:val="1A1A1A"/>
          <w:sz w:val="22"/>
          <w:szCs w:val="22"/>
        </w:rPr>
        <w:t xml:space="preserve">You must not be a resident of a sanctioned country (OFAC list)</w:t>
      </w:r>
    </w:p>
    <w:p>
      <w:pPr>
        <w:pStyle w:val="ListParagraph"/>
        <w:numPr>
          <w:ilvl w:val="0"/>
          <w:numId w:val="2"/>
        </w:numPr>
        <w:spacing w:after="40" w:before="40"/>
      </w:pPr>
      <w:r>
        <w:rPr>
          <w:rFonts w:ascii="Arial" w:cs="Arial" w:eastAsia="Arial" w:hAnsi="Arial"/>
          <w:color w:val="1A1A1A"/>
          <w:sz w:val="22"/>
          <w:szCs w:val="22"/>
        </w:rPr>
        <w:t xml:space="preserve">You must not be a Politically Exposed Person (PEP) without completing enhanced due diligence</w:t>
      </w:r>
    </w:p>
    <w:p>
      <w:pPr>
        <w:pStyle w:val="ListParagraph"/>
        <w:numPr>
          <w:ilvl w:val="0"/>
          <w:numId w:val="2"/>
        </w:numPr>
        <w:spacing w:after="40" w:before="40"/>
      </w:pPr>
      <w:r>
        <w:rPr>
          <w:rFonts w:ascii="Arial" w:cs="Arial" w:eastAsia="Arial" w:hAnsi="Arial"/>
          <w:color w:val="1A1A1A"/>
          <w:sz w:val="22"/>
          <w:szCs w:val="22"/>
        </w:rPr>
        <w:t xml:space="preserve">You must complete and maintain satisfactory KYC/AML verification</w:t>
      </w:r>
    </w:p>
    <w:p>
      <w:pPr>
        <w:pStyle w:val="ListParagraph"/>
        <w:numPr>
          <w:ilvl w:val="0"/>
          <w:numId w:val="2"/>
        </w:numPr>
        <w:spacing w:after="40" w:before="40"/>
      </w:pPr>
      <w:r>
        <w:rPr>
          <w:rFonts w:ascii="Arial" w:cs="Arial" w:eastAsia="Arial" w:hAnsi="Arial"/>
          <w:color w:val="1A1A1A"/>
          <w:sz w:val="22"/>
          <w:szCs w:val="22"/>
        </w:rPr>
        <w:t xml:space="preserve">Entity accounts require authorized representative documentation</w:t>
      </w:r>
    </w:p>
    <w:p>
      <w:pPr>
        <w:spacing w:after="40" w:before="40"/>
      </w:pPr>
      <w:r>
        <w:rPr>
          <w:sz w:val="20"/>
          <w:szCs w:val="20"/>
        </w:rPr>
        <w:t xml:space="preserve"/>
      </w:r>
    </w:p>
    <w:p>
      <w:pPr>
        <w:pStyle w:val="Heading2"/>
        <w:pBdr>
          <w:bottom w:val="single" w:color="C8A84A" w:sz="4" w:space="4"/>
        </w:pBdr>
        <w:spacing w:after="100" w:before="280"/>
      </w:pPr>
      <w:r>
        <w:rPr>
          <w:rFonts w:ascii="Arial" w:cs="Arial" w:eastAsia="Arial" w:hAnsi="Arial"/>
          <w:b/>
          <w:bCs/>
          <w:color w:val="2E5FA3"/>
          <w:sz w:val="26"/>
          <w:szCs w:val="26"/>
        </w:rPr>
        <w:t xml:space="preserve">1.2 Geographic Restrictions</w:t>
      </w:r>
    </w:p>
    <w:p>
      <w:pPr>
        <w:spacing w:after="80" w:before="60"/>
      </w:pPr>
      <w:r>
        <w:rPr>
          <w:rFonts w:ascii="Arial" w:cs="Arial" w:eastAsia="Arial" w:hAnsi="Arial"/>
          <w:color w:val="1A1A1A"/>
          <w:sz w:val="22"/>
          <w:szCs w:val="22"/>
        </w:rPr>
        <w:t xml:space="preserve">SAC1 tokens are offered as securities under Reg D 506(b)/(c) to U.S. accredited investors only. Non-U.S. users may access services subject to applicable local laws. We reserve the right to restrict access based on regulatory requirements.</w:t>
      </w:r>
    </w:p>
    <w:p>
      <w:pPr>
        <w:spacing w:after="40" w:before="40"/>
      </w:pPr>
      <w:r>
        <w:rPr>
          <w:sz w:val="20"/>
          <w:szCs w:val="20"/>
        </w:rPr>
        <w:t xml:space="preserve"/>
      </w:r>
    </w:p>
    <w:p>
      <w:pPr>
        <w:spacing w:after="40" w:before="40"/>
      </w:pPr>
      <w:r>
        <w:rPr>
          <w:sz w:val="20"/>
          <w:szCs w:val="20"/>
        </w:rPr>
        <w:t xml:space="preserve"/>
      </w:r>
    </w:p>
    <w:p>
      <w:pPr>
        <w:pStyle w:val="Heading1"/>
        <w:spacing w:after="120" w:before="360"/>
      </w:pPr>
      <w:r>
        <w:rPr>
          <w:rFonts w:ascii="Arial" w:cs="Arial" w:eastAsia="Arial" w:hAnsi="Arial"/>
          <w:b/>
          <w:bCs/>
          <w:color w:val="1B2A4A"/>
          <w:sz w:val="32"/>
          <w:szCs w:val="32"/>
        </w:rPr>
        <w:t xml:space="preserve">2. SAC1 Token — Securities Disclosure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c>
          <w:tcPr>
            <w:tcW w:type="dxa" w:w="480"/>
            <w:tcBorders>
              <w:top w:val="single" w:color="C0392B" w:sz="1"/>
              <w:left w:val="single" w:color="C0392B" w:sz="1"/>
              <w:bottom w:val="single" w:color="C0392B" w:sz="1"/>
              <w:right w:val="single" w:color="C0392B" w:sz="1"/>
            </w:tcBorders>
            <w:shd w:fill="FDEDEC" w:val="clear"/>
            <w:tcMar>
              <w:top w:type="dxa" w:w="100"/>
              <w:left w:type="dxa" w:w="120"/>
              <w:bottom w:type="dxa" w:w="100"/>
              <w:right w:type="dxa" w:w="80"/>
            </w:tcMar>
            <w:vAlign w:val="center"/>
          </w:tcPr>
          <w:p>
            <w:pPr>
              <w:jc w:val="center"/>
            </w:pPr>
            <w:r>
              <w:rPr>
                <w:rFonts w:ascii="Arial" w:cs="Arial" w:eastAsia="Arial" w:hAnsi="Arial"/>
                <w:color w:val="C0392B"/>
                <w:sz w:val="24"/>
                <w:szCs w:val="24"/>
              </w:rPr>
              <w:t xml:space="preserve">⚠</w:t>
            </w:r>
          </w:p>
        </w:tc>
        <w:tc>
          <w:tcPr>
            <w:tcW w:type="dxa" w:w="8880"/>
            <w:tcBorders>
              <w:top w:val="single" w:color="C0392B" w:sz="1"/>
              <w:left w:val="single" w:color="C0392B" w:sz="1"/>
              <w:bottom w:val="single" w:color="C0392B" w:sz="1"/>
              <w:right w:val="single" w:color="C0392B" w:sz="1"/>
            </w:tcBorders>
            <w:shd w:fill="FDEDEC" w:val="clear"/>
            <w:tcMar>
              <w:top w:type="dxa" w:w="100"/>
              <w:left w:type="dxa" w:w="160"/>
              <w:bottom w:type="dxa" w:w="100"/>
              <w:right w:type="dxa" w:w="120"/>
            </w:tcMar>
          </w:tcPr>
          <w:p>
            <w:r>
              <w:rPr>
                <w:rFonts w:ascii="Arial" w:cs="Arial" w:eastAsia="Arial" w:hAnsi="Arial"/>
                <w:color w:val="1A1A1A"/>
                <w:sz w:val="21"/>
                <w:szCs w:val="21"/>
              </w:rPr>
              <w:t xml:space="preserve">SAC1 tokens may constitute investment contracts under the SEC Howey Test. This offering is made pursuant to Regulation D Rule 506. SAC1 tokens have not been registered under the Securities Act of 1933. This is not an offer to sell securities in any jurisdiction where such offer is not permitted.</w:t>
            </w:r>
          </w:p>
        </w:tc>
      </w:tr>
    </w:tbl>
    <w:p>
      <w:pPr>
        <w:spacing w:after="40" w:before="40"/>
      </w:pPr>
      <w:r>
        <w:rPr>
          <w:sz w:val="20"/>
          <w:szCs w:val="20"/>
        </w:rPr>
        <w:t xml:space="preserve"/>
      </w:r>
    </w:p>
    <w:p>
      <w:pPr>
        <w:pStyle w:val="ListParagraph"/>
        <w:numPr>
          <w:ilvl w:val="0"/>
          <w:numId w:val="2"/>
        </w:numPr>
        <w:spacing w:after="40" w:before="40"/>
      </w:pPr>
      <w:r>
        <w:rPr>
          <w:rFonts w:ascii="Arial" w:cs="Arial" w:eastAsia="Arial" w:hAnsi="Arial"/>
          <w:color w:val="1A1A1A"/>
          <w:sz w:val="22"/>
          <w:szCs w:val="22"/>
        </w:rPr>
        <w:t xml:space="preserve">SAC1 tokens are governance and security tokens with economic rights tied to SableAssent's treasury performance</w:t>
      </w:r>
    </w:p>
    <w:p>
      <w:pPr>
        <w:pStyle w:val="ListParagraph"/>
        <w:numPr>
          <w:ilvl w:val="0"/>
          <w:numId w:val="2"/>
        </w:numPr>
        <w:spacing w:after="40" w:before="40"/>
      </w:pPr>
      <w:r>
        <w:rPr>
          <w:rFonts w:ascii="Arial" w:cs="Arial" w:eastAsia="Arial" w:hAnsi="Arial"/>
          <w:color w:val="1A1A1A"/>
          <w:sz w:val="22"/>
          <w:szCs w:val="22"/>
        </w:rPr>
        <w:t xml:space="preserve">Past performance does not guarantee future results. Token value may decline to zero</w:t>
      </w:r>
    </w:p>
    <w:p>
      <w:pPr>
        <w:pStyle w:val="ListParagraph"/>
        <w:numPr>
          <w:ilvl w:val="0"/>
          <w:numId w:val="2"/>
        </w:numPr>
        <w:spacing w:after="40" w:before="40"/>
      </w:pPr>
      <w:r>
        <w:rPr>
          <w:rFonts w:ascii="Arial" w:cs="Arial" w:eastAsia="Arial" w:hAnsi="Arial"/>
          <w:color w:val="1A1A1A"/>
          <w:sz w:val="22"/>
          <w:szCs w:val="22"/>
        </w:rPr>
        <w:t xml:space="preserve">SAC1 tokens are subject to lock-up periods as described in the Token Term Sheet</w:t>
      </w:r>
    </w:p>
    <w:p>
      <w:pPr>
        <w:pStyle w:val="ListParagraph"/>
        <w:numPr>
          <w:ilvl w:val="0"/>
          <w:numId w:val="2"/>
        </w:numPr>
        <w:spacing w:after="40" w:before="40"/>
      </w:pPr>
      <w:r>
        <w:rPr>
          <w:rFonts w:ascii="Arial" w:cs="Arial" w:eastAsia="Arial" w:hAnsi="Arial"/>
          <w:color w:val="1A1A1A"/>
          <w:sz w:val="22"/>
          <w:szCs w:val="22"/>
        </w:rPr>
        <w:t xml:space="preserve">Secondary trading of SAC1 tokens is restricted during Reg D lock-up periods</w:t>
      </w:r>
    </w:p>
    <w:p>
      <w:pPr>
        <w:pStyle w:val="ListParagraph"/>
        <w:numPr>
          <w:ilvl w:val="0"/>
          <w:numId w:val="2"/>
        </w:numPr>
        <w:spacing w:after="40" w:before="40"/>
      </w:pPr>
      <w:r>
        <w:rPr>
          <w:rFonts w:ascii="Arial" w:cs="Arial" w:eastAsia="Arial" w:hAnsi="Arial"/>
          <w:color w:val="1A1A1A"/>
          <w:sz w:val="22"/>
          <w:szCs w:val="22"/>
        </w:rPr>
        <w:t xml:space="preserve">Tax consequences of SAC1 purchases are your sole responsibility</w:t>
      </w:r>
    </w:p>
    <w:p>
      <w:pPr>
        <w:spacing w:after="40" w:before="40"/>
      </w:pPr>
      <w:r>
        <w:rPr>
          <w:sz w:val="20"/>
          <w:szCs w:val="20"/>
        </w:rPr>
        <w:t xml:space="preserve"/>
      </w:r>
    </w:p>
    <w:p>
      <w:pPr>
        <w:spacing w:after="40" w:before="40"/>
      </w:pPr>
      <w:r>
        <w:rPr>
          <w:sz w:val="20"/>
          <w:szCs w:val="20"/>
        </w:rPr>
        <w:t xml:space="preserve"/>
      </w:r>
    </w:p>
    <w:p>
      <w:pPr>
        <w:pStyle w:val="Heading1"/>
        <w:spacing w:after="120" w:before="360"/>
      </w:pPr>
      <w:r>
        <w:rPr>
          <w:rFonts w:ascii="Arial" w:cs="Arial" w:eastAsia="Arial" w:hAnsi="Arial"/>
          <w:b/>
          <w:bCs/>
          <w:color w:val="1B2A4A"/>
          <w:sz w:val="32"/>
          <w:szCs w:val="32"/>
        </w:rPr>
        <w:t xml:space="preserve">3. Governance Membership Tiers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2200"/>
        <w:gridCol w:w="2280"/>
        <w:gridCol w:w="2280"/>
      </w:tblGrid>
      <w:tr>
        <w:tc>
          <w:tcPr>
            <w:tcW w:type="dxa" w:w="2600"/>
            <w:tcBorders>
              <w:top w:val="single" w:color="2E5FA3" w:sz="1"/>
              <w:left w:val="single" w:color="2E5FA3" w:sz="1"/>
              <w:bottom w:val="single" w:color="2E5FA3" w:sz="1"/>
              <w:right w:val="single" w:color="2E5FA3" w:sz="1"/>
            </w:tcBorders>
            <w:shd w:fill="2E5FA3" w:val="clear"/>
            <w:tcMar>
              <w:top w:type="dxa" w:w="80"/>
              <w:left w:type="dxa" w:w="120"/>
              <w:bottom w:type="dxa" w:w="80"/>
              <w:right w:type="dxa" w:w="80"/>
            </w:tcMar>
          </w:tcPr>
          <w:p>
            <w:r>
              <w:rPr>
                <w:rFonts w:ascii="Arial" w:cs="Arial" w:eastAsia="Arial" w:hAnsi="Arial"/>
                <w:b/>
                <w:bCs/>
                <w:color w:val="FFFFFF"/>
                <w:sz w:val="19"/>
                <w:szCs w:val="19"/>
              </w:rPr>
              <w:t xml:space="preserve">Tier</w:t>
            </w:r>
          </w:p>
        </w:tc>
        <w:tc>
          <w:tcPr>
            <w:tcW w:type="dxa" w:w="2200"/>
            <w:tcBorders>
              <w:top w:val="single" w:color="2E5FA3" w:sz="1"/>
              <w:left w:val="single" w:color="2E5FA3" w:sz="1"/>
              <w:bottom w:val="single" w:color="2E5FA3" w:sz="1"/>
              <w:right w:val="single" w:color="2E5FA3" w:sz="1"/>
            </w:tcBorders>
            <w:shd w:fill="2E5FA3" w:val="clear"/>
            <w:tcMar>
              <w:top w:type="dxa" w:w="80"/>
              <w:left w:type="dxa" w:w="120"/>
              <w:bottom w:type="dxa" w:w="80"/>
              <w:right w:type="dxa" w:w="80"/>
            </w:tcMar>
          </w:tcPr>
          <w:p>
            <w:r>
              <w:rPr>
                <w:rFonts w:ascii="Arial" w:cs="Arial" w:eastAsia="Arial" w:hAnsi="Arial"/>
                <w:b/>
                <w:bCs/>
                <w:color w:val="FFFFFF"/>
                <w:sz w:val="19"/>
                <w:szCs w:val="19"/>
              </w:rPr>
              <w:t xml:space="preserve">Price</w:t>
            </w:r>
          </w:p>
        </w:tc>
        <w:tc>
          <w:tcPr>
            <w:tcW w:type="dxa" w:w="2280"/>
            <w:tcBorders>
              <w:top w:val="single" w:color="2E5FA3" w:sz="1"/>
              <w:left w:val="single" w:color="2E5FA3" w:sz="1"/>
              <w:bottom w:val="single" w:color="2E5FA3" w:sz="1"/>
              <w:right w:val="single" w:color="2E5FA3" w:sz="1"/>
            </w:tcBorders>
            <w:shd w:fill="2E5FA3" w:val="clear"/>
            <w:tcMar>
              <w:top w:type="dxa" w:w="80"/>
              <w:left w:type="dxa" w:w="120"/>
              <w:bottom w:type="dxa" w:w="80"/>
              <w:right w:type="dxa" w:w="80"/>
            </w:tcMar>
          </w:tcPr>
          <w:p>
            <w:r>
              <w:rPr>
                <w:rFonts w:ascii="Arial" w:cs="Arial" w:eastAsia="Arial" w:hAnsi="Arial"/>
                <w:b/>
                <w:bCs/>
                <w:color w:val="FFFFFF"/>
                <w:sz w:val="19"/>
                <w:szCs w:val="19"/>
              </w:rPr>
              <w:t xml:space="preserve">SAC1 Allocation</w:t>
            </w:r>
          </w:p>
        </w:tc>
        <w:tc>
          <w:tcPr>
            <w:tcW w:type="dxa" w:w="2280"/>
            <w:tcBorders>
              <w:top w:val="single" w:color="2E5FA3" w:sz="1"/>
              <w:left w:val="single" w:color="2E5FA3" w:sz="1"/>
              <w:bottom w:val="single" w:color="2E5FA3" w:sz="1"/>
              <w:right w:val="single" w:color="2E5FA3" w:sz="1"/>
            </w:tcBorders>
            <w:shd w:fill="2E5FA3" w:val="clear"/>
            <w:tcMar>
              <w:top w:type="dxa" w:w="80"/>
              <w:left w:type="dxa" w:w="120"/>
              <w:bottom w:type="dxa" w:w="80"/>
              <w:right w:type="dxa" w:w="80"/>
            </w:tcMar>
          </w:tcPr>
          <w:p>
            <w:r>
              <w:rPr>
                <w:rFonts w:ascii="Arial" w:cs="Arial" w:eastAsia="Arial" w:hAnsi="Arial"/>
                <w:b/>
                <w:bCs/>
                <w:color w:val="FFFFFF"/>
                <w:sz w:val="19"/>
                <w:szCs w:val="19"/>
              </w:rPr>
              <w:t xml:space="preserve">Governance Rights</w:t>
            </w:r>
          </w:p>
        </w:tc>
      </w:tr>
      <w:tr>
        <w:tc>
          <w:tcPr>
            <w:tcW w:type="dxa" w:w="260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b/>
                <w:bCs/>
                <w:color w:val="1B2A4A"/>
                <w:sz w:val="19"/>
                <w:szCs w:val="19"/>
              </w:rPr>
              <w:t xml:space="preserve">Community</w:t>
            </w:r>
          </w:p>
        </w:tc>
        <w:tc>
          <w:tcPr>
            <w:tcW w:type="dxa" w:w="220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E7A4A"/>
                <w:sz w:val="19"/>
                <w:szCs w:val="19"/>
              </w:rPr>
              <w:t xml:space="preserve">$100</w:t>
            </w:r>
          </w:p>
        </w:tc>
        <w:tc>
          <w:tcPr>
            <w:tcW w:type="dxa" w:w="228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5D6D7E"/>
                <w:sz w:val="18"/>
                <w:szCs w:val="18"/>
              </w:rPr>
              <w:t xml:space="preserve">Per allocation schedule</w:t>
            </w:r>
          </w:p>
        </w:tc>
        <w:tc>
          <w:tcPr>
            <w:tcW w:type="dxa" w:w="228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5D6D7E"/>
                <w:sz w:val="18"/>
                <w:szCs w:val="18"/>
              </w:rPr>
              <w:t xml:space="preserve">Community voting</w:t>
            </w:r>
          </w:p>
        </w:tc>
      </w:tr>
      <w:tr>
        <w:tc>
          <w:tcPr>
            <w:tcW w:type="dxa" w:w="260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b/>
                <w:bCs/>
                <w:color w:val="1B2A4A"/>
                <w:sz w:val="19"/>
                <w:szCs w:val="19"/>
              </w:rPr>
              <w:t xml:space="preserve">Governance</w:t>
            </w:r>
          </w:p>
        </w:tc>
        <w:tc>
          <w:tcPr>
            <w:tcW w:type="dxa" w:w="220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1E7A4A"/>
                <w:sz w:val="19"/>
                <w:szCs w:val="19"/>
              </w:rPr>
              <w:t xml:space="preserve">$500</w:t>
            </w:r>
          </w:p>
        </w:tc>
        <w:tc>
          <w:tcPr>
            <w:tcW w:type="dxa" w:w="228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5D6D7E"/>
                <w:sz w:val="18"/>
                <w:szCs w:val="18"/>
              </w:rPr>
              <w:t xml:space="preserve">Per allocation schedule</w:t>
            </w:r>
          </w:p>
        </w:tc>
        <w:tc>
          <w:tcPr>
            <w:tcW w:type="dxa" w:w="228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5D6D7E"/>
                <w:sz w:val="18"/>
                <w:szCs w:val="18"/>
              </w:rPr>
              <w:t xml:space="preserve">Proposal rights</w:t>
            </w:r>
          </w:p>
        </w:tc>
      </w:tr>
      <w:tr>
        <w:tc>
          <w:tcPr>
            <w:tcW w:type="dxa" w:w="260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b/>
                <w:bCs/>
                <w:color w:val="1B2A4A"/>
                <w:sz w:val="19"/>
                <w:szCs w:val="19"/>
              </w:rPr>
              <w:t xml:space="preserve">Treasury Council</w:t>
            </w:r>
          </w:p>
        </w:tc>
        <w:tc>
          <w:tcPr>
            <w:tcW w:type="dxa" w:w="220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1E7A4A"/>
                <w:sz w:val="19"/>
                <w:szCs w:val="19"/>
              </w:rPr>
              <w:t xml:space="preserve">$5,000</w:t>
            </w:r>
          </w:p>
        </w:tc>
        <w:tc>
          <w:tcPr>
            <w:tcW w:type="dxa" w:w="228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5D6D7E"/>
                <w:sz w:val="18"/>
                <w:szCs w:val="18"/>
              </w:rPr>
              <w:t xml:space="preserve">Per allocation schedule</w:t>
            </w:r>
          </w:p>
        </w:tc>
        <w:tc>
          <w:tcPr>
            <w:tcW w:type="dxa" w:w="2280"/>
            <w:tcBorders>
              <w:top w:val="single" w:color="BDC3C7" w:sz="1"/>
              <w:left w:val="single" w:color="BDC3C7" w:sz="1"/>
              <w:bottom w:val="single" w:color="BDC3C7" w:sz="1"/>
              <w:right w:val="single" w:color="BDC3C7" w:sz="1"/>
            </w:tcBorders>
            <w:shd w:fill="F4F6F8" w:val="clear"/>
            <w:tcMar>
              <w:top w:type="dxa" w:w="70"/>
              <w:left w:type="dxa" w:w="120"/>
              <w:bottom w:type="dxa" w:w="70"/>
              <w:right w:type="dxa" w:w="80"/>
            </w:tcMar>
          </w:tcPr>
          <w:p>
            <w:r>
              <w:rPr>
                <w:rFonts w:ascii="Arial" w:cs="Arial" w:eastAsia="Arial" w:hAnsi="Arial"/>
                <w:color w:val="5D6D7E"/>
                <w:sz w:val="18"/>
                <w:szCs w:val="18"/>
              </w:rPr>
              <w:t xml:space="preserve">Treasury oversight</w:t>
            </w:r>
          </w:p>
        </w:tc>
      </w:tr>
      <w:tr>
        <w:tc>
          <w:tcPr>
            <w:tcW w:type="dxa" w:w="260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b/>
                <w:bCs/>
                <w:color w:val="1B2A4A"/>
                <w:sz w:val="19"/>
                <w:szCs w:val="19"/>
              </w:rPr>
              <w:t xml:space="preserve">Founding Partner</w:t>
            </w:r>
          </w:p>
        </w:tc>
        <w:tc>
          <w:tcPr>
            <w:tcW w:type="dxa" w:w="220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1E7A4A"/>
                <w:sz w:val="19"/>
                <w:szCs w:val="19"/>
              </w:rPr>
              <w:t xml:space="preserve">$50,000+</w:t>
            </w:r>
          </w:p>
        </w:tc>
        <w:tc>
          <w:tcPr>
            <w:tcW w:type="dxa" w:w="228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5D6D7E"/>
                <w:sz w:val="18"/>
                <w:szCs w:val="18"/>
              </w:rPr>
              <w:t xml:space="preserve">Per negotiated terms</w:t>
            </w:r>
          </w:p>
        </w:tc>
        <w:tc>
          <w:tcPr>
            <w:tcW w:type="dxa" w:w="2280"/>
            <w:tcBorders>
              <w:top w:val="single" w:color="BDC3C7" w:sz="1"/>
              <w:left w:val="single" w:color="BDC3C7" w:sz="1"/>
              <w:bottom w:val="single" w:color="BDC3C7" w:sz="1"/>
              <w:right w:val="single" w:color="BDC3C7" w:sz="1"/>
            </w:tcBorders>
            <w:shd w:fill="FFFFFF" w:val="clear"/>
            <w:tcMar>
              <w:top w:type="dxa" w:w="70"/>
              <w:left w:type="dxa" w:w="120"/>
              <w:bottom w:type="dxa" w:w="70"/>
              <w:right w:type="dxa" w:w="80"/>
            </w:tcMar>
          </w:tcPr>
          <w:p>
            <w:r>
              <w:rPr>
                <w:rFonts w:ascii="Arial" w:cs="Arial" w:eastAsia="Arial" w:hAnsi="Arial"/>
                <w:color w:val="5D6D7E"/>
                <w:sz w:val="18"/>
                <w:szCs w:val="18"/>
              </w:rPr>
              <w:t xml:space="preserve">Board advisory rights</w:t>
            </w:r>
          </w:p>
        </w:tc>
      </w:tr>
    </w:tbl>
    <w:p>
      <w:pPr>
        <w:spacing w:after="40" w:before="40"/>
      </w:pPr>
      <w:r>
        <w:rPr>
          <w:sz w:val="20"/>
          <w:szCs w:val="20"/>
        </w:rPr>
        <w:t xml:space="preserve"/>
      </w:r>
    </w:p>
    <w:p>
      <w:pPr>
        <w:spacing w:after="40" w:before="40"/>
      </w:pPr>
      <w:r>
        <w:rPr>
          <w:sz w:val="20"/>
          <w:szCs w:val="20"/>
        </w:rPr>
        <w:t xml:space="preserve"/>
      </w:r>
    </w:p>
    <w:p>
      <w:pPr>
        <w:pStyle w:val="Heading1"/>
        <w:spacing w:after="120" w:before="360"/>
      </w:pPr>
      <w:r>
        <w:rPr>
          <w:rFonts w:ascii="Arial" w:cs="Arial" w:eastAsia="Arial" w:hAnsi="Arial"/>
          <w:b/>
          <w:bCs/>
          <w:color w:val="1B2A4A"/>
          <w:sz w:val="32"/>
          <w:szCs w:val="32"/>
        </w:rPr>
        <w:t xml:space="preserve">4. Remittance Services</w:t>
      </w:r>
    </w:p>
    <w:p>
      <w:pPr>
        <w:pStyle w:val="ListParagraph"/>
        <w:numPr>
          <w:ilvl w:val="0"/>
          <w:numId w:val="2"/>
        </w:numPr>
        <w:spacing w:after="40" w:before="40"/>
      </w:pPr>
      <w:r>
        <w:rPr>
          <w:rFonts w:ascii="Arial" w:cs="Arial" w:eastAsia="Arial" w:hAnsi="Arial"/>
          <w:color w:val="1A1A1A"/>
          <w:sz w:val="22"/>
          <w:szCs w:val="22"/>
        </w:rPr>
        <w:t xml:space="preserve">SableAssent operates as a licensed Money Services Business (FinCEN MSB registration required)</w:t>
      </w:r>
    </w:p>
    <w:p>
      <w:pPr>
        <w:pStyle w:val="ListParagraph"/>
        <w:numPr>
          <w:ilvl w:val="0"/>
          <w:numId w:val="2"/>
        </w:numPr>
        <w:spacing w:after="40" w:before="40"/>
      </w:pPr>
      <w:r>
        <w:rPr>
          <w:rFonts w:ascii="Arial" w:cs="Arial" w:eastAsia="Arial" w:hAnsi="Arial"/>
          <w:color w:val="1A1A1A"/>
          <w:sz w:val="22"/>
          <w:szCs w:val="22"/>
        </w:rPr>
        <w:t xml:space="preserve">Exchange rates and fees are disclosed at the point of transaction and are subject to change</w:t>
      </w:r>
    </w:p>
    <w:p>
      <w:pPr>
        <w:pStyle w:val="ListParagraph"/>
        <w:numPr>
          <w:ilvl w:val="0"/>
          <w:numId w:val="2"/>
        </w:numPr>
        <w:spacing w:after="40" w:before="40"/>
      </w:pPr>
      <w:r>
        <w:rPr>
          <w:rFonts w:ascii="Arial" w:cs="Arial" w:eastAsia="Arial" w:hAnsi="Arial"/>
          <w:color w:val="1A1A1A"/>
          <w:sz w:val="22"/>
          <w:szCs w:val="22"/>
        </w:rPr>
        <w:t xml:space="preserve">SableAssent is not liable for delays caused by correspondent banks, recipient institutions, or regulatory holds</w:t>
      </w:r>
    </w:p>
    <w:p>
      <w:pPr>
        <w:pStyle w:val="ListParagraph"/>
        <w:numPr>
          <w:ilvl w:val="0"/>
          <w:numId w:val="2"/>
        </w:numPr>
        <w:spacing w:after="40" w:before="40"/>
      </w:pPr>
      <w:r>
        <w:rPr>
          <w:rFonts w:ascii="Arial" w:cs="Arial" w:eastAsia="Arial" w:hAnsi="Arial"/>
          <w:color w:val="1A1A1A"/>
          <w:sz w:val="22"/>
          <w:szCs w:val="22"/>
        </w:rPr>
        <w:t xml:space="preserve">Transaction limits apply per FinCEN and applicable state money transmitter regulations</w:t>
      </w:r>
    </w:p>
    <w:p>
      <w:pPr>
        <w:pStyle w:val="ListParagraph"/>
        <w:numPr>
          <w:ilvl w:val="0"/>
          <w:numId w:val="2"/>
        </w:numPr>
        <w:spacing w:after="40" w:before="40"/>
      </w:pPr>
      <w:r>
        <w:rPr>
          <w:rFonts w:ascii="Arial" w:cs="Arial" w:eastAsia="Arial" w:hAnsi="Arial"/>
          <w:color w:val="1A1A1A"/>
          <w:sz w:val="22"/>
          <w:szCs w:val="22"/>
        </w:rPr>
        <w:t xml:space="preserve">You must provide accurate recipient information; SableAssent is not liable for misdirected transfers due to user error</w:t>
      </w:r>
    </w:p>
    <w:p>
      <w:pPr>
        <w:spacing w:after="40" w:before="40"/>
      </w:pPr>
      <w:r>
        <w:rPr>
          <w:sz w:val="20"/>
          <w:szCs w:val="20"/>
        </w:rPr>
        <w:t xml:space="preserve"/>
      </w:r>
    </w:p>
    <w:p>
      <w:pPr>
        <w:spacing w:after="40" w:before="40"/>
      </w:pPr>
      <w:r>
        <w:rPr>
          <w:sz w:val="20"/>
          <w:szCs w:val="20"/>
        </w:rPr>
        <w:t xml:space="preserve"/>
      </w:r>
    </w:p>
    <w:p>
      <w:pPr>
        <w:pStyle w:val="Heading1"/>
        <w:spacing w:after="120" w:before="360"/>
      </w:pPr>
      <w:r>
        <w:rPr>
          <w:rFonts w:ascii="Arial" w:cs="Arial" w:eastAsia="Arial" w:hAnsi="Arial"/>
          <w:b/>
          <w:bCs/>
          <w:color w:val="1B2A4A"/>
          <w:sz w:val="32"/>
          <w:szCs w:val="32"/>
        </w:rPr>
        <w:t xml:space="preserve">5. AML / KYC Obligations</w:t>
      </w:r>
    </w:p>
    <w:p>
      <w:pPr>
        <w:spacing w:after="80" w:before="60"/>
      </w:pPr>
      <w:r>
        <w:rPr>
          <w:rFonts w:ascii="Arial" w:cs="Arial" w:eastAsia="Arial" w:hAnsi="Arial"/>
          <w:color w:val="1A1A1A"/>
          <w:sz w:val="22"/>
          <w:szCs w:val="22"/>
        </w:rPr>
        <w:t xml:space="preserve">As a regulated financial services company, we are required to:</w:t>
      </w:r>
    </w:p>
    <w:p>
      <w:pPr>
        <w:pStyle w:val="ListParagraph"/>
        <w:numPr>
          <w:ilvl w:val="0"/>
          <w:numId w:val="2"/>
        </w:numPr>
        <w:spacing w:after="40" w:before="40"/>
      </w:pPr>
      <w:r>
        <w:rPr>
          <w:rFonts w:ascii="Arial" w:cs="Arial" w:eastAsia="Arial" w:hAnsi="Arial"/>
          <w:color w:val="1A1A1A"/>
          <w:sz w:val="22"/>
          <w:szCs w:val="22"/>
        </w:rPr>
        <w:t xml:space="preserve">Verify the identity of all customers (KYC)</w:t>
      </w:r>
    </w:p>
    <w:p>
      <w:pPr>
        <w:pStyle w:val="ListParagraph"/>
        <w:numPr>
          <w:ilvl w:val="0"/>
          <w:numId w:val="2"/>
        </w:numPr>
        <w:spacing w:after="40" w:before="40"/>
      </w:pPr>
      <w:r>
        <w:rPr>
          <w:rFonts w:ascii="Arial" w:cs="Arial" w:eastAsia="Arial" w:hAnsi="Arial"/>
          <w:color w:val="1A1A1A"/>
          <w:sz w:val="22"/>
          <w:szCs w:val="22"/>
        </w:rPr>
        <w:t xml:space="preserve">Screen transactions against OFAC, UN, and EU sanctions lists</w:t>
      </w:r>
    </w:p>
    <w:p>
      <w:pPr>
        <w:pStyle w:val="ListParagraph"/>
        <w:numPr>
          <w:ilvl w:val="0"/>
          <w:numId w:val="2"/>
        </w:numPr>
        <w:spacing w:after="40" w:before="40"/>
      </w:pPr>
      <w:r>
        <w:rPr>
          <w:rFonts w:ascii="Arial" w:cs="Arial" w:eastAsia="Arial" w:hAnsi="Arial"/>
          <w:color w:val="1A1A1A"/>
          <w:sz w:val="22"/>
          <w:szCs w:val="22"/>
        </w:rPr>
        <w:t xml:space="preserve">File Suspicious Activity Reports (SARs) with FinCEN when required</w:t>
      </w:r>
    </w:p>
    <w:p>
      <w:pPr>
        <w:pStyle w:val="ListParagraph"/>
        <w:numPr>
          <w:ilvl w:val="0"/>
          <w:numId w:val="2"/>
        </w:numPr>
        <w:spacing w:after="40" w:before="40"/>
      </w:pPr>
      <w:r>
        <w:rPr>
          <w:rFonts w:ascii="Arial" w:cs="Arial" w:eastAsia="Arial" w:hAnsi="Arial"/>
          <w:color w:val="1A1A1A"/>
          <w:sz w:val="22"/>
          <w:szCs w:val="22"/>
        </w:rPr>
        <w:t xml:space="preserve">Retain transaction records for a minimum of 5 years</w:t>
      </w:r>
    </w:p>
    <w:p>
      <w:pPr>
        <w:spacing w:after="80" w:before="60"/>
      </w:pPr>
      <w:r>
        <w:rPr>
          <w:rFonts w:ascii="Arial" w:cs="Arial" w:eastAsia="Arial" w:hAnsi="Arial"/>
          <w:color w:val="1A1A1A"/>
          <w:sz w:val="22"/>
          <w:szCs w:val="22"/>
        </w:rPr>
        <w:t xml:space="preserve">We reserve the right to freeze accounts, block transactions, or terminate services if required by law enforcement, regulatory order, or our AML policies.</w:t>
      </w:r>
    </w:p>
    <w:p>
      <w:pPr>
        <w:spacing w:after="40" w:before="40"/>
      </w:pPr>
      <w:r>
        <w:rPr>
          <w:sz w:val="20"/>
          <w:szCs w:val="20"/>
        </w:rPr>
        <w:t xml:space="preserve"/>
      </w:r>
    </w:p>
    <w:p>
      <w:pPr>
        <w:spacing w:after="40" w:before="40"/>
      </w:pPr>
      <w:r>
        <w:rPr>
          <w:sz w:val="20"/>
          <w:szCs w:val="20"/>
        </w:rPr>
        <w:t xml:space="preserve"/>
      </w:r>
    </w:p>
    <w:p>
      <w:pPr>
        <w:pStyle w:val="Heading1"/>
        <w:spacing w:after="120" w:before="360"/>
      </w:pPr>
      <w:r>
        <w:rPr>
          <w:rFonts w:ascii="Arial" w:cs="Arial" w:eastAsia="Arial" w:hAnsi="Arial"/>
          <w:b/>
          <w:bCs/>
          <w:color w:val="1B2A4A"/>
          <w:sz w:val="32"/>
          <w:szCs w:val="32"/>
        </w:rPr>
        <w:t xml:space="preserve">6. Acceptable Use</w:t>
      </w:r>
    </w:p>
    <w:p>
      <w:pPr>
        <w:spacing w:after="80" w:before="60"/>
      </w:pPr>
      <w:r>
        <w:rPr>
          <w:rFonts w:ascii="Arial" w:cs="Arial" w:eastAsia="Arial" w:hAnsi="Arial"/>
          <w:color w:val="1A1A1A"/>
          <w:sz w:val="22"/>
          <w:szCs w:val="22"/>
        </w:rPr>
        <w:t xml:space="preserve">You agree NOT to use SableAssent services to:</w:t>
      </w:r>
    </w:p>
    <w:p>
      <w:pPr>
        <w:pStyle w:val="ListParagraph"/>
        <w:numPr>
          <w:ilvl w:val="0"/>
          <w:numId w:val="2"/>
        </w:numPr>
        <w:spacing w:after="40" w:before="40"/>
      </w:pPr>
      <w:r>
        <w:rPr>
          <w:rFonts w:ascii="Arial" w:cs="Arial" w:eastAsia="Arial" w:hAnsi="Arial"/>
          <w:color w:val="1A1A1A"/>
          <w:sz w:val="22"/>
          <w:szCs w:val="22"/>
        </w:rPr>
        <w:t xml:space="preserve">Engage in money laundering, terrorist financing, or sanctions evasion</w:t>
      </w:r>
    </w:p>
    <w:p>
      <w:pPr>
        <w:pStyle w:val="ListParagraph"/>
        <w:numPr>
          <w:ilvl w:val="0"/>
          <w:numId w:val="2"/>
        </w:numPr>
        <w:spacing w:after="40" w:before="40"/>
      </w:pPr>
      <w:r>
        <w:rPr>
          <w:rFonts w:ascii="Arial" w:cs="Arial" w:eastAsia="Arial" w:hAnsi="Arial"/>
          <w:color w:val="1A1A1A"/>
          <w:sz w:val="22"/>
          <w:szCs w:val="22"/>
        </w:rPr>
        <w:t xml:space="preserve">Circumvent KYC/AML controls through structuring or smurfing</w:t>
      </w:r>
    </w:p>
    <w:p>
      <w:pPr>
        <w:pStyle w:val="ListParagraph"/>
        <w:numPr>
          <w:ilvl w:val="0"/>
          <w:numId w:val="2"/>
        </w:numPr>
        <w:spacing w:after="40" w:before="40"/>
      </w:pPr>
      <w:r>
        <w:rPr>
          <w:rFonts w:ascii="Arial" w:cs="Arial" w:eastAsia="Arial" w:hAnsi="Arial"/>
          <w:color w:val="1A1A1A"/>
          <w:sz w:val="22"/>
          <w:szCs w:val="22"/>
        </w:rPr>
        <w:t xml:space="preserve">Use automated tools to scrape, attack, or abuse our platforms</w:t>
      </w:r>
    </w:p>
    <w:p>
      <w:pPr>
        <w:pStyle w:val="ListParagraph"/>
        <w:numPr>
          <w:ilvl w:val="0"/>
          <w:numId w:val="2"/>
        </w:numPr>
        <w:spacing w:after="40" w:before="40"/>
      </w:pPr>
      <w:r>
        <w:rPr>
          <w:rFonts w:ascii="Arial" w:cs="Arial" w:eastAsia="Arial" w:hAnsi="Arial"/>
          <w:color w:val="1A1A1A"/>
          <w:sz w:val="22"/>
          <w:szCs w:val="22"/>
        </w:rPr>
        <w:t xml:space="preserve">Impersonate SableAssent, its officers, or other users</w:t>
      </w:r>
    </w:p>
    <w:p>
      <w:pPr>
        <w:pStyle w:val="ListParagraph"/>
        <w:numPr>
          <w:ilvl w:val="0"/>
          <w:numId w:val="2"/>
        </w:numPr>
        <w:spacing w:after="40" w:before="40"/>
      </w:pPr>
      <w:r>
        <w:rPr>
          <w:rFonts w:ascii="Arial" w:cs="Arial" w:eastAsia="Arial" w:hAnsi="Arial"/>
          <w:color w:val="1A1A1A"/>
          <w:sz w:val="22"/>
          <w:szCs w:val="22"/>
        </w:rPr>
        <w:t xml:space="preserve">Violate any applicable law or regulation</w:t>
      </w:r>
    </w:p>
    <w:p>
      <w:pPr>
        <w:spacing w:after="40" w:before="40"/>
      </w:pPr>
      <w:r>
        <w:rPr>
          <w:sz w:val="20"/>
          <w:szCs w:val="20"/>
        </w:rPr>
        <w:t xml:space="preserve"/>
      </w:r>
    </w:p>
    <w:p>
      <w:pPr>
        <w:spacing w:after="40" w:before="40"/>
      </w:pPr>
      <w:r>
        <w:rPr>
          <w:sz w:val="20"/>
          <w:szCs w:val="20"/>
        </w:rPr>
        <w:t xml:space="preserve"/>
      </w:r>
    </w:p>
    <w:p>
      <w:pPr>
        <w:pStyle w:val="Heading1"/>
        <w:spacing w:after="120" w:before="360"/>
      </w:pPr>
      <w:r>
        <w:rPr>
          <w:rFonts w:ascii="Arial" w:cs="Arial" w:eastAsia="Arial" w:hAnsi="Arial"/>
          <w:b/>
          <w:bCs/>
          <w:color w:val="1B2A4A"/>
          <w:sz w:val="32"/>
          <w:szCs w:val="32"/>
        </w:rPr>
        <w:t xml:space="preserve">7. Limitation of Liability</w:t>
      </w:r>
    </w:p>
    <w:p>
      <w:pPr>
        <w:spacing w:after="80" w:before="60"/>
      </w:pPr>
      <w:r>
        <w:rPr>
          <w:rFonts w:ascii="Arial" w:cs="Arial" w:eastAsia="Arial" w:hAnsi="Arial"/>
          <w:color w:val="1A1A1A"/>
          <w:sz w:val="22"/>
          <w:szCs w:val="22"/>
        </w:rPr>
        <w:t xml:space="preserve">TO THE MAXIMUM EXTENT PERMITTED BY APPLICABLE LAW, SABLEASSENT SHALL NOT BE LIABLE FOR ANY INDIRECT, INCIDENTAL, SPECIAL, OR CONSEQUENTIAL DAMAGES, INCLUDING LOSS OF PROFITS, LOSS OF DATA, OR LOSS OF TOKEN VALUE. OUR TOTAL LIABILITY SHALL NOT EXCEED THE AMOUNT YOU PAID FOR THE RELEVANT SERVICE IN THE 12 MONTHS PRECEDING THE CLAIM.</w:t>
      </w:r>
    </w:p>
    <w:p>
      <w:pPr>
        <w:spacing w:after="40" w:before="40"/>
      </w:pPr>
      <w:r>
        <w:rPr>
          <w:sz w:val="20"/>
          <w:szCs w:val="20"/>
        </w:rPr>
        <w:t xml:space="preserve"/>
      </w:r>
    </w:p>
    <w:p>
      <w:pPr>
        <w:spacing w:after="40" w:before="40"/>
      </w:pPr>
      <w:r>
        <w:rPr>
          <w:sz w:val="20"/>
          <w:szCs w:val="20"/>
        </w:rPr>
        <w:t xml:space="preserve"/>
      </w:r>
    </w:p>
    <w:p>
      <w:pPr>
        <w:pStyle w:val="Heading1"/>
        <w:spacing w:after="120" w:before="360"/>
      </w:pPr>
      <w:r>
        <w:rPr>
          <w:rFonts w:ascii="Arial" w:cs="Arial" w:eastAsia="Arial" w:hAnsi="Arial"/>
          <w:b/>
          <w:bCs/>
          <w:color w:val="1B2A4A"/>
          <w:sz w:val="32"/>
          <w:szCs w:val="32"/>
        </w:rPr>
        <w:t xml:space="preserve">8. Dispute Resolution</w:t>
      </w:r>
    </w:p>
    <w:p>
      <w:pPr>
        <w:spacing w:after="80" w:before="60"/>
      </w:pPr>
      <w:r>
        <w:rPr>
          <w:rFonts w:ascii="Arial" w:cs="Arial" w:eastAsia="Arial" w:hAnsi="Arial"/>
          <w:color w:val="1A1A1A"/>
          <w:sz w:val="22"/>
          <w:szCs w:val="22"/>
        </w:rPr>
        <w:t xml:space="preserve">Any dispute arising from these Terms shall be resolved by binding arbitration in Wyoming under AAA Commercial Arbitration Rules. Class action waiver applies. Governing law: Wyoming, U.S.A.</w:t>
      </w:r>
    </w:p>
    <w:p>
      <w:pPr>
        <w:spacing w:after="40" w:before="40"/>
      </w:pPr>
      <w:r>
        <w:rPr>
          <w:sz w:val="20"/>
          <w:szCs w:val="20"/>
        </w:rPr>
        <w:t xml:space="preserve"/>
      </w:r>
    </w:p>
    <w:p>
      <w:pPr>
        <w:spacing w:after="40" w:before="40"/>
      </w:pPr>
      <w:r>
        <w:rPr>
          <w:sz w:val="20"/>
          <w:szCs w:val="20"/>
        </w:rPr>
        <w:t xml:space="preserve"/>
      </w:r>
    </w:p>
    <w:p>
      <w:pPr>
        <w:pStyle w:val="Heading1"/>
        <w:spacing w:after="120" w:before="360"/>
      </w:pPr>
      <w:r>
        <w:rPr>
          <w:rFonts w:ascii="Arial" w:cs="Arial" w:eastAsia="Arial" w:hAnsi="Arial"/>
          <w:b/>
          <w:bCs/>
          <w:color w:val="1B2A4A"/>
          <w:sz w:val="32"/>
          <w:szCs w:val="32"/>
        </w:rPr>
        <w:t xml:space="preserve">9. Amendments</w:t>
      </w:r>
    </w:p>
    <w:p>
      <w:pPr>
        <w:spacing w:after="80" w:before="60"/>
      </w:pPr>
      <w:r>
        <w:rPr>
          <w:rFonts w:ascii="Arial" w:cs="Arial" w:eastAsia="Arial" w:hAnsi="Arial"/>
          <w:color w:val="1A1A1A"/>
          <w:sz w:val="22"/>
          <w:szCs w:val="22"/>
        </w:rPr>
        <w:t xml:space="preserve">We may update these Terms at any time. Material changes will be notified by email and posted with 30 days advance notice. Continued use after the effective date constitutes acceptance.</w:t>
      </w:r>
    </w:p>
    <w:p>
      <w:pPr>
        <w:spacing w:after="40" w:before="40"/>
      </w:pPr>
      <w:r>
        <w:rPr>
          <w:sz w:val="20"/>
          <w:szCs w:val="20"/>
        </w:rPr>
        <w:t xml:space="preserve"/>
      </w:r>
    </w:p>
    <w:p>
      <w:pPr>
        <w:spacing w:after="40" w:before="40"/>
      </w:pPr>
      <w:r>
        <w:rPr>
          <w:sz w:val="20"/>
          <w:szCs w:val="20"/>
        </w:rPr>
        <w:t xml:space="preserve"/>
      </w:r>
    </w:p>
    <w:p>
      <w:pPr>
        <w:pStyle w:val="Heading1"/>
        <w:spacing w:after="120" w:before="360"/>
      </w:pPr>
      <w:r>
        <w:rPr>
          <w:rFonts w:ascii="Arial" w:cs="Arial" w:eastAsia="Arial" w:hAnsi="Arial"/>
          <w:b/>
          <w:bCs/>
          <w:color w:val="1B2A4A"/>
          <w:sz w:val="32"/>
          <w:szCs w:val="32"/>
        </w:rPr>
        <w:t xml:space="preserve">10. Contact</w:t>
      </w:r>
    </w:p>
    <w:p>
      <w:pPr>
        <w:spacing w:after="80" w:before="60"/>
      </w:pPr>
      <w:r>
        <w:rPr>
          <w:rFonts w:ascii="Arial" w:cs="Arial" w:eastAsia="Arial" w:hAnsi="Arial"/>
          <w:color w:val="1A1A1A"/>
          <w:sz w:val="22"/>
          <w:szCs w:val="22"/>
        </w:rPr>
        <w:t xml:space="preserve">Legal notices: legal@sableassent.net | SableAssent Coin Corporation, Wyoming, USA</w:t>
      </w:r>
    </w:p>
    <w:p>
      <w:pPr>
        <w:spacing w:after="40" w:before="40"/>
      </w:pPr>
      <w:r>
        <w:rPr>
          <w:sz w:val="20"/>
          <w:szCs w:val="20"/>
        </w:rPr>
        <w:t xml:space="preserve"/>
      </w:r>
    </w:p>
    <w:p>
      <w:pPr>
        <w:spacing w:after="40" w:before="40"/>
      </w:pPr>
      <w:r>
        <w:rPr>
          <w:sz w:val="20"/>
          <w:szCs w:val="20"/>
        </w:rPr>
        <w:t xml:space="preserve"/>
      </w:r>
    </w:p>
    <w:p>
      <w:pPr>
        <w:pBdr>
          <w:bottom w:val="single" w:color="C8A84A" w:sz="6" w:space="1"/>
        </w:pBdr>
        <w:spacing w:after="160" w:before="160"/>
      </w:pPr>
      <w:r>
        <w:t xml:space="preserve"/>
      </w:r>
    </w:p>
    <w:p>
      <w:pPr>
        <w:spacing w:after="40" w:before="80"/>
        <w:jc w:val="center"/>
      </w:pPr>
      <w:r>
        <w:rPr>
          <w:rFonts w:ascii="Arial" w:cs="Arial" w:eastAsia="Arial" w:hAnsi="Arial"/>
          <w:color w:val="5D6D7E"/>
          <w:sz w:val="18"/>
          <w:szCs w:val="18"/>
        </w:rPr>
        <w:t xml:space="preserve">SableAssent Coin Corporation  |  legal@sableassent.net  |  June 2026  |  Version 1.0</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8A84A" w:sz="4" w:space="4"/>
      </w:pBdr>
      <w:tabs>
        <w:tab w:val="right" w:pos="9360"/>
      </w:tabs>
    </w:pPr>
    <w:r>
      <w:rPr>
        <w:rFonts w:ascii="Arial" w:cs="Arial" w:eastAsia="Arial" w:hAnsi="Arial"/>
        <w:color w:val="5D6D7E"/>
        <w:sz w:val="16"/>
        <w:szCs w:val="16"/>
      </w:rPr>
      <w:t xml:space="preserve">SableAssent Coin Corporation  |  Confidential — June 2026</w:t>
    </w:r>
    <w:r>
      <w:rPr>
        <w:rFonts w:ascii="Arial" w:cs="Arial" w:eastAsia="Arial" w:hAnsi="Arial"/>
        <w:color w:val="5D6D7E"/>
        <w:sz w:val="16"/>
        <w:szCs w:val="16"/>
      </w:rPr>
      <w:t xml:space="preserve">	Page </w:t>
    </w:r>
    <w:r>
      <w:rPr>
        <w:rFonts w:ascii="Arial" w:cs="Arial" w:eastAsia="Arial" w:hAnsi="Arial"/>
        <w:color w:val="C8A84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8A84A" w:sz="4" w:space="4"/>
      </w:pBdr>
    </w:pPr>
    <w:r>
      <w:rPr>
        <w:rFonts w:ascii="Arial" w:cs="Arial" w:eastAsia="Arial" w:hAnsi="Arial"/>
        <w:b/>
        <w:bCs/>
        <w:color w:val="C8A84A"/>
        <w:sz w:val="18"/>
        <w:szCs w:val="18"/>
      </w:rPr>
      <w:t xml:space="preserve">SableAssent  |  </w:t>
    </w:r>
    <w:r>
      <w:rPr>
        <w:rFonts w:ascii="Arial" w:cs="Arial" w:eastAsia="Arial" w:hAnsi="Arial"/>
        <w:color w:val="5D6D7E"/>
        <w:sz w:val="18"/>
        <w:szCs w:val="18"/>
      </w:rPr>
      <w:t xml:space="preserve">Terms of Service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bullet"/>
      <w:lvlText w:val="◦"/>
      <w:lvlJc w:val="left"/>
      <w:pPr>
        <w:ind w:left="1080" w:hanging="360"/>
      </w:pPr>
    </w:lvl>
  </w:abstractNum>
  <w:abstractNum w:abstractNumId="5" w15:restartNumberingAfterBreak="0">
    <w:multiLevelType w:val="hybridMultilevel"/>
    <w:lvl w:ilvl="0" w15:tentative="1">
      <w:start w:val="1"/>
      <w:numFmt w:val="lowerLetter"/>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360"/>
      <w:outlineLvl w:val="0"/>
    </w:pPr>
    <w:rPr>
      <w:rFonts w:ascii="Arial" w:cs="Arial" w:eastAsia="Arial" w:hAnsi="Arial"/>
      <w:b/>
      <w:bCs/>
      <w:color w:val="1B2A4A"/>
      <w:sz w:val="32"/>
      <w:szCs w:val="32"/>
    </w:rPr>
  </w:style>
  <w:style w:type="paragraph" w:styleId="Heading2">
    <w:name w:val="Heading 2"/>
    <w:basedOn w:val="Normal"/>
    <w:next w:val="Normal"/>
    <w:qFormat/>
    <w:pPr>
      <w:spacing w:after="100" w:before="280"/>
      <w:outlineLvl w:val="1"/>
    </w:pPr>
    <w:rPr>
      <w:rFonts w:ascii="Arial" w:cs="Arial" w:eastAsia="Arial" w:hAnsi="Arial"/>
      <w:b/>
      <w:bCs/>
      <w:color w:val="2E5FA3"/>
      <w:sz w:val="26"/>
      <w:szCs w:val="26"/>
    </w:rPr>
  </w:style>
  <w:style w:type="paragraph" w:styleId="Heading3">
    <w:name w:val="Heading 3"/>
    <w:basedOn w:val="Normal"/>
    <w:next w:val="Normal"/>
    <w:qFormat/>
    <w:pPr>
      <w:spacing w:after="80" w:before="200"/>
      <w:outlineLvl w:val="2"/>
    </w:pPr>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2026-06-07T08:15:09.210Z</dcterms:created>
  <dcterms:modified xsi:type="dcterms:W3CDTF">2026-06-07T08:15:09.210Z</dcterms:modified>
</cp:coreProperties>
</file>

<file path=docProps/custom.xml><?xml version="1.0" encoding="utf-8"?>
<Properties xmlns="http://schemas.openxmlformats.org/officeDocument/2006/custom-properties" xmlns:vt="http://schemas.openxmlformats.org/officeDocument/2006/docPropsVTypes"/>
</file>