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before="900"/>
        <w:jc w:val="center"/>
      </w:pPr>
      <w:r>
        <w:rPr>
          <w:rFonts w:ascii="Arial" w:cs="Arial" w:eastAsia="Arial" w:hAnsi="Arial"/>
          <w:b/>
          <w:bCs/>
          <w:color w:val="C8A84A"/>
          <w:sz w:val="56"/>
          <w:szCs w:val="56"/>
        </w:rPr>
        <w:t xml:space="preserve">SableAssent</w:t>
      </w:r>
    </w:p>
    <w:p>
      <w:pPr>
        <w:spacing w:after="90" w:before="0"/>
        <w:jc w:val="center"/>
      </w:pPr>
      <w:r>
        <w:rPr>
          <w:rFonts w:ascii="Arial" w:cs="Arial" w:eastAsia="Arial" w:hAnsi="Arial"/>
          <w:b/>
          <w:bCs/>
          <w:color w:val="1B2A4A"/>
          <w:sz w:val="34"/>
          <w:szCs w:val="34"/>
        </w:rPr>
        <w:t xml:space="preserve">AML Regulatory Compliance Policy</w:t>
      </w:r>
    </w:p>
    <w:p>
      <w:pPr>
        <w:spacing w:after="70" w:before="0"/>
        <w:jc w:val="center"/>
      </w:pPr>
      <w:r>
        <w:rPr>
          <w:rFonts w:ascii="Arial" w:cs="Arial" w:eastAsia="Arial" w:hAnsi="Arial"/>
          <w:color w:val="5D6D7E"/>
          <w:sz w:val="22"/>
          <w:szCs w:val="22"/>
        </w:rPr>
        <w:t xml:space="preserve">Anti-Money Laundering Program for Members, Merchants, and Governance Token Holders</w:t>
      </w:r>
    </w:p>
    <w:p>
      <w:pPr>
        <w:spacing w:after="60" w:before="0"/>
        <w:jc w:val="center"/>
      </w:pPr>
      <w:r>
        <w:rPr>
          <w:rFonts w:ascii="Arial" w:cs="Arial" w:eastAsia="Arial" w:hAnsi="Arial"/>
          <w:color w:val="5D6D7E"/>
          <w:sz w:val="19"/>
          <w:szCs w:val="19"/>
        </w:rPr>
        <w:t xml:space="preserve">Effective Date: June 2026  |  Version 1.0</w:t>
      </w:r>
    </w:p>
    <w:p>
      <w:pPr>
        <w:pBdr>
          <w:bottom w:val="single" w:color="C8A84A" w:sz="6" w:space="1"/>
        </w:pBdr>
        <w:spacing w:after="160" w:before="1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c>
          <w:tcPr>
            <w:tcW w:type="dxa" w:w="3120"/>
            <w:tcBorders>
              <w:top w:val="single" w:color="1B2A4A" w:sz="1"/>
              <w:left w:val="single" w:color="1B2A4A" w:sz="1"/>
              <w:bottom w:val="single" w:color="1B2A4A" w:sz="1"/>
              <w:right w:val="single" w:color="1B2A4A" w:sz="1"/>
            </w:tcBorders>
            <w:shd w:fill="F5F7FA" w:val="clear"/>
            <w:tcMar>
              <w:top w:type="dxa" w:w="110"/>
              <w:left w:type="dxa" w:w="100"/>
              <w:bottom w:type="dxa" w:w="110"/>
              <w:right w:type="dxa" w:w="100"/>
            </w:tcMar>
          </w:tcPr>
          <w:p>
            <w:pPr>
              <w:jc w:val="center"/>
            </w:pPr>
            <w:r>
              <w:rPr>
                <w:rFonts w:ascii="Arial" w:cs="Arial" w:eastAsia="Arial" w:hAnsi="Arial"/>
                <w:b/>
                <w:bCs/>
                <w:color w:val="1B2A4A"/>
                <w:sz w:val="17"/>
                <w:szCs w:val="17"/>
              </w:rPr>
              <w:t xml:space="preserve">Document Ref: SAC-AML-001</w:t>
            </w:r>
          </w:p>
        </w:tc>
        <w:tc>
          <w:tcPr>
            <w:tcW w:type="dxa" w:w="3120"/>
            <w:tcBorders>
              <w:top w:val="single" w:color="C8A84A" w:sz="1"/>
              <w:left w:val="single" w:color="C8A84A" w:sz="1"/>
              <w:bottom w:val="single" w:color="C8A84A" w:sz="1"/>
              <w:right w:val="single" w:color="C8A84A" w:sz="1"/>
            </w:tcBorders>
            <w:shd w:fill="F5F7FA" w:val="clear"/>
            <w:tcMar>
              <w:top w:type="dxa" w:w="110"/>
              <w:left w:type="dxa" w:w="100"/>
              <w:bottom w:type="dxa" w:w="110"/>
              <w:right w:type="dxa" w:w="100"/>
            </w:tcMar>
          </w:tcPr>
          <w:p>
            <w:pPr>
              <w:jc w:val="center"/>
            </w:pPr>
            <w:r>
              <w:rPr>
                <w:rFonts w:ascii="Arial" w:cs="Arial" w:eastAsia="Arial" w:hAnsi="Arial"/>
                <w:b/>
                <w:bCs/>
                <w:color w:val="C8A84A"/>
                <w:sz w:val="17"/>
                <w:szCs w:val="17"/>
              </w:rPr>
              <w:t xml:space="preserve">Applies to: sableassent.com</w:t>
            </w:r>
          </w:p>
        </w:tc>
        <w:tc>
          <w:tcPr>
            <w:tcW w:type="dxa" w:w="3120"/>
            <w:tcBorders>
              <w:top w:val="single" w:color="1E7A4A" w:sz="1"/>
              <w:left w:val="single" w:color="1E7A4A" w:sz="1"/>
              <w:bottom w:val="single" w:color="1E7A4A" w:sz="1"/>
              <w:right w:val="single" w:color="1E7A4A" w:sz="1"/>
            </w:tcBorders>
            <w:shd w:fill="F5F7FA" w:val="clear"/>
            <w:tcMar>
              <w:top w:type="dxa" w:w="110"/>
              <w:left w:type="dxa" w:w="100"/>
              <w:bottom w:type="dxa" w:w="110"/>
              <w:right w:type="dxa" w:w="100"/>
            </w:tcMar>
          </w:tcPr>
          <w:p>
            <w:pPr>
              <w:jc w:val="center"/>
            </w:pPr>
            <w:r>
              <w:rPr>
                <w:rFonts w:ascii="Arial" w:cs="Arial" w:eastAsia="Arial" w:hAnsi="Arial"/>
                <w:b/>
                <w:bCs/>
                <w:color w:val="1E7A4A"/>
                <w:sz w:val="17"/>
                <w:szCs w:val="17"/>
              </w:rPr>
              <w:t xml:space="preserve">Classification: Public</w:t>
            </w:r>
          </w:p>
        </w:tc>
      </w:tr>
    </w:tbl>
    <w:p>
      <w:pPr>
        <w:spacing w:after="40" w:before="40"/>
      </w:pPr>
      <w:r>
        <w:rPr>
          <w:sz w:val="18"/>
          <w:szCs w:val="18"/>
        </w:rPr>
        <w:t xml:space="preserve"/>
      </w:r>
    </w:p>
    <w:p>
      <w:pPr>
        <w:spacing w:after="40" w:before="70"/>
        <w:jc w:val="center"/>
      </w:pPr>
      <w:r>
        <w:rPr>
          <w:rFonts w:ascii="Arial" w:cs="Arial" w:eastAsia="Arial" w:hAnsi="Arial"/>
          <w:color w:val="5D6D7E"/>
          <w:sz w:val="17"/>
          <w:szCs w:val="17"/>
        </w:rPr>
        <w:t xml:space="preserve">This policy governs SableAssent Coin Corporation and SableAssent Treasury Reserve SPV LLC merchant and member onboarding.</w:t>
      </w:r>
    </w:p>
    <w:p>
      <w:r>
        <w:br w:type="page"/>
      </w:r>
    </w:p>
    <w:p>
      <w:pPr>
        <w:pStyle w:val="Heading1"/>
        <w:spacing w:after="120" w:before="380"/>
      </w:pPr>
      <w:r>
        <w:rPr>
          <w:rFonts w:ascii="Arial" w:cs="Arial" w:eastAsia="Arial" w:hAnsi="Arial"/>
          <w:b/>
          <w:bCs/>
          <w:color w:val="1B2A4A"/>
          <w:sz w:val="30"/>
          <w:szCs w:val="30"/>
        </w:rPr>
        <w:t xml:space="preserve">1. Purpose</w:t>
      </w:r>
    </w:p>
    <w:p>
      <w:pPr>
        <w:spacing w:after="80" w:before="60"/>
      </w:pPr>
      <w:r>
        <w:rPr>
          <w:rFonts w:ascii="Arial" w:cs="Arial" w:eastAsia="Arial" w:hAnsi="Arial"/>
          <w:color w:val="1A1A1A"/>
          <w:sz w:val="21"/>
          <w:szCs w:val="21"/>
        </w:rPr>
        <w:t xml:space="preserve">SableAssent Coin Corporation and SableAssent Treasury Reserve SPV LLC (together, “SableAssent”) maintain a risk-based Anti-Money Laundering (AML) and Countering the Financing of Terrorism (CFT) program designed to detect, prevent, and report money laundering, terrorist financing, fraud, and sanctions evasion across all SableAssent platforms, including sableassent.com, sac1gov.com, and the SableAssent Merchant Payment API.</w:t>
      </w:r>
    </w:p>
    <w:p>
      <w:pPr>
        <w:spacing w:after="40" w:before="40"/>
      </w:pPr>
      <w:r>
        <w:rPr>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c>
          <w:tcPr>
            <w:tcW w:type="dxa" w:w="480"/>
            <w:tcBorders>
              <w:top w:val="single" w:color="2E5FA3" w:sz="1"/>
              <w:left w:val="single" w:color="2E5FA3" w:sz="1"/>
              <w:bottom w:val="single" w:color="2E5FA3" w:sz="1"/>
              <w:right w:val="single" w:color="2E5FA3" w:sz="1"/>
            </w:tcBorders>
            <w:shd w:fill="F5F7FA" w:val="clear"/>
            <w:tcMar>
              <w:top w:type="dxa" w:w="100"/>
              <w:left w:type="dxa" w:w="120"/>
              <w:bottom w:type="dxa" w:w="100"/>
              <w:right w:type="dxa" w:w="80"/>
            </w:tcMar>
            <w:vAlign w:val="center"/>
          </w:tcPr>
          <w:p>
            <w:pPr>
              <w:jc w:val="center"/>
            </w:pPr>
            <w:r>
              <w:rPr>
                <w:rFonts w:ascii="Arial" w:cs="Arial" w:eastAsia="Arial" w:hAnsi="Arial"/>
                <w:b/>
                <w:bCs/>
                <w:color w:val="2E5FA3"/>
                <w:sz w:val="24"/>
                <w:szCs w:val="24"/>
              </w:rPr>
              <w:t xml:space="preserve">ℹ</w:t>
            </w:r>
          </w:p>
        </w:tc>
        <w:tc>
          <w:tcPr>
            <w:tcW w:type="dxa" w:w="8880"/>
            <w:tcBorders>
              <w:top w:val="single" w:color="2E5FA3" w:sz="1"/>
              <w:left w:val="single" w:color="2E5FA3" w:sz="1"/>
              <w:bottom w:val="single" w:color="2E5FA3" w:sz="1"/>
              <w:right w:val="single" w:color="2E5FA3" w:sz="1"/>
            </w:tcBorders>
            <w:shd w:fill="F8FAFB" w:val="clear"/>
            <w:tcMar>
              <w:top w:type="dxa" w:w="100"/>
              <w:left w:type="dxa" w:w="160"/>
              <w:bottom w:type="dxa" w:w="100"/>
              <w:right w:type="dxa" w:w="120"/>
            </w:tcMar>
          </w:tcPr>
          <w:p>
            <w:pPr>
              <w:spacing w:after="30" w:before="0"/>
            </w:pPr>
            <w:r>
              <w:rPr>
                <w:rFonts w:ascii="Arial" w:cs="Arial" w:eastAsia="Arial" w:hAnsi="Arial"/>
                <w:color w:val="1A1A1A"/>
                <w:sz w:val="20"/>
                <w:szCs w:val="20"/>
              </w:rPr>
              <w:t xml:space="preserve">By checking “I confirm compliance with AML regulations” during Legal &amp; KYB onboarding, the applicant affirmatively agrees to comply with this policy as a condition of activating a merchant or member account on SableAssent.</w:t>
            </w:r>
          </w:p>
        </w:tc>
      </w:tr>
    </w:tbl>
    <w:p>
      <w:pPr>
        <w:spacing w:after="40" w:before="40"/>
      </w:pPr>
      <w:r>
        <w:rPr>
          <w:sz w:val="18"/>
          <w:szCs w:val="18"/>
        </w:rPr>
        <w:t xml:space="preserve"/>
      </w:r>
    </w:p>
    <w:p>
      <w:pPr>
        <w:spacing w:after="40" w:before="40"/>
      </w:pPr>
      <w:r>
        <w:rPr>
          <w:sz w:val="18"/>
          <w:szCs w:val="18"/>
        </w:rPr>
        <w:t xml:space="preserve"/>
      </w:r>
    </w:p>
    <w:p>
      <w:pPr>
        <w:pStyle w:val="Heading1"/>
        <w:spacing w:after="120" w:before="380"/>
      </w:pPr>
      <w:r>
        <w:rPr>
          <w:rFonts w:ascii="Arial" w:cs="Arial" w:eastAsia="Arial" w:hAnsi="Arial"/>
          <w:b/>
          <w:bCs/>
          <w:color w:val="1B2A4A"/>
          <w:sz w:val="30"/>
          <w:szCs w:val="30"/>
        </w:rPr>
        <w:t xml:space="preserve">2. Regulatory Framework</w:t>
      </w:r>
    </w:p>
    <w:p>
      <w:pPr>
        <w:spacing w:after="80" w:before="60"/>
      </w:pPr>
      <w:r>
        <w:rPr>
          <w:rFonts w:ascii="Arial" w:cs="Arial" w:eastAsia="Arial" w:hAnsi="Arial"/>
          <w:color w:val="1A1A1A"/>
          <w:sz w:val="21"/>
          <w:szCs w:val="21"/>
        </w:rPr>
        <w:t xml:space="preserve">This policy is built to satisfy the following regulatory regimes across SableAssent's operating jurisdictions: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2200"/>
        <w:gridCol w:w="4760"/>
      </w:tblGrid>
      <w:tr>
        <w:tc>
          <w:tcPr>
            <w:tcW w:type="dxa" w:w="2400"/>
            <w:tcBorders>
              <w:top w:val="single" w:color="1B2A4A" w:sz="1"/>
              <w:left w:val="single" w:color="1B2A4A" w:sz="1"/>
              <w:bottom w:val="single" w:color="1B2A4A" w:sz="1"/>
              <w:right w:val="single" w:color="1B2A4A" w:sz="1"/>
            </w:tcBorders>
            <w:shd w:fill="1B2A4A" w:val="clear"/>
            <w:tcMar>
              <w:top w:type="dxa" w:w="80"/>
              <w:left w:type="dxa" w:w="120"/>
              <w:bottom w:type="dxa" w:w="80"/>
              <w:right w:type="dxa" w:w="80"/>
            </w:tcMar>
          </w:tcPr>
          <w:p>
            <w:r>
              <w:rPr>
                <w:rFonts w:ascii="Arial" w:cs="Arial" w:eastAsia="Arial" w:hAnsi="Arial"/>
                <w:b/>
                <w:bCs/>
                <w:color w:val="FFFFFF"/>
                <w:sz w:val="19"/>
                <w:szCs w:val="19"/>
              </w:rPr>
              <w:t xml:space="preserve">Regulator</w:t>
            </w:r>
          </w:p>
        </w:tc>
        <w:tc>
          <w:tcPr>
            <w:tcW w:type="dxa" w:w="2200"/>
            <w:tcBorders>
              <w:top w:val="single" w:color="1B2A4A" w:sz="1"/>
              <w:left w:val="single" w:color="1B2A4A" w:sz="1"/>
              <w:bottom w:val="single" w:color="1B2A4A" w:sz="1"/>
              <w:right w:val="single" w:color="1B2A4A" w:sz="1"/>
            </w:tcBorders>
            <w:shd w:fill="1B2A4A" w:val="clear"/>
            <w:tcMar>
              <w:top w:type="dxa" w:w="80"/>
              <w:left w:type="dxa" w:w="120"/>
              <w:bottom w:type="dxa" w:w="80"/>
              <w:right w:type="dxa" w:w="80"/>
            </w:tcMar>
          </w:tcPr>
          <w:p>
            <w:r>
              <w:rPr>
                <w:rFonts w:ascii="Arial" w:cs="Arial" w:eastAsia="Arial" w:hAnsi="Arial"/>
                <w:b/>
                <w:bCs/>
                <w:color w:val="FFFFFF"/>
                <w:sz w:val="19"/>
                <w:szCs w:val="19"/>
              </w:rPr>
              <w:t xml:space="preserve">Jurisdiction</w:t>
            </w:r>
          </w:p>
        </w:tc>
        <w:tc>
          <w:tcPr>
            <w:tcW w:type="dxa" w:w="4760"/>
            <w:tcBorders>
              <w:top w:val="single" w:color="1B2A4A" w:sz="1"/>
              <w:left w:val="single" w:color="1B2A4A" w:sz="1"/>
              <w:bottom w:val="single" w:color="1B2A4A" w:sz="1"/>
              <w:right w:val="single" w:color="1B2A4A" w:sz="1"/>
            </w:tcBorders>
            <w:shd w:fill="1B2A4A" w:val="clear"/>
            <w:tcMar>
              <w:top w:type="dxa" w:w="80"/>
              <w:left w:type="dxa" w:w="120"/>
              <w:bottom w:type="dxa" w:w="80"/>
              <w:right w:type="dxa" w:w="80"/>
            </w:tcMar>
          </w:tcPr>
          <w:p>
            <w:r>
              <w:rPr>
                <w:rFonts w:ascii="Arial" w:cs="Arial" w:eastAsia="Arial" w:hAnsi="Arial"/>
                <w:b/>
                <w:bCs/>
                <w:color w:val="FFFFFF"/>
                <w:sz w:val="19"/>
                <w:szCs w:val="19"/>
              </w:rPr>
              <w:t xml:space="preserve">Core Requirement</w:t>
            </w:r>
          </w:p>
        </w:tc>
      </w:tr>
      <w:tr>
        <w:tc>
          <w:tcPr>
            <w:tcW w:type="dxa" w:w="240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1A1A1A"/>
                <w:sz w:val="19"/>
                <w:szCs w:val="19"/>
              </w:rPr>
              <w:t xml:space="preserve">FinCEN (BSA)</w:t>
            </w:r>
          </w:p>
        </w:tc>
        <w:tc>
          <w:tcPr>
            <w:tcW w:type="dxa" w:w="220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1A1A1A"/>
                <w:sz w:val="19"/>
                <w:szCs w:val="19"/>
              </w:rPr>
              <w:t xml:space="preserve">United States</w:t>
            </w:r>
          </w:p>
        </w:tc>
        <w:tc>
          <w:tcPr>
            <w:tcW w:type="dxa" w:w="476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1A1A1A"/>
                <w:sz w:val="19"/>
                <w:szCs w:val="19"/>
              </w:rPr>
              <w:t xml:space="preserve">MSB registration, 5-pillar AML program, SAR/CTR filing, CIP/CDD</w:t>
            </w:r>
          </w:p>
        </w:tc>
      </w:tr>
      <w:tr>
        <w:tc>
          <w:tcPr>
            <w:tcW w:type="dxa" w:w="240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color w:val="1A1A1A"/>
                <w:sz w:val="19"/>
                <w:szCs w:val="19"/>
              </w:rPr>
              <w:t xml:space="preserve">FATF</w:t>
            </w:r>
          </w:p>
        </w:tc>
        <w:tc>
          <w:tcPr>
            <w:tcW w:type="dxa" w:w="220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color w:val="1A1A1A"/>
                <w:sz w:val="19"/>
                <w:szCs w:val="19"/>
              </w:rPr>
              <w:t xml:space="preserve">Global</w:t>
            </w:r>
          </w:p>
        </w:tc>
        <w:tc>
          <w:tcPr>
            <w:tcW w:type="dxa" w:w="476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color w:val="1A1A1A"/>
                <w:sz w:val="19"/>
                <w:szCs w:val="19"/>
              </w:rPr>
              <w:t xml:space="preserve">Recommendations 10, 12, 16 — CDD, PEP, Travel Rule</w:t>
            </w:r>
          </w:p>
        </w:tc>
      </w:tr>
      <w:tr>
        <w:tc>
          <w:tcPr>
            <w:tcW w:type="dxa" w:w="240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1A1A1A"/>
                <w:sz w:val="19"/>
                <w:szCs w:val="19"/>
              </w:rPr>
              <w:t xml:space="preserve">OFAC</w:t>
            </w:r>
          </w:p>
        </w:tc>
        <w:tc>
          <w:tcPr>
            <w:tcW w:type="dxa" w:w="220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1A1A1A"/>
                <w:sz w:val="19"/>
                <w:szCs w:val="19"/>
              </w:rPr>
              <w:t xml:space="preserve">United States</w:t>
            </w:r>
          </w:p>
        </w:tc>
        <w:tc>
          <w:tcPr>
            <w:tcW w:type="dxa" w:w="476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1A1A1A"/>
                <w:sz w:val="19"/>
                <w:szCs w:val="19"/>
              </w:rPr>
              <w:t xml:space="preserve">Sanctions screening — SDN list, sectoral sanctions</w:t>
            </w:r>
          </w:p>
        </w:tc>
      </w:tr>
      <w:tr>
        <w:tc>
          <w:tcPr>
            <w:tcW w:type="dxa" w:w="240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color w:val="1A1A1A"/>
                <w:sz w:val="19"/>
                <w:szCs w:val="19"/>
              </w:rPr>
              <w:t xml:space="preserve">FCA</w:t>
            </w:r>
          </w:p>
        </w:tc>
        <w:tc>
          <w:tcPr>
            <w:tcW w:type="dxa" w:w="220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color w:val="1A1A1A"/>
                <w:sz w:val="19"/>
                <w:szCs w:val="19"/>
              </w:rPr>
              <w:t xml:space="preserve">United Kingdom</w:t>
            </w:r>
          </w:p>
        </w:tc>
        <w:tc>
          <w:tcPr>
            <w:tcW w:type="dxa" w:w="476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color w:val="1A1A1A"/>
                <w:sz w:val="19"/>
                <w:szCs w:val="19"/>
              </w:rPr>
              <w:t xml:space="preserve">Money Laundering Regulations 2017, SYSC guidance</w:t>
            </w:r>
          </w:p>
        </w:tc>
      </w:tr>
      <w:tr>
        <w:tc>
          <w:tcPr>
            <w:tcW w:type="dxa" w:w="240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1A1A1A"/>
                <w:sz w:val="19"/>
                <w:szCs w:val="19"/>
              </w:rPr>
              <w:t xml:space="preserve">EU 5AMLD / 6AMLD</w:t>
            </w:r>
          </w:p>
        </w:tc>
        <w:tc>
          <w:tcPr>
            <w:tcW w:type="dxa" w:w="220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1A1A1A"/>
                <w:sz w:val="19"/>
                <w:szCs w:val="19"/>
              </w:rPr>
              <w:t xml:space="preserve">European Union</w:t>
            </w:r>
          </w:p>
        </w:tc>
        <w:tc>
          <w:tcPr>
            <w:tcW w:type="dxa" w:w="476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1A1A1A"/>
                <w:sz w:val="19"/>
                <w:szCs w:val="19"/>
              </w:rPr>
              <w:t xml:space="preserve">Customer due diligence, beneficial ownership transparency</w:t>
            </w:r>
          </w:p>
        </w:tc>
      </w:tr>
      <w:tr>
        <w:tc>
          <w:tcPr>
            <w:tcW w:type="dxa" w:w="240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color w:val="1A1A1A"/>
                <w:sz w:val="19"/>
                <w:szCs w:val="19"/>
              </w:rPr>
              <w:t xml:space="preserve">MiCA</w:t>
            </w:r>
          </w:p>
        </w:tc>
        <w:tc>
          <w:tcPr>
            <w:tcW w:type="dxa" w:w="220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color w:val="1A1A1A"/>
                <w:sz w:val="19"/>
                <w:szCs w:val="19"/>
              </w:rPr>
              <w:t xml:space="preserve">European Union</w:t>
            </w:r>
          </w:p>
        </w:tc>
        <w:tc>
          <w:tcPr>
            <w:tcW w:type="dxa" w:w="476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color w:val="1A1A1A"/>
                <w:sz w:val="19"/>
                <w:szCs w:val="19"/>
              </w:rPr>
              <w:t xml:space="preserve">CASP AML/CFT obligations for digital asset service providers</w:t>
            </w:r>
          </w:p>
        </w:tc>
      </w:tr>
      <w:tr>
        <w:tc>
          <w:tcPr>
            <w:tcW w:type="dxa" w:w="240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1A1A1A"/>
                <w:sz w:val="19"/>
                <w:szCs w:val="19"/>
              </w:rPr>
              <w:t xml:space="preserve">Central Bank of Nigeria (CBN)</w:t>
            </w:r>
          </w:p>
        </w:tc>
        <w:tc>
          <w:tcPr>
            <w:tcW w:type="dxa" w:w="220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1A1A1A"/>
                <w:sz w:val="19"/>
                <w:szCs w:val="19"/>
              </w:rPr>
              <w:t xml:space="preserve">Nigeria</w:t>
            </w:r>
          </w:p>
        </w:tc>
        <w:tc>
          <w:tcPr>
            <w:tcW w:type="dxa" w:w="476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1A1A1A"/>
                <w:sz w:val="19"/>
                <w:szCs w:val="19"/>
              </w:rPr>
              <w:t xml:space="preserve">AML/CFT guidelines for payment service providers</w:t>
            </w:r>
          </w:p>
        </w:tc>
      </w:tr>
      <w:tr>
        <w:tc>
          <w:tcPr>
            <w:tcW w:type="dxa" w:w="240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color w:val="1A1A1A"/>
                <w:sz w:val="19"/>
                <w:szCs w:val="19"/>
              </w:rPr>
              <w:t xml:space="preserve">Bank of Ghana</w:t>
            </w:r>
          </w:p>
        </w:tc>
        <w:tc>
          <w:tcPr>
            <w:tcW w:type="dxa" w:w="220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color w:val="1A1A1A"/>
                <w:sz w:val="19"/>
                <w:szCs w:val="19"/>
              </w:rPr>
              <w:t xml:space="preserve">Ghana</w:t>
            </w:r>
          </w:p>
        </w:tc>
        <w:tc>
          <w:tcPr>
            <w:tcW w:type="dxa" w:w="476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color w:val="1A1A1A"/>
                <w:sz w:val="19"/>
                <w:szCs w:val="19"/>
              </w:rPr>
              <w:t xml:space="preserve">AML Act 2020 (Act 1044) compliance</w:t>
            </w:r>
          </w:p>
        </w:tc>
      </w:tr>
      <w:tr>
        <w:tc>
          <w:tcPr>
            <w:tcW w:type="dxa" w:w="240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1A1A1A"/>
                <w:sz w:val="19"/>
                <w:szCs w:val="19"/>
              </w:rPr>
              <w:t xml:space="preserve">GIABA</w:t>
            </w:r>
          </w:p>
        </w:tc>
        <w:tc>
          <w:tcPr>
            <w:tcW w:type="dxa" w:w="220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1A1A1A"/>
                <w:sz w:val="19"/>
                <w:szCs w:val="19"/>
              </w:rPr>
              <w:t xml:space="preserve">West Africa</w:t>
            </w:r>
          </w:p>
        </w:tc>
        <w:tc>
          <w:tcPr>
            <w:tcW w:type="dxa" w:w="476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1A1A1A"/>
                <w:sz w:val="19"/>
                <w:szCs w:val="19"/>
              </w:rPr>
              <w:t xml:space="preserve">Regional FATF-style mutual evaluation standards</w:t>
            </w:r>
          </w:p>
        </w:tc>
      </w:tr>
    </w:tbl>
    <w:p>
      <w:pPr>
        <w:spacing w:after="40" w:before="40"/>
      </w:pPr>
      <w:r>
        <w:rPr>
          <w:sz w:val="18"/>
          <w:szCs w:val="18"/>
        </w:rPr>
        <w:t xml:space="preserve"/>
      </w:r>
    </w:p>
    <w:p>
      <w:pPr>
        <w:spacing w:after="40" w:before="40"/>
      </w:pPr>
      <w:r>
        <w:rPr>
          <w:sz w:val="18"/>
          <w:szCs w:val="18"/>
        </w:rPr>
        <w:t xml:space="preserve"/>
      </w:r>
    </w:p>
    <w:p>
      <w:pPr>
        <w:pStyle w:val="Heading1"/>
        <w:spacing w:after="120" w:before="380"/>
      </w:pPr>
      <w:r>
        <w:rPr>
          <w:rFonts w:ascii="Arial" w:cs="Arial" w:eastAsia="Arial" w:hAnsi="Arial"/>
          <w:b/>
          <w:bCs/>
          <w:color w:val="1B2A4A"/>
          <w:sz w:val="30"/>
          <w:szCs w:val="30"/>
        </w:rPr>
        <w:t xml:space="preserve">3. The Five Pillars of the SableAssent AML Program</w:t>
      </w:r>
    </w:p>
    <w:p>
      <w:pPr>
        <w:pStyle w:val="Heading2"/>
        <w:pBdr>
          <w:bottom w:val="single" w:color="C8A84A" w:sz="4" w:space="4"/>
        </w:pBdr>
        <w:spacing w:after="100" w:before="260"/>
      </w:pPr>
      <w:r>
        <w:rPr>
          <w:rFonts w:ascii="Arial" w:cs="Arial" w:eastAsia="Arial" w:hAnsi="Arial"/>
          <w:b/>
          <w:bCs/>
          <w:color w:val="2E5FA3"/>
          <w:sz w:val="24"/>
          <w:szCs w:val="24"/>
        </w:rPr>
        <w:t xml:space="preserve">Pillar 1 — Designated Compliance Officer</w:t>
      </w:r>
    </w:p>
    <w:p>
      <w:pPr>
        <w:spacing w:after="80" w:before="60"/>
      </w:pPr>
      <w:r>
        <w:rPr>
          <w:rFonts w:ascii="Arial" w:cs="Arial" w:eastAsia="Arial" w:hAnsi="Arial"/>
          <w:color w:val="1A1A1A"/>
          <w:sz w:val="21"/>
          <w:szCs w:val="21"/>
        </w:rPr>
        <w:t xml:space="preserve">SableAssent designates a Chief Compliance Officer (CCO) responsible for day-to-day administration of the AML program, SAR/CTR filing authority, and regulatory liaison.</w:t>
      </w:r>
    </w:p>
    <w:p>
      <w:pPr>
        <w:spacing w:after="40" w:before="40"/>
      </w:pPr>
      <w:r>
        <w:rPr>
          <w:sz w:val="18"/>
          <w:szCs w:val="18"/>
        </w:rPr>
        <w:t xml:space="preserve"/>
      </w:r>
    </w:p>
    <w:p>
      <w:pPr>
        <w:pStyle w:val="Heading2"/>
        <w:pBdr>
          <w:bottom w:val="single" w:color="C8A84A" w:sz="4" w:space="4"/>
        </w:pBdr>
        <w:spacing w:after="100" w:before="260"/>
      </w:pPr>
      <w:r>
        <w:rPr>
          <w:rFonts w:ascii="Arial" w:cs="Arial" w:eastAsia="Arial" w:hAnsi="Arial"/>
          <w:b/>
          <w:bCs/>
          <w:color w:val="2E5FA3"/>
          <w:sz w:val="24"/>
          <w:szCs w:val="24"/>
        </w:rPr>
        <w:t xml:space="preserve">Pillar 2 — Internal Policies, Procedures, and Controls</w:t>
      </w:r>
    </w:p>
    <w:p>
      <w:pPr>
        <w:spacing w:after="80" w:before="60"/>
      </w:pPr>
      <w:r>
        <w:rPr>
          <w:rFonts w:ascii="Arial" w:cs="Arial" w:eastAsia="Arial" w:hAnsi="Arial"/>
          <w:color w:val="1A1A1A"/>
          <w:sz w:val="21"/>
          <w:szCs w:val="21"/>
        </w:rPr>
        <w:t xml:space="preserve">This policy, together with the SableAssent AML/KYC Policy and PEP Policy (SAC-PEP-001), constitutes the documented control framework applied to every onboarding and transaction.</w:t>
      </w:r>
    </w:p>
    <w:p>
      <w:pPr>
        <w:spacing w:after="40" w:before="40"/>
      </w:pPr>
      <w:r>
        <w:rPr>
          <w:sz w:val="18"/>
          <w:szCs w:val="18"/>
        </w:rPr>
        <w:t xml:space="preserve"/>
      </w:r>
    </w:p>
    <w:p>
      <w:pPr>
        <w:pStyle w:val="Heading2"/>
        <w:pBdr>
          <w:bottom w:val="single" w:color="C8A84A" w:sz="4" w:space="4"/>
        </w:pBdr>
        <w:spacing w:after="100" w:before="260"/>
      </w:pPr>
      <w:r>
        <w:rPr>
          <w:rFonts w:ascii="Arial" w:cs="Arial" w:eastAsia="Arial" w:hAnsi="Arial"/>
          <w:b/>
          <w:bCs/>
          <w:color w:val="2E5FA3"/>
          <w:sz w:val="24"/>
          <w:szCs w:val="24"/>
        </w:rPr>
        <w:t xml:space="preserve">Pillar 3 — Independent Testing</w:t>
      </w:r>
    </w:p>
    <w:p>
      <w:pPr>
        <w:spacing w:after="80" w:before="60"/>
      </w:pPr>
      <w:r>
        <w:rPr>
          <w:rFonts w:ascii="Arial" w:cs="Arial" w:eastAsia="Arial" w:hAnsi="Arial"/>
          <w:color w:val="1A1A1A"/>
          <w:sz w:val="21"/>
          <w:szCs w:val="21"/>
        </w:rPr>
        <w:t xml:space="preserve">An independent party (internal audit function or external firm) tests the AML program for effectiveness no less than annually.</w:t>
      </w:r>
    </w:p>
    <w:p>
      <w:pPr>
        <w:spacing w:after="40" w:before="40"/>
      </w:pPr>
      <w:r>
        <w:rPr>
          <w:sz w:val="18"/>
          <w:szCs w:val="18"/>
        </w:rPr>
        <w:t xml:space="preserve"/>
      </w:r>
    </w:p>
    <w:p>
      <w:pPr>
        <w:pStyle w:val="Heading2"/>
        <w:pBdr>
          <w:bottom w:val="single" w:color="C8A84A" w:sz="4" w:space="4"/>
        </w:pBdr>
        <w:spacing w:after="100" w:before="260"/>
      </w:pPr>
      <w:r>
        <w:rPr>
          <w:rFonts w:ascii="Arial" w:cs="Arial" w:eastAsia="Arial" w:hAnsi="Arial"/>
          <w:b/>
          <w:bCs/>
          <w:color w:val="2E5FA3"/>
          <w:sz w:val="24"/>
          <w:szCs w:val="24"/>
        </w:rPr>
        <w:t xml:space="preserve">Pillar 4 — Ongoing Employee Training</w:t>
      </w:r>
    </w:p>
    <w:p>
      <w:pPr>
        <w:spacing w:after="80" w:before="60"/>
      </w:pPr>
      <w:r>
        <w:rPr>
          <w:rFonts w:ascii="Arial" w:cs="Arial" w:eastAsia="Arial" w:hAnsi="Arial"/>
          <w:color w:val="1A1A1A"/>
          <w:sz w:val="21"/>
          <w:szCs w:val="21"/>
        </w:rPr>
        <w:t xml:space="preserve">All SableAssent staff with AML-relevant responsibilities complete mandatory AML training upon hire and annually thereafter.</w:t>
      </w:r>
    </w:p>
    <w:p>
      <w:pPr>
        <w:spacing w:after="40" w:before="40"/>
      </w:pPr>
      <w:r>
        <w:rPr>
          <w:sz w:val="18"/>
          <w:szCs w:val="18"/>
        </w:rPr>
        <w:t xml:space="preserve"/>
      </w:r>
    </w:p>
    <w:p>
      <w:pPr>
        <w:pStyle w:val="Heading2"/>
        <w:pBdr>
          <w:bottom w:val="single" w:color="C8A84A" w:sz="4" w:space="4"/>
        </w:pBdr>
        <w:spacing w:after="100" w:before="260"/>
      </w:pPr>
      <w:r>
        <w:rPr>
          <w:rFonts w:ascii="Arial" w:cs="Arial" w:eastAsia="Arial" w:hAnsi="Arial"/>
          <w:b/>
          <w:bCs/>
          <w:color w:val="2E5FA3"/>
          <w:sz w:val="24"/>
          <w:szCs w:val="24"/>
        </w:rPr>
        <w:t xml:space="preserve">Pillar 5 — Customer Due Diligence (CDD) Program</w:t>
      </w:r>
    </w:p>
    <w:p>
      <w:pPr>
        <w:spacing w:after="80" w:before="60"/>
      </w:pPr>
      <w:r>
        <w:rPr>
          <w:rFonts w:ascii="Arial" w:cs="Arial" w:eastAsia="Arial" w:hAnsi="Arial"/>
          <w:color w:val="1A1A1A"/>
          <w:sz w:val="21"/>
          <w:szCs w:val="21"/>
        </w:rPr>
        <w:t xml:space="preserve">Risk-based identity verification and ongoing monitoring applied to every member, merchant, and beneficial owner, as detailed in Section 4.</w:t>
      </w:r>
    </w:p>
    <w:p>
      <w:pPr>
        <w:spacing w:after="40" w:before="40"/>
      </w:pPr>
      <w:r>
        <w:rPr>
          <w:sz w:val="18"/>
          <w:szCs w:val="18"/>
        </w:rPr>
        <w:t xml:space="preserve"/>
      </w:r>
    </w:p>
    <w:p>
      <w:pPr>
        <w:spacing w:after="40" w:before="40"/>
      </w:pPr>
      <w:r>
        <w:rPr>
          <w:sz w:val="18"/>
          <w:szCs w:val="18"/>
        </w:rPr>
        <w:t xml:space="preserve"/>
      </w:r>
    </w:p>
    <w:p>
      <w:pPr>
        <w:pStyle w:val="Heading1"/>
        <w:spacing w:after="120" w:before="380"/>
      </w:pPr>
      <w:r>
        <w:rPr>
          <w:rFonts w:ascii="Arial" w:cs="Arial" w:eastAsia="Arial" w:hAnsi="Arial"/>
          <w:b/>
          <w:bCs/>
          <w:color w:val="1B2A4A"/>
          <w:sz w:val="30"/>
          <w:szCs w:val="30"/>
        </w:rPr>
        <w:t xml:space="preserve">4. Customer and Merchant Due Diligence (KYB / KYC)</w:t>
      </w:r>
    </w:p>
    <w:p>
      <w:pPr>
        <w:pStyle w:val="Heading2"/>
        <w:pBdr>
          <w:bottom w:val="single" w:color="C8A84A" w:sz="4" w:space="4"/>
        </w:pBdr>
        <w:spacing w:after="100" w:before="260"/>
      </w:pPr>
      <w:r>
        <w:rPr>
          <w:rFonts w:ascii="Arial" w:cs="Arial" w:eastAsia="Arial" w:hAnsi="Arial"/>
          <w:b/>
          <w:bCs/>
          <w:color w:val="2E5FA3"/>
          <w:sz w:val="24"/>
          <w:szCs w:val="24"/>
        </w:rPr>
        <w:t xml:space="preserve">4.1 Know Your Business (KYB) — Merchant Onboarding</w:t>
      </w:r>
    </w:p>
    <w:p>
      <w:pPr>
        <w:spacing w:after="80" w:before="60"/>
      </w:pPr>
      <w:r>
        <w:rPr>
          <w:rFonts w:ascii="Arial" w:cs="Arial" w:eastAsia="Arial" w:hAnsi="Arial"/>
          <w:color w:val="1A1A1A"/>
          <w:sz w:val="21"/>
          <w:szCs w:val="21"/>
        </w:rPr>
        <w:t xml:space="preserve">Every business registering to accept SAC1 (PoS) as a form of payment through the SableAssent Merchant Payment API must complete the Legal &amp; KYB step shown on the onboarding screen, which collects:</w:t>
      </w:r>
    </w:p>
    <w:p>
      <w:pPr>
        <w:pStyle w:val="ListParagraph"/>
        <w:numPr>
          <w:ilvl w:val="0"/>
          <w:numId w:val="2"/>
        </w:numPr>
        <w:spacing w:after="40" w:before="40"/>
      </w:pPr>
      <w:r>
        <w:rPr>
          <w:rFonts w:ascii="Arial" w:cs="Arial" w:eastAsia="Arial" w:hAnsi="Arial"/>
          <w:color w:val="1A1A1A"/>
          <w:sz w:val="21"/>
          <w:szCs w:val="21"/>
        </w:rPr>
        <w:t xml:space="preserve">Business Registration Number</w:t>
      </w:r>
    </w:p>
    <w:p>
      <w:pPr>
        <w:pStyle w:val="ListParagraph"/>
        <w:numPr>
          <w:ilvl w:val="0"/>
          <w:numId w:val="2"/>
        </w:numPr>
        <w:spacing w:after="40" w:before="40"/>
      </w:pPr>
      <w:r>
        <w:rPr>
          <w:rFonts w:ascii="Arial" w:cs="Arial" w:eastAsia="Arial" w:hAnsi="Arial"/>
          <w:color w:val="1A1A1A"/>
          <w:sz w:val="21"/>
          <w:szCs w:val="21"/>
        </w:rPr>
        <w:t xml:space="preserve">Tax ID / EIN / VAT Number</w:t>
      </w:r>
    </w:p>
    <w:p>
      <w:pPr>
        <w:pStyle w:val="ListParagraph"/>
        <w:numPr>
          <w:ilvl w:val="0"/>
          <w:numId w:val="2"/>
        </w:numPr>
        <w:spacing w:after="40" w:before="40"/>
      </w:pPr>
      <w:r>
        <w:rPr>
          <w:rFonts w:ascii="Arial" w:cs="Arial" w:eastAsia="Arial" w:hAnsi="Arial"/>
          <w:color w:val="1A1A1A"/>
          <w:sz w:val="21"/>
          <w:szCs w:val="21"/>
        </w:rPr>
        <w:t xml:space="preserve">Certificate of Incorporation (PDF/JPG, max 5MB)</w:t>
      </w:r>
    </w:p>
    <w:p>
      <w:pPr>
        <w:pStyle w:val="ListParagraph"/>
        <w:numPr>
          <w:ilvl w:val="0"/>
          <w:numId w:val="2"/>
        </w:numPr>
        <w:spacing w:after="40" w:before="40"/>
      </w:pPr>
      <w:r>
        <w:rPr>
          <w:rFonts w:ascii="Arial" w:cs="Arial" w:eastAsia="Arial" w:hAnsi="Arial"/>
          <w:color w:val="1A1A1A"/>
          <w:sz w:val="21"/>
          <w:szCs w:val="21"/>
        </w:rPr>
        <w:t xml:space="preserve">Government-issued ID of the authorized signatory (PDF/JPG, max 5MB)</w:t>
      </w:r>
    </w:p>
    <w:p>
      <w:pPr>
        <w:pStyle w:val="ListParagraph"/>
        <w:numPr>
          <w:ilvl w:val="0"/>
          <w:numId w:val="2"/>
        </w:numPr>
        <w:spacing w:after="40" w:before="40"/>
      </w:pPr>
      <w:r>
        <w:rPr>
          <w:rFonts w:ascii="Arial" w:cs="Arial" w:eastAsia="Arial" w:hAnsi="Arial"/>
          <w:color w:val="1A1A1A"/>
          <w:sz w:val="21"/>
          <w:szCs w:val="21"/>
        </w:rPr>
        <w:t xml:space="preserve">Proof of Address for the business (PDF/JPG, max 5MB)</w:t>
      </w:r>
    </w:p>
    <w:p>
      <w:pPr>
        <w:spacing w:after="40" w:before="40"/>
      </w:pPr>
      <w:r>
        <w:rPr>
          <w:sz w:val="18"/>
          <w:szCs w:val="18"/>
        </w:rPr>
        <w:t xml:space="preserve"/>
      </w:r>
    </w:p>
    <w:p>
      <w:pPr>
        <w:spacing w:after="80" w:before="60"/>
      </w:pPr>
      <w:r>
        <w:rPr>
          <w:rFonts w:ascii="Arial" w:cs="Arial" w:eastAsia="Arial" w:hAnsi="Arial"/>
          <w:color w:val="1A1A1A"/>
          <w:sz w:val="21"/>
          <w:szCs w:val="21"/>
        </w:rPr>
        <w:t xml:space="preserve">KYB review typically takes 2–5 business days. Applicants receive email status updates at each stage of review. Submitting accurate and complete documentation materially shortens review time.</w:t>
      </w:r>
    </w:p>
    <w:p>
      <w:pPr>
        <w:spacing w:after="40" w:before="40"/>
      </w:pPr>
      <w:r>
        <w:rPr>
          <w:sz w:val="18"/>
          <w:szCs w:val="18"/>
        </w:rPr>
        <w:t xml:space="preserve"/>
      </w:r>
    </w:p>
    <w:p>
      <w:pPr>
        <w:pStyle w:val="Heading2"/>
        <w:pBdr>
          <w:bottom w:val="single" w:color="C8A84A" w:sz="4" w:space="4"/>
        </w:pBdr>
        <w:spacing w:after="100" w:before="260"/>
      </w:pPr>
      <w:r>
        <w:rPr>
          <w:rFonts w:ascii="Arial" w:cs="Arial" w:eastAsia="Arial" w:hAnsi="Arial"/>
          <w:b/>
          <w:bCs/>
          <w:color w:val="2E5FA3"/>
          <w:sz w:val="24"/>
          <w:szCs w:val="24"/>
        </w:rPr>
        <w:t xml:space="preserve">4.2 Risk Tiering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3680"/>
        <w:gridCol w:w="3880"/>
      </w:tblGrid>
      <w:tr>
        <w:tc>
          <w:tcPr>
            <w:tcW w:type="dxa" w:w="1800"/>
            <w:tcBorders>
              <w:top w:val="single" w:color="1B2A4A" w:sz="1"/>
              <w:left w:val="single" w:color="1B2A4A" w:sz="1"/>
              <w:bottom w:val="single" w:color="1B2A4A" w:sz="1"/>
              <w:right w:val="single" w:color="1B2A4A" w:sz="1"/>
            </w:tcBorders>
            <w:shd w:fill="1B2A4A" w:val="clear"/>
            <w:tcMar>
              <w:top w:type="dxa" w:w="80"/>
              <w:left w:type="dxa" w:w="120"/>
              <w:bottom w:type="dxa" w:w="80"/>
              <w:right w:type="dxa" w:w="80"/>
            </w:tcMar>
          </w:tcPr>
          <w:p>
            <w:r>
              <w:rPr>
                <w:rFonts w:ascii="Arial" w:cs="Arial" w:eastAsia="Arial" w:hAnsi="Arial"/>
                <w:b/>
                <w:bCs/>
                <w:color w:val="FFFFFF"/>
                <w:sz w:val="19"/>
                <w:szCs w:val="19"/>
              </w:rPr>
              <w:t xml:space="preserve">Tier</w:t>
            </w:r>
          </w:p>
        </w:tc>
        <w:tc>
          <w:tcPr>
            <w:tcW w:type="dxa" w:w="3680"/>
            <w:tcBorders>
              <w:top w:val="single" w:color="1B2A4A" w:sz="1"/>
              <w:left w:val="single" w:color="1B2A4A" w:sz="1"/>
              <w:bottom w:val="single" w:color="1B2A4A" w:sz="1"/>
              <w:right w:val="single" w:color="1B2A4A" w:sz="1"/>
            </w:tcBorders>
            <w:shd w:fill="1B2A4A" w:val="clear"/>
            <w:tcMar>
              <w:top w:type="dxa" w:w="80"/>
              <w:left w:type="dxa" w:w="120"/>
              <w:bottom w:type="dxa" w:w="80"/>
              <w:right w:type="dxa" w:w="80"/>
            </w:tcMar>
          </w:tcPr>
          <w:p>
            <w:r>
              <w:rPr>
                <w:rFonts w:ascii="Arial" w:cs="Arial" w:eastAsia="Arial" w:hAnsi="Arial"/>
                <w:b/>
                <w:bCs/>
                <w:color w:val="FFFFFF"/>
                <w:sz w:val="19"/>
                <w:szCs w:val="19"/>
              </w:rPr>
              <w:t xml:space="preserve">Profile</w:t>
            </w:r>
          </w:p>
        </w:tc>
        <w:tc>
          <w:tcPr>
            <w:tcW w:type="dxa" w:w="3880"/>
            <w:tcBorders>
              <w:top w:val="single" w:color="1B2A4A" w:sz="1"/>
              <w:left w:val="single" w:color="1B2A4A" w:sz="1"/>
              <w:bottom w:val="single" w:color="1B2A4A" w:sz="1"/>
              <w:right w:val="single" w:color="1B2A4A" w:sz="1"/>
            </w:tcBorders>
            <w:shd w:fill="1B2A4A" w:val="clear"/>
            <w:tcMar>
              <w:top w:type="dxa" w:w="80"/>
              <w:left w:type="dxa" w:w="120"/>
              <w:bottom w:type="dxa" w:w="80"/>
              <w:right w:type="dxa" w:w="80"/>
            </w:tcMar>
          </w:tcPr>
          <w:p>
            <w:r>
              <w:rPr>
                <w:rFonts w:ascii="Arial" w:cs="Arial" w:eastAsia="Arial" w:hAnsi="Arial"/>
                <w:b/>
                <w:bCs/>
                <w:color w:val="FFFFFF"/>
                <w:sz w:val="19"/>
                <w:szCs w:val="19"/>
              </w:rPr>
              <w:t xml:space="preserve">Diligence Applied</w:t>
            </w:r>
          </w:p>
        </w:tc>
      </w:tr>
      <w:tr>
        <w:tc>
          <w:tcPr>
            <w:tcW w:type="dxa" w:w="180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1A1A1A"/>
                <w:sz w:val="19"/>
                <w:szCs w:val="19"/>
              </w:rPr>
              <w:t xml:space="preserve">Tier 1 — Low</w:t>
            </w:r>
          </w:p>
        </w:tc>
        <w:tc>
          <w:tcPr>
            <w:tcW w:type="dxa" w:w="368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1A1A1A"/>
                <w:sz w:val="19"/>
                <w:szCs w:val="19"/>
              </w:rPr>
              <w:t xml:space="preserve">Individual governance member, low transaction volume</w:t>
            </w:r>
          </w:p>
        </w:tc>
        <w:tc>
          <w:tcPr>
            <w:tcW w:type="dxa" w:w="388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1A1A1A"/>
                <w:sz w:val="19"/>
                <w:szCs w:val="19"/>
              </w:rPr>
              <w:t xml:space="preserve">Standard CIP — identity verification, sanctions screening</w:t>
            </w:r>
          </w:p>
        </w:tc>
      </w:tr>
      <w:tr>
        <w:tc>
          <w:tcPr>
            <w:tcW w:type="dxa" w:w="180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color w:val="1A1A1A"/>
                <w:sz w:val="19"/>
                <w:szCs w:val="19"/>
              </w:rPr>
              <w:t xml:space="preserve">Tier 2 — Standard</w:t>
            </w:r>
          </w:p>
        </w:tc>
        <w:tc>
          <w:tcPr>
            <w:tcW w:type="dxa" w:w="368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color w:val="1A1A1A"/>
                <w:sz w:val="19"/>
                <w:szCs w:val="19"/>
              </w:rPr>
              <w:t xml:space="preserve">Registered merchant, moderate transaction volume</w:t>
            </w:r>
          </w:p>
        </w:tc>
        <w:tc>
          <w:tcPr>
            <w:tcW w:type="dxa" w:w="388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color w:val="1A1A1A"/>
                <w:sz w:val="19"/>
                <w:szCs w:val="19"/>
              </w:rPr>
              <w:t xml:space="preserve">Standard KYB — business verification, beneficial ownership at 25%+, sanctions and PEP screening</w:t>
            </w:r>
          </w:p>
        </w:tc>
      </w:tr>
      <w:tr>
        <w:tc>
          <w:tcPr>
            <w:tcW w:type="dxa" w:w="180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1A1A1A"/>
                <w:sz w:val="19"/>
                <w:szCs w:val="19"/>
              </w:rPr>
              <w:t xml:space="preserve">Tier 3 — Enhanced</w:t>
            </w:r>
          </w:p>
        </w:tc>
        <w:tc>
          <w:tcPr>
            <w:tcW w:type="dxa" w:w="368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1A1A1A"/>
                <w:sz w:val="19"/>
                <w:szCs w:val="19"/>
              </w:rPr>
              <w:t xml:space="preserve">PEP match, high transaction volume, high-risk jurisdiction, or adverse media hit</w:t>
            </w:r>
          </w:p>
        </w:tc>
        <w:tc>
          <w:tcPr>
            <w:tcW w:type="dxa" w:w="388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1A1A1A"/>
                <w:sz w:val="19"/>
                <w:szCs w:val="19"/>
              </w:rPr>
              <w:t xml:space="preserve">Enhanced Due Diligence — source of funds/wealth, CCO sign-off, quarterly review</w:t>
            </w:r>
          </w:p>
        </w:tc>
      </w:tr>
    </w:tbl>
    <w:p>
      <w:pPr>
        <w:spacing w:after="40" w:before="40"/>
      </w:pPr>
      <w:r>
        <w:rPr>
          <w:sz w:val="18"/>
          <w:szCs w:val="18"/>
        </w:rPr>
        <w:t xml:space="preserve"/>
      </w:r>
    </w:p>
    <w:p>
      <w:pPr>
        <w:spacing w:after="40" w:before="40"/>
      </w:pPr>
      <w:r>
        <w:rPr>
          <w:sz w:val="18"/>
          <w:szCs w:val="18"/>
        </w:rPr>
        <w:t xml:space="preserve"/>
      </w:r>
    </w:p>
    <w:p>
      <w:pPr>
        <w:pStyle w:val="Heading1"/>
        <w:spacing w:after="120" w:before="380"/>
      </w:pPr>
      <w:r>
        <w:rPr>
          <w:rFonts w:ascii="Arial" w:cs="Arial" w:eastAsia="Arial" w:hAnsi="Arial"/>
          <w:b/>
          <w:bCs/>
          <w:color w:val="1B2A4A"/>
          <w:sz w:val="30"/>
          <w:szCs w:val="30"/>
        </w:rPr>
        <w:t xml:space="preserve">5. Sanctions and PEP Screening</w:t>
      </w:r>
    </w:p>
    <w:p>
      <w:pPr>
        <w:pStyle w:val="ListParagraph"/>
        <w:numPr>
          <w:ilvl w:val="0"/>
          <w:numId w:val="2"/>
        </w:numPr>
        <w:spacing w:after="40" w:before="40"/>
      </w:pPr>
      <w:r>
        <w:rPr>
          <w:rFonts w:ascii="Arial" w:cs="Arial" w:eastAsia="Arial" w:hAnsi="Arial"/>
          <w:color w:val="1A1A1A"/>
          <w:sz w:val="21"/>
          <w:szCs w:val="21"/>
        </w:rPr>
        <w:t xml:space="preserve">Every applicant, beneficial owner (25%+ ownership), and authorized signatory is screened against the OFAC Specially Designated Nationals (SDN) list, UN Security Council Consolidated List, EU Financial Sanctions List, and UK OFSI Consolidated List</w:t>
      </w:r>
    </w:p>
    <w:p>
      <w:pPr>
        <w:pStyle w:val="ListParagraph"/>
        <w:numPr>
          <w:ilvl w:val="0"/>
          <w:numId w:val="2"/>
        </w:numPr>
        <w:spacing w:after="40" w:before="40"/>
      </w:pPr>
      <w:r>
        <w:rPr>
          <w:rFonts w:ascii="Arial" w:cs="Arial" w:eastAsia="Arial" w:hAnsi="Arial"/>
          <w:color w:val="1A1A1A"/>
          <w:sz w:val="21"/>
          <w:szCs w:val="21"/>
        </w:rPr>
        <w:t xml:space="preserve">Screening is performed at onboarding and on an ongoing basis using AMLBot and/or TRM Labs blockchain analytics combined with traditional sanctions database screening</w:t>
      </w:r>
    </w:p>
    <w:p>
      <w:pPr>
        <w:pStyle w:val="ListParagraph"/>
        <w:numPr>
          <w:ilvl w:val="0"/>
          <w:numId w:val="2"/>
        </w:numPr>
        <w:spacing w:after="40" w:before="40"/>
      </w:pPr>
      <w:r>
        <w:rPr>
          <w:rFonts w:ascii="Arial" w:cs="Arial" w:eastAsia="Arial" w:hAnsi="Arial"/>
          <w:color w:val="1A1A1A"/>
          <w:sz w:val="21"/>
          <w:szCs w:val="21"/>
        </w:rPr>
        <w:t xml:space="preserve">Politically Exposed Person (PEP) screening is performed in accordance with the standalone PEP Policy (SAC-PEP-001) — see that document for full detail</w:t>
      </w:r>
    </w:p>
    <w:p>
      <w:pPr>
        <w:pStyle w:val="ListParagraph"/>
        <w:numPr>
          <w:ilvl w:val="0"/>
          <w:numId w:val="2"/>
        </w:numPr>
        <w:spacing w:after="40" w:before="40"/>
      </w:pPr>
      <w:r>
        <w:rPr>
          <w:rFonts w:ascii="Arial" w:cs="Arial" w:eastAsia="Arial" w:hAnsi="Arial"/>
          <w:color w:val="1A1A1A"/>
          <w:sz w:val="21"/>
          <w:szCs w:val="21"/>
        </w:rPr>
        <w:t xml:space="preserve">A confirmed sanctions match results in immediate account suspension and may trigger a Suspicious Activity Report (SAR) filing</w:t>
      </w:r>
    </w:p>
    <w:p>
      <w:pPr>
        <w:spacing w:after="40" w:before="40"/>
      </w:pPr>
      <w:r>
        <w:rPr>
          <w:sz w:val="18"/>
          <w:szCs w:val="18"/>
        </w:rPr>
        <w:t xml:space="preserve"/>
      </w:r>
    </w:p>
    <w:p>
      <w:pPr>
        <w:spacing w:after="40" w:before="40"/>
      </w:pPr>
      <w:r>
        <w:rPr>
          <w:sz w:val="18"/>
          <w:szCs w:val="18"/>
        </w:rPr>
        <w:t xml:space="preserve"/>
      </w:r>
    </w:p>
    <w:p>
      <w:pPr>
        <w:pStyle w:val="Heading1"/>
        <w:spacing w:after="120" w:before="380"/>
      </w:pPr>
      <w:r>
        <w:rPr>
          <w:rFonts w:ascii="Arial" w:cs="Arial" w:eastAsia="Arial" w:hAnsi="Arial"/>
          <w:b/>
          <w:bCs/>
          <w:color w:val="1B2A4A"/>
          <w:sz w:val="30"/>
          <w:szCs w:val="30"/>
        </w:rPr>
        <w:t xml:space="preserve">6. Transaction Monitoring and Reporting Thresholds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2760"/>
        <w:gridCol w:w="3000"/>
      </w:tblGrid>
      <w:tr>
        <w:tc>
          <w:tcPr>
            <w:tcW w:type="dxa" w:w="3600"/>
            <w:tcBorders>
              <w:top w:val="single" w:color="1B2A4A" w:sz="1"/>
              <w:left w:val="single" w:color="1B2A4A" w:sz="1"/>
              <w:bottom w:val="single" w:color="1B2A4A" w:sz="1"/>
              <w:right w:val="single" w:color="1B2A4A" w:sz="1"/>
            </w:tcBorders>
            <w:shd w:fill="1B2A4A" w:val="clear"/>
            <w:tcMar>
              <w:top w:type="dxa" w:w="80"/>
              <w:left w:type="dxa" w:w="120"/>
              <w:bottom w:type="dxa" w:w="80"/>
              <w:right w:type="dxa" w:w="80"/>
            </w:tcMar>
          </w:tcPr>
          <w:p>
            <w:r>
              <w:rPr>
                <w:rFonts w:ascii="Arial" w:cs="Arial" w:eastAsia="Arial" w:hAnsi="Arial"/>
                <w:b/>
                <w:bCs/>
                <w:color w:val="FFFFFF"/>
                <w:sz w:val="19"/>
                <w:szCs w:val="19"/>
              </w:rPr>
              <w:t xml:space="preserve">Trigger</w:t>
            </w:r>
          </w:p>
        </w:tc>
        <w:tc>
          <w:tcPr>
            <w:tcW w:type="dxa" w:w="2760"/>
            <w:tcBorders>
              <w:top w:val="single" w:color="1B2A4A" w:sz="1"/>
              <w:left w:val="single" w:color="1B2A4A" w:sz="1"/>
              <w:bottom w:val="single" w:color="1B2A4A" w:sz="1"/>
              <w:right w:val="single" w:color="1B2A4A" w:sz="1"/>
            </w:tcBorders>
            <w:shd w:fill="1B2A4A" w:val="clear"/>
            <w:tcMar>
              <w:top w:type="dxa" w:w="80"/>
              <w:left w:type="dxa" w:w="120"/>
              <w:bottom w:type="dxa" w:w="80"/>
              <w:right w:type="dxa" w:w="80"/>
            </w:tcMar>
          </w:tcPr>
          <w:p>
            <w:r>
              <w:rPr>
                <w:rFonts w:ascii="Arial" w:cs="Arial" w:eastAsia="Arial" w:hAnsi="Arial"/>
                <w:b/>
                <w:bCs/>
                <w:color w:val="FFFFFF"/>
                <w:sz w:val="19"/>
                <w:szCs w:val="19"/>
              </w:rPr>
              <w:t xml:space="preserve">Threshold</w:t>
            </w:r>
          </w:p>
        </w:tc>
        <w:tc>
          <w:tcPr>
            <w:tcW w:type="dxa" w:w="3000"/>
            <w:tcBorders>
              <w:top w:val="single" w:color="1B2A4A" w:sz="1"/>
              <w:left w:val="single" w:color="1B2A4A" w:sz="1"/>
              <w:bottom w:val="single" w:color="1B2A4A" w:sz="1"/>
              <w:right w:val="single" w:color="1B2A4A" w:sz="1"/>
            </w:tcBorders>
            <w:shd w:fill="1B2A4A" w:val="clear"/>
            <w:tcMar>
              <w:top w:type="dxa" w:w="80"/>
              <w:left w:type="dxa" w:w="120"/>
              <w:bottom w:type="dxa" w:w="80"/>
              <w:right w:type="dxa" w:w="80"/>
            </w:tcMar>
          </w:tcPr>
          <w:p>
            <w:r>
              <w:rPr>
                <w:rFonts w:ascii="Arial" w:cs="Arial" w:eastAsia="Arial" w:hAnsi="Arial"/>
                <w:b/>
                <w:bCs/>
                <w:color w:val="FFFFFF"/>
                <w:sz w:val="19"/>
                <w:szCs w:val="19"/>
              </w:rPr>
              <w:t xml:space="preserve">Action</w:t>
            </w:r>
          </w:p>
        </w:tc>
      </w:tr>
      <w:tr>
        <w:tc>
          <w:tcPr>
            <w:tcW w:type="dxa" w:w="360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1A1A1A"/>
                <w:sz w:val="19"/>
                <w:szCs w:val="19"/>
              </w:rPr>
              <w:t xml:space="preserve">Currency Transaction Report (CTR)</w:t>
            </w:r>
          </w:p>
        </w:tc>
        <w:tc>
          <w:tcPr>
            <w:tcW w:type="dxa" w:w="276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1A1A1A"/>
                <w:sz w:val="19"/>
                <w:szCs w:val="19"/>
              </w:rPr>
              <w:t xml:space="preserve">$10,000 USD aggregate (cash + crypto combined)</w:t>
            </w:r>
          </w:p>
        </w:tc>
        <w:tc>
          <w:tcPr>
            <w:tcW w:type="dxa" w:w="300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1A1A1A"/>
                <w:sz w:val="19"/>
                <w:szCs w:val="19"/>
              </w:rPr>
              <w:t xml:space="preserve">Filed with FinCEN within 15 days</w:t>
            </w:r>
          </w:p>
        </w:tc>
      </w:tr>
      <w:tr>
        <w:tc>
          <w:tcPr>
            <w:tcW w:type="dxa" w:w="360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color w:val="1A1A1A"/>
                <w:sz w:val="19"/>
                <w:szCs w:val="19"/>
              </w:rPr>
              <w:t xml:space="preserve">Suspicious Activity Report (SAR)</w:t>
            </w:r>
          </w:p>
        </w:tc>
        <w:tc>
          <w:tcPr>
            <w:tcW w:type="dxa" w:w="276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color w:val="1A1A1A"/>
                <w:sz w:val="19"/>
                <w:szCs w:val="19"/>
              </w:rPr>
              <w:t xml:space="preserve">$5,000 USD with reasonable grounds to suspect</w:t>
            </w:r>
          </w:p>
        </w:tc>
        <w:tc>
          <w:tcPr>
            <w:tcW w:type="dxa" w:w="300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color w:val="1A1A1A"/>
                <w:sz w:val="19"/>
                <w:szCs w:val="19"/>
              </w:rPr>
              <w:t xml:space="preserve">Filed with FinCEN within 30 days</w:t>
            </w:r>
          </w:p>
        </w:tc>
      </w:tr>
      <w:tr>
        <w:tc>
          <w:tcPr>
            <w:tcW w:type="dxa" w:w="360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1A1A1A"/>
                <w:sz w:val="19"/>
                <w:szCs w:val="19"/>
              </w:rPr>
              <w:t xml:space="preserve">FATF Travel Rule (originator/beneficiary data)</w:t>
            </w:r>
          </w:p>
        </w:tc>
        <w:tc>
          <w:tcPr>
            <w:tcW w:type="dxa" w:w="276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1A1A1A"/>
                <w:sz w:val="19"/>
                <w:szCs w:val="19"/>
              </w:rPr>
              <w:t xml:space="preserve">$1,000 USD equivalent</w:t>
            </w:r>
          </w:p>
        </w:tc>
        <w:tc>
          <w:tcPr>
            <w:tcW w:type="dxa" w:w="300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1A1A1A"/>
                <w:sz w:val="19"/>
                <w:szCs w:val="19"/>
              </w:rPr>
              <w:t xml:space="preserve">Originator and beneficiary data transmitted via TRISA Envoy</w:t>
            </w:r>
          </w:p>
        </w:tc>
      </w:tr>
      <w:tr>
        <w:tc>
          <w:tcPr>
            <w:tcW w:type="dxa" w:w="360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color w:val="1A1A1A"/>
                <w:sz w:val="19"/>
                <w:szCs w:val="19"/>
              </w:rPr>
              <w:t xml:space="preserve">Enhanced monitoring threshold (PEP / Tier 3)</w:t>
            </w:r>
          </w:p>
        </w:tc>
        <w:tc>
          <w:tcPr>
            <w:tcW w:type="dxa" w:w="276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color w:val="1A1A1A"/>
                <w:sz w:val="19"/>
                <w:szCs w:val="19"/>
              </w:rPr>
              <w:t xml:space="preserve">Lower than standard — set by CCO</w:t>
            </w:r>
          </w:p>
        </w:tc>
        <w:tc>
          <w:tcPr>
            <w:tcW w:type="dxa" w:w="300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color w:val="1A1A1A"/>
                <w:sz w:val="19"/>
                <w:szCs w:val="19"/>
              </w:rPr>
              <w:t xml:space="preserve">Quarterly relationship review</w:t>
            </w:r>
          </w:p>
        </w:tc>
      </w:tr>
    </w:tbl>
    <w:p>
      <w:pPr>
        <w:spacing w:after="40" w:before="40"/>
      </w:pPr>
      <w:r>
        <w:rPr>
          <w:sz w:val="18"/>
          <w:szCs w:val="18"/>
        </w:rPr>
        <w:t xml:space="preserve"/>
      </w:r>
    </w:p>
    <w:p>
      <w:pPr>
        <w:spacing w:after="40" w:before="40"/>
      </w:pPr>
      <w:r>
        <w:rPr>
          <w:sz w:val="18"/>
          <w:szCs w:val="18"/>
        </w:rPr>
        <w:t xml:space="preserve"/>
      </w:r>
    </w:p>
    <w:p>
      <w:pPr>
        <w:pStyle w:val="Heading1"/>
        <w:spacing w:after="120" w:before="380"/>
      </w:pPr>
      <w:r>
        <w:rPr>
          <w:rFonts w:ascii="Arial" w:cs="Arial" w:eastAsia="Arial" w:hAnsi="Arial"/>
          <w:b/>
          <w:bCs/>
          <w:color w:val="1B2A4A"/>
          <w:sz w:val="30"/>
          <w:szCs w:val="30"/>
        </w:rPr>
        <w:t xml:space="preserve">7. Prohibited Activity</w:t>
      </w:r>
    </w:p>
    <w:p>
      <w:pPr>
        <w:spacing w:after="80" w:before="60"/>
      </w:pPr>
      <w:r>
        <w:rPr>
          <w:rFonts w:ascii="Arial" w:cs="Arial" w:eastAsia="Arial" w:hAnsi="Arial"/>
          <w:color w:val="1A1A1A"/>
          <w:sz w:val="21"/>
          <w:szCs w:val="21"/>
        </w:rPr>
        <w:t xml:space="preserve">SableAssent will not knowingly open or maintain an account, process a merchant payment, or facilitate a remittance for any individual or entity that:</w:t>
      </w:r>
    </w:p>
    <w:p>
      <w:pPr>
        <w:pStyle w:val="ListParagraph"/>
        <w:numPr>
          <w:ilvl w:val="0"/>
          <w:numId w:val="2"/>
        </w:numPr>
        <w:spacing w:after="40" w:before="40"/>
      </w:pPr>
      <w:r>
        <w:rPr>
          <w:rFonts w:ascii="Arial" w:cs="Arial" w:eastAsia="Arial" w:hAnsi="Arial"/>
          <w:color w:val="1A1A1A"/>
          <w:sz w:val="21"/>
          <w:szCs w:val="21"/>
        </w:rPr>
        <w:t xml:space="preserve">Appears on the OFAC SDN list, UN Sanctions List, EU Financial Sanctions List, or UK OFSI Consolidated List</w:t>
      </w:r>
    </w:p>
    <w:p>
      <w:pPr>
        <w:pStyle w:val="ListParagraph"/>
        <w:numPr>
          <w:ilvl w:val="0"/>
          <w:numId w:val="2"/>
        </w:numPr>
        <w:spacing w:after="40" w:before="40"/>
      </w:pPr>
      <w:r>
        <w:rPr>
          <w:rFonts w:ascii="Arial" w:cs="Arial" w:eastAsia="Arial" w:hAnsi="Arial"/>
          <w:color w:val="1A1A1A"/>
          <w:sz w:val="21"/>
          <w:szCs w:val="21"/>
        </w:rPr>
        <w:t xml:space="preserve">Is located in or organized under the laws of a comprehensively sanctioned jurisdiction</w:t>
      </w:r>
    </w:p>
    <w:p>
      <w:pPr>
        <w:pStyle w:val="ListParagraph"/>
        <w:numPr>
          <w:ilvl w:val="0"/>
          <w:numId w:val="2"/>
        </w:numPr>
        <w:spacing w:after="40" w:before="40"/>
      </w:pPr>
      <w:r>
        <w:rPr>
          <w:rFonts w:ascii="Arial" w:cs="Arial" w:eastAsia="Arial" w:hAnsi="Arial"/>
          <w:color w:val="1A1A1A"/>
          <w:sz w:val="21"/>
          <w:szCs w:val="21"/>
        </w:rPr>
        <w:t xml:space="preserve">Refuses to provide required CIP, KYB, beneficial ownership, or source-of-funds documentation</w:t>
      </w:r>
    </w:p>
    <w:p>
      <w:pPr>
        <w:pStyle w:val="ListParagraph"/>
        <w:numPr>
          <w:ilvl w:val="0"/>
          <w:numId w:val="2"/>
        </w:numPr>
        <w:spacing w:after="40" w:before="40"/>
      </w:pPr>
      <w:r>
        <w:rPr>
          <w:rFonts w:ascii="Arial" w:cs="Arial" w:eastAsia="Arial" w:hAnsi="Arial"/>
          <w:color w:val="1A1A1A"/>
          <w:sz w:val="21"/>
          <w:szCs w:val="21"/>
        </w:rPr>
        <w:t xml:space="preserve">Is reasonably suspected of structuring transactions to evade CTR or SAR reporting thresholds</w:t>
      </w:r>
    </w:p>
    <w:p>
      <w:pPr>
        <w:pStyle w:val="ListParagraph"/>
        <w:numPr>
          <w:ilvl w:val="0"/>
          <w:numId w:val="2"/>
        </w:numPr>
        <w:spacing w:after="40" w:before="40"/>
      </w:pPr>
      <w:r>
        <w:rPr>
          <w:rFonts w:ascii="Arial" w:cs="Arial" w:eastAsia="Arial" w:hAnsi="Arial"/>
          <w:color w:val="1A1A1A"/>
          <w:sz w:val="21"/>
          <w:szCs w:val="21"/>
        </w:rPr>
        <w:t xml:space="preserve">Is engaged in money laundering, terrorist financing, fraud, or sanctions evasion</w:t>
      </w:r>
    </w:p>
    <w:p>
      <w:pPr>
        <w:spacing w:after="40" w:before="40"/>
      </w:pPr>
      <w:r>
        <w:rPr>
          <w:sz w:val="18"/>
          <w:szCs w:val="18"/>
        </w:rPr>
        <w:t xml:space="preserve"/>
      </w:r>
    </w:p>
    <w:p>
      <w:pPr>
        <w:spacing w:after="40" w:before="40"/>
      </w:pPr>
      <w:r>
        <w:rPr>
          <w:sz w:val="18"/>
          <w:szCs w:val="18"/>
        </w:rPr>
        <w:t xml:space="preserve"/>
      </w:r>
    </w:p>
    <w:p>
      <w:pPr>
        <w:pStyle w:val="Heading1"/>
        <w:spacing w:after="120" w:before="380"/>
      </w:pPr>
      <w:r>
        <w:rPr>
          <w:rFonts w:ascii="Arial" w:cs="Arial" w:eastAsia="Arial" w:hAnsi="Arial"/>
          <w:b/>
          <w:bCs/>
          <w:color w:val="1B2A4A"/>
          <w:sz w:val="30"/>
          <w:szCs w:val="30"/>
        </w:rPr>
        <w:t xml:space="preserve">8. Beneficial Ownership</w:t>
      </w:r>
    </w:p>
    <w:p>
      <w:pPr>
        <w:spacing w:after="80" w:before="60"/>
      </w:pPr>
      <w:r>
        <w:rPr>
          <w:rFonts w:ascii="Arial" w:cs="Arial" w:eastAsia="Arial" w:hAnsi="Arial"/>
          <w:color w:val="1A1A1A"/>
          <w:sz w:val="21"/>
          <w:szCs w:val="21"/>
        </w:rPr>
        <w:t xml:space="preserve">For all merchant and business accounts, SableAssent identifies and verifies the identity of each individual who owns 25% or more of the business, and at least one individual who exercises significant managerial control, consistent with the FinCEN Customer Due Diligence Rule (31 CFR § 1010.230).</w:t>
      </w:r>
    </w:p>
    <w:p>
      <w:pPr>
        <w:spacing w:after="40" w:before="40"/>
      </w:pPr>
      <w:r>
        <w:rPr>
          <w:sz w:val="18"/>
          <w:szCs w:val="18"/>
        </w:rPr>
        <w:t xml:space="preserve"/>
      </w:r>
    </w:p>
    <w:p>
      <w:pPr>
        <w:spacing w:after="40" w:before="40"/>
      </w:pPr>
      <w:r>
        <w:rPr>
          <w:sz w:val="18"/>
          <w:szCs w:val="18"/>
        </w:rPr>
        <w:t xml:space="preserve"/>
      </w:r>
    </w:p>
    <w:p>
      <w:pPr>
        <w:pStyle w:val="Heading1"/>
        <w:spacing w:after="120" w:before="380"/>
      </w:pPr>
      <w:r>
        <w:rPr>
          <w:rFonts w:ascii="Arial" w:cs="Arial" w:eastAsia="Arial" w:hAnsi="Arial"/>
          <w:b/>
          <w:bCs/>
          <w:color w:val="1B2A4A"/>
          <w:sz w:val="30"/>
          <w:szCs w:val="30"/>
        </w:rPr>
        <w:t xml:space="preserve">9. Recordkeeping</w:t>
      </w:r>
    </w:p>
    <w:p>
      <w:pPr>
        <w:spacing w:after="80" w:before="60"/>
      </w:pPr>
      <w:r>
        <w:rPr>
          <w:rFonts w:ascii="Arial" w:cs="Arial" w:eastAsia="Arial" w:hAnsi="Arial"/>
          <w:color w:val="1A1A1A"/>
          <w:sz w:val="21"/>
          <w:szCs w:val="21"/>
        </w:rPr>
        <w:t xml:space="preserve">All KYB documentation, screening results, transaction records, SAR and CTR filings, and supporting evidence are retained for a minimum of five (5) years from the date the account is closed or the relationship ends, in accordance with the SableAssent Data Retention Policy (SAC-DRDP-2026-001) and 31 CFR § 1010.430.</w:t>
      </w:r>
    </w:p>
    <w:p>
      <w:pPr>
        <w:spacing w:after="40" w:before="40"/>
      </w:pPr>
      <w:r>
        <w:rPr>
          <w:sz w:val="18"/>
          <w:szCs w:val="18"/>
        </w:rPr>
        <w:t xml:space="preserve"/>
      </w:r>
    </w:p>
    <w:p>
      <w:pPr>
        <w:spacing w:after="40" w:before="40"/>
      </w:pPr>
      <w:r>
        <w:rPr>
          <w:sz w:val="18"/>
          <w:szCs w:val="18"/>
        </w:rPr>
        <w:t xml:space="preserve"/>
      </w:r>
    </w:p>
    <w:p>
      <w:pPr>
        <w:pStyle w:val="Heading1"/>
        <w:spacing w:after="120" w:before="380"/>
      </w:pPr>
      <w:r>
        <w:rPr>
          <w:rFonts w:ascii="Arial" w:cs="Arial" w:eastAsia="Arial" w:hAnsi="Arial"/>
          <w:b/>
          <w:bCs/>
          <w:color w:val="1B2A4A"/>
          <w:sz w:val="30"/>
          <w:szCs w:val="30"/>
        </w:rPr>
        <w:t xml:space="preserve">10. Acknowledgement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c>
          <w:tcPr>
            <w:tcW w:type="dxa" w:w="480"/>
            <w:tcBorders>
              <w:top w:val="single" w:color="1E7A4A" w:sz="1"/>
              <w:left w:val="single" w:color="1E7A4A" w:sz="1"/>
              <w:bottom w:val="single" w:color="1E7A4A" w:sz="1"/>
              <w:right w:val="single" w:color="1E7A4A" w:sz="1"/>
            </w:tcBorders>
            <w:shd w:fill="F5F7FA" w:val="clear"/>
            <w:tcMar>
              <w:top w:type="dxa" w:w="100"/>
              <w:left w:type="dxa" w:w="120"/>
              <w:bottom w:type="dxa" w:w="100"/>
              <w:right w:type="dxa" w:w="80"/>
            </w:tcMar>
            <w:vAlign w:val="center"/>
          </w:tcPr>
          <w:p>
            <w:pPr>
              <w:jc w:val="center"/>
            </w:pPr>
            <w:r>
              <w:rPr>
                <w:rFonts w:ascii="Arial" w:cs="Arial" w:eastAsia="Arial" w:hAnsi="Arial"/>
                <w:b/>
                <w:bCs/>
                <w:color w:val="1E7A4A"/>
                <w:sz w:val="24"/>
                <w:szCs w:val="24"/>
              </w:rPr>
              <w:t xml:space="preserve">✓</w:t>
            </w:r>
          </w:p>
        </w:tc>
        <w:tc>
          <w:tcPr>
            <w:tcW w:type="dxa" w:w="8880"/>
            <w:tcBorders>
              <w:top w:val="single" w:color="1E7A4A" w:sz="1"/>
              <w:left w:val="single" w:color="1E7A4A" w:sz="1"/>
              <w:bottom w:val="single" w:color="1E7A4A" w:sz="1"/>
              <w:right w:val="single" w:color="1E7A4A" w:sz="1"/>
            </w:tcBorders>
            <w:shd w:fill="F8FAFB" w:val="clear"/>
            <w:tcMar>
              <w:top w:type="dxa" w:w="100"/>
              <w:left w:type="dxa" w:w="160"/>
              <w:bottom w:type="dxa" w:w="100"/>
              <w:right w:type="dxa" w:w="120"/>
            </w:tcMar>
          </w:tcPr>
          <w:p>
            <w:pPr>
              <w:spacing w:after="30" w:before="0"/>
            </w:pPr>
            <w:r>
              <w:rPr>
                <w:rFonts w:ascii="Arial" w:cs="Arial" w:eastAsia="Arial" w:hAnsi="Arial"/>
                <w:color w:val="1A1A1A"/>
                <w:sz w:val="20"/>
                <w:szCs w:val="20"/>
              </w:rPr>
              <w:t xml:space="preserve">By checking the “I confirm compliance with AML regulations” box during onboarding, the applicant acknowledges they have read this policy, agrees to comply with its requirements throughout the relationship with SableAssent, and understands that providing false or misleading information is grounds for immediate account suspension and may be reported to applicable authorities.</w:t>
            </w:r>
          </w:p>
        </w:tc>
      </w:tr>
    </w:tbl>
    <w:p>
      <w:pPr>
        <w:spacing w:after="40" w:before="40"/>
      </w:pPr>
      <w:r>
        <w:rPr>
          <w:sz w:val="18"/>
          <w:szCs w:val="18"/>
        </w:rPr>
        <w:t xml:space="preserve"/>
      </w:r>
    </w:p>
    <w:p>
      <w:pPr>
        <w:spacing w:after="40" w:before="40"/>
      </w:pPr>
      <w:r>
        <w:rPr>
          <w:sz w:val="18"/>
          <w:szCs w:val="18"/>
        </w:rPr>
        <w:t xml:space="preserve"/>
      </w:r>
    </w:p>
    <w:p>
      <w:pPr>
        <w:pStyle w:val="Heading1"/>
        <w:spacing w:after="120" w:before="380"/>
      </w:pPr>
      <w:r>
        <w:rPr>
          <w:rFonts w:ascii="Arial" w:cs="Arial" w:eastAsia="Arial" w:hAnsi="Arial"/>
          <w:b/>
          <w:bCs/>
          <w:color w:val="1B2A4A"/>
          <w:sz w:val="30"/>
          <w:szCs w:val="30"/>
        </w:rPr>
        <w:t xml:space="preserve">11. Policy Ownership and Contact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1A1A1A"/>
                <w:sz w:val="19"/>
                <w:szCs w:val="19"/>
              </w:rPr>
              <w:t xml:space="preserve">Policy Owner</w:t>
            </w:r>
          </w:p>
        </w:tc>
        <w:tc>
          <w:tcPr>
            <w:tcW w:type="dxa" w:w="636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1A1A1A"/>
                <w:sz w:val="19"/>
                <w:szCs w:val="19"/>
              </w:rPr>
              <w:t xml:space="preserve">Chief Compliance Officer, SableAssent Coin Corporation</w:t>
            </w:r>
          </w:p>
        </w:tc>
      </w:tr>
      <w:tr>
        <w:tc>
          <w:tcPr>
            <w:tcW w:type="dxa" w:w="300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color w:val="1A1A1A"/>
                <w:sz w:val="19"/>
                <w:szCs w:val="19"/>
              </w:rPr>
              <w:t xml:space="preserve">Review Cycle</w:t>
            </w:r>
          </w:p>
        </w:tc>
        <w:tc>
          <w:tcPr>
            <w:tcW w:type="dxa" w:w="636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color w:val="1A1A1A"/>
                <w:sz w:val="19"/>
                <w:szCs w:val="19"/>
              </w:rPr>
              <w:t xml:space="preserve">Annual, or upon material regulatory change</w:t>
            </w:r>
          </w:p>
        </w:tc>
      </w:tr>
      <w:tr>
        <w:tc>
          <w:tcPr>
            <w:tcW w:type="dxa" w:w="300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1A1A1A"/>
                <w:sz w:val="19"/>
                <w:szCs w:val="19"/>
              </w:rPr>
              <w:t xml:space="preserve">Contact</w:t>
            </w:r>
          </w:p>
        </w:tc>
        <w:tc>
          <w:tcPr>
            <w:tcW w:type="dxa" w:w="636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1A1A1A"/>
                <w:sz w:val="19"/>
                <w:szCs w:val="19"/>
              </w:rPr>
              <w:t xml:space="preserve">Admin@SableAssent.com  |  compliance@sableassent.net</w:t>
            </w:r>
          </w:p>
        </w:tc>
      </w:tr>
      <w:tr>
        <w:tc>
          <w:tcPr>
            <w:tcW w:type="dxa" w:w="300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color w:val="1A1A1A"/>
                <w:sz w:val="19"/>
                <w:szCs w:val="19"/>
              </w:rPr>
              <w:t xml:space="preserve">Related Policies</w:t>
            </w:r>
          </w:p>
        </w:tc>
        <w:tc>
          <w:tcPr>
            <w:tcW w:type="dxa" w:w="636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color w:val="1A1A1A"/>
                <w:sz w:val="19"/>
                <w:szCs w:val="19"/>
              </w:rPr>
              <w:t xml:space="preserve">SAC-PEP-001 (PEP Policy), AML/KYC Policy, SAC-DRDP-2026-001 (Data Retention)</w:t>
            </w:r>
          </w:p>
        </w:tc>
      </w:tr>
    </w:tbl>
    <w:p>
      <w:pPr>
        <w:spacing w:after="40" w:before="40"/>
      </w:pPr>
      <w:r>
        <w:rPr>
          <w:sz w:val="18"/>
          <w:szCs w:val="18"/>
        </w:rPr>
        <w:t xml:space="preserve"/>
      </w:r>
    </w:p>
    <w:p>
      <w:pPr>
        <w:spacing w:after="40" w:before="40"/>
      </w:pPr>
      <w:r>
        <w:rPr>
          <w:sz w:val="18"/>
          <w:szCs w:val="18"/>
        </w:rPr>
        <w:t xml:space="preserve"/>
      </w:r>
    </w:p>
    <w:p>
      <w:pPr>
        <w:pBdr>
          <w:bottom w:val="single" w:color="C8A84A" w:sz="6" w:space="1"/>
        </w:pBdr>
        <w:spacing w:after="160" w:before="160"/>
      </w:pPr>
      <w:r>
        <w:t xml:space="preserve"/>
      </w:r>
    </w:p>
    <w:p>
      <w:pPr>
        <w:spacing w:after="40" w:before="80"/>
        <w:jc w:val="center"/>
      </w:pPr>
      <w:r>
        <w:rPr>
          <w:rFonts w:ascii="Arial" w:cs="Arial" w:eastAsia="Arial" w:hAnsi="Arial"/>
          <w:b/>
          <w:bCs/>
          <w:color w:val="1B2A4A"/>
          <w:sz w:val="21"/>
          <w:szCs w:val="21"/>
        </w:rPr>
        <w:t xml:space="preserve">SableAssent Coin Corporation  |  SableAssent Treasury Reserve SPV LLC</w:t>
      </w:r>
    </w:p>
    <w:p>
      <w:pPr>
        <w:spacing w:after="40" w:before="0"/>
        <w:jc w:val="center"/>
      </w:pPr>
      <w:r>
        <w:rPr>
          <w:rFonts w:ascii="Arial" w:cs="Arial" w:eastAsia="Arial" w:hAnsi="Arial"/>
          <w:color w:val="5D6D7E"/>
          <w:sz w:val="17"/>
          <w:szCs w:val="17"/>
        </w:rPr>
        <w:t xml:space="preserve">compliance@sableassent.net  |  Admin@SableAssent.com  |  1.855.SAC1Token</w:t>
      </w:r>
    </w:p>
    <w:p>
      <w:pPr>
        <w:spacing w:after="40" w:before="0"/>
        <w:jc w:val="center"/>
      </w:pPr>
      <w:r>
        <w:rPr>
          <w:rFonts w:ascii="Arial" w:cs="Arial" w:eastAsia="Arial" w:hAnsi="Arial"/>
          <w:color w:val="5D6D7E"/>
          <w:sz w:val="15"/>
          <w:szCs w:val="15"/>
        </w:rPr>
        <w:t xml:space="preserve">Confidential to Members — June 2026 — Version 1.0</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8A84A" w:sz="4" w:space="4"/>
      </w:pBdr>
      <w:tabs>
        <w:tab w:val="right" w:pos="9360"/>
      </w:tabs>
    </w:pPr>
    <w:r>
      <w:rPr>
        <w:rFonts w:ascii="Arial" w:cs="Arial" w:eastAsia="Arial" w:hAnsi="Arial"/>
        <w:color w:val="5D6D7E"/>
        <w:sz w:val="16"/>
        <w:szCs w:val="16"/>
      </w:rPr>
      <w:t xml:space="preserve">SableAssent Coin Corporation  |  SAC-AML-001</w:t>
    </w:r>
    <w:r>
      <w:rPr>
        <w:rFonts w:ascii="Arial" w:cs="Arial" w:eastAsia="Arial" w:hAnsi="Arial"/>
        <w:color w:val="5D6D7E"/>
        <w:sz w:val="16"/>
        <w:szCs w:val="16"/>
      </w:rPr>
      <w:t xml:space="preserve">	Page </w:t>
    </w:r>
    <w:r>
      <w:rPr>
        <w:rFonts w:ascii="Arial" w:cs="Arial" w:eastAsia="Arial" w:hAnsi="Arial"/>
        <w:color w:val="C8A84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8A84A" w:sz="4" w:space="4"/>
      </w:pBdr>
      <w:tabs>
        <w:tab w:val="right" w:pos="9360"/>
      </w:tabs>
    </w:pPr>
    <w:r>
      <w:rPr>
        <w:rFonts w:ascii="Arial" w:cs="Arial" w:eastAsia="Arial" w:hAnsi="Arial"/>
        <w:b/>
        <w:bCs/>
        <w:color w:val="C8A84A"/>
        <w:sz w:val="18"/>
        <w:szCs w:val="18"/>
      </w:rPr>
      <w:t xml:space="preserve">SableAssent  |  </w:t>
    </w:r>
    <w:r>
      <w:rPr>
        <w:rFonts w:ascii="Arial" w:cs="Arial" w:eastAsia="Arial" w:hAnsi="Arial"/>
        <w:color w:val="5D6D7E"/>
        <w:sz w:val="18"/>
        <w:szCs w:val="18"/>
      </w:rPr>
      <w:t xml:space="preserve">AML Regulatory Compliance Policy</w:t>
    </w:r>
    <w:r>
      <w:rPr>
        <w:rFonts w:ascii="Arial" w:cs="Arial" w:eastAsia="Arial" w:hAnsi="Arial"/>
        <w:color w:val="5D6D7E"/>
        <w:sz w:val="16"/>
        <w:szCs w:val="16"/>
      </w:rPr>
      <w:t xml:space="preserve">	June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380"/>
      <w:outlineLvl w:val="0"/>
    </w:pPr>
    <w:rPr>
      <w:rFonts w:ascii="Arial" w:cs="Arial" w:eastAsia="Arial" w:hAnsi="Arial"/>
      <w:b/>
      <w:bCs/>
      <w:color w:val="1B2A4A"/>
      <w:sz w:val="30"/>
      <w:szCs w:val="30"/>
    </w:rPr>
  </w:style>
  <w:style w:type="paragraph" w:styleId="Heading2">
    <w:name w:val="Heading 2"/>
    <w:basedOn w:val="Normal"/>
    <w:next w:val="Normal"/>
    <w:qFormat/>
    <w:pPr>
      <w:spacing w:after="100" w:before="260"/>
      <w:outlineLvl w:val="1"/>
    </w:pPr>
    <w:rPr>
      <w:rFonts w:ascii="Arial" w:cs="Arial" w:eastAsia="Arial" w:hAnsi="Arial"/>
      <w:b/>
      <w:bCs/>
      <w:color w:val="2E5FA3"/>
      <w:sz w:val="24"/>
      <w:szCs w:val="24"/>
    </w:rPr>
  </w:style>
  <w:style w:type="paragraph" w:styleId="Heading3">
    <w:name w:val="Heading 3"/>
    <w:basedOn w:val="Normal"/>
    <w:next w:val="Normal"/>
    <w:qFormat/>
    <w:pPr>
      <w:spacing w:after="80" w:before="180"/>
      <w:outlineLvl w:val="2"/>
    </w:pPr>
    <w:rPr>
      <w:rFonts w:ascii="Arial" w:cs="Arial" w:eastAsia="Arial" w:hAnsi="Arial"/>
      <w:b/>
      <w:bCs/>
      <w:color w:val="1B2A4A"/>
      <w:sz w:val="21"/>
      <w:szCs w:val="21"/>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2026-06-30T16:03:47.846Z</dcterms:created>
  <dcterms:modified xsi:type="dcterms:W3CDTF">2026-06-30T16:03:47.846Z</dcterms:modified>
</cp:coreProperties>
</file>

<file path=docProps/custom.xml><?xml version="1.0" encoding="utf-8"?>
<Properties xmlns="http://schemas.openxmlformats.org/officeDocument/2006/custom-properties" xmlns:vt="http://schemas.openxmlformats.org/officeDocument/2006/docPropsVTypes"/>
</file>