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800"/>
        <w:jc w:val="center"/>
      </w:pPr>
      <w:r>
        <w:rPr>
          <w:rFonts w:ascii="Arial" w:cs="Arial" w:eastAsia="Arial" w:hAnsi="Arial"/>
          <w:b/>
          <w:bCs/>
          <w:color w:val="1B2A4A"/>
          <w:sz w:val="48"/>
          <w:szCs w:val="48"/>
        </w:rPr>
        <w:t xml:space="preserve">SableAssent Coin Corporation</w:t>
      </w:r>
    </w:p>
    <w:p>
      <w:pPr>
        <w:spacing w:after="80" w:before="0"/>
        <w:jc w:val="center"/>
      </w:pPr>
      <w:r>
        <w:rPr>
          <w:rFonts w:ascii="Arial" w:cs="Arial" w:eastAsia="Arial" w:hAnsi="Arial"/>
          <w:b/>
          <w:bCs/>
          <w:color w:val="C8A84A"/>
          <w:sz w:val="36"/>
          <w:szCs w:val="36"/>
        </w:rPr>
        <w:t xml:space="preserve">Privacy Policy</w:t>
      </w:r>
    </w:p>
    <w:p>
      <w:pPr>
        <w:spacing w:after="60" w:before="0"/>
        <w:jc w:val="center"/>
      </w:pPr>
      <w:r>
        <w:rPr>
          <w:rFonts w:ascii="Arial" w:cs="Arial" w:eastAsia="Arial" w:hAnsi="Arial"/>
          <w:color w:val="5D6D7E"/>
          <w:sz w:val="22"/>
          <w:szCs w:val="22"/>
        </w:rPr>
        <w:t xml:space="preserve">sac1gov.com  |  ourfrontdeskai.com  |  sableassent.com</w:t>
      </w:r>
    </w:p>
    <w:p>
      <w:pPr>
        <w:spacing w:after="60" w:before="0"/>
        <w:jc w:val="center"/>
      </w:pPr>
      <w:r>
        <w:rPr>
          <w:rFonts w:ascii="Arial" w:cs="Arial" w:eastAsia="Arial" w:hAnsi="Arial"/>
          <w:color w:val="5D6D7E"/>
          <w:sz w:val="20"/>
          <w:szCs w:val="20"/>
        </w:rPr>
        <w:t xml:space="preserve">Effective Date: June 2026  |  Version 1.0</w:t>
      </w:r>
    </w:p>
    <w:p>
      <w:pPr>
        <w:pBdr>
          <w:bottom w:val="single" w:color="C8A84A" w:sz="6" w:space="1"/>
        </w:pBdr>
        <w:spacing w:after="16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c>
          <w:tcPr>
            <w:tcW w:type="dxa" w:w="480"/>
            <w:tcBorders>
              <w:top w:val="single" w:color="2E5FA3" w:sz="1"/>
              <w:left w:val="single" w:color="2E5FA3" w:sz="1"/>
              <w:bottom w:val="single" w:color="2E5FA3" w:sz="1"/>
              <w:right w:val="single" w:color="2E5FA3" w:sz="1"/>
            </w:tcBorders>
            <w:shd w:fill="EAF4FB" w:val="clear"/>
            <w:tcMar>
              <w:top w:type="dxa" w:w="100"/>
              <w:left w:type="dxa" w:w="120"/>
              <w:bottom w:type="dxa" w:w="100"/>
              <w:right w:type="dxa" w:w="80"/>
            </w:tcMar>
            <w:vAlign w:val="center"/>
          </w:tcPr>
          <w:p>
            <w:pPr>
              <w:jc w:val="center"/>
            </w:pPr>
            <w:r>
              <w:rPr>
                <w:rFonts w:ascii="Arial" w:cs="Arial" w:eastAsia="Arial" w:hAnsi="Arial"/>
                <w:color w:val="2E5FA3"/>
                <w:sz w:val="24"/>
                <w:szCs w:val="24"/>
              </w:rPr>
              <w:t xml:space="preserve">ℹ</w:t>
            </w:r>
          </w:p>
        </w:tc>
        <w:tc>
          <w:tcPr>
            <w:tcW w:type="dxa" w:w="8880"/>
            <w:tcBorders>
              <w:top w:val="single" w:color="2E5FA3" w:sz="1"/>
              <w:left w:val="single" w:color="2E5FA3" w:sz="1"/>
              <w:bottom w:val="single" w:color="2E5FA3" w:sz="1"/>
              <w:right w:val="single" w:color="2E5FA3" w:sz="1"/>
            </w:tcBorders>
            <w:shd w:fill="EAF4FB" w:val="clear"/>
            <w:tcMar>
              <w:top w:type="dxa" w:w="100"/>
              <w:left w:type="dxa" w:w="160"/>
              <w:bottom w:type="dxa" w:w="100"/>
              <w:right w:type="dxa" w:w="120"/>
            </w:tcMar>
          </w:tcPr>
          <w:p>
            <w:r>
              <w:rPr>
                <w:rFonts w:ascii="Arial" w:cs="Arial" w:eastAsia="Arial" w:hAnsi="Arial"/>
                <w:color w:val="1A1A1A"/>
                <w:sz w:val="21"/>
                <w:szCs w:val="21"/>
              </w:rPr>
              <w:t xml:space="preserve">This Privacy Policy satisfies GDPR Art. 13/14, CCPA §1798.100, and FATF R.10 customer transparency obligations. It applies to all SableAssent platforms and services including SAC1 governance memberships, remittance services, and FrontDesk AI.</w:t>
            </w:r>
          </w:p>
        </w:tc>
      </w:tr>
    </w:tbl>
    <w:p>
      <w:pPr>
        <w:spacing w:after="40" w:before="40"/>
      </w:pPr>
      <w:r>
        <w:rPr>
          <w:sz w:val="20"/>
          <w:szCs w:val="20"/>
        </w:rPr>
        <w:t xml:space="preserve"/>
      </w:r>
    </w:p>
    <w:p>
      <w:r>
        <w:br w:type="page"/>
      </w:r>
    </w:p>
    <w:p>
      <w:pPr>
        <w:pStyle w:val="Heading1"/>
        <w:spacing w:after="120" w:before="360"/>
      </w:pPr>
      <w:r>
        <w:rPr>
          <w:rFonts w:ascii="Arial" w:cs="Arial" w:eastAsia="Arial" w:hAnsi="Arial"/>
          <w:b/>
          <w:bCs/>
          <w:color w:val="1B2A4A"/>
          <w:sz w:val="32"/>
          <w:szCs w:val="32"/>
        </w:rPr>
        <w:t xml:space="preserve">1. Data Controller &amp; Contact Information</w:t>
      </w:r>
    </w:p>
    <w:p>
      <w:pPr>
        <w:spacing w:after="80" w:before="60"/>
      </w:pPr>
      <w:r>
        <w:rPr>
          <w:rFonts w:ascii="Arial" w:cs="Arial" w:eastAsia="Arial" w:hAnsi="Arial"/>
          <w:color w:val="1A1A1A"/>
          <w:sz w:val="22"/>
          <w:szCs w:val="22"/>
        </w:rPr>
        <w:t xml:space="preserve">SableAssent Coin Corporation (Wyoming LLC) and its subsidiary SableAssent Treasury Reserve SPV LLC are the joint data controllers for all personal data processed through our platforms.</w:t>
      </w:r>
    </w:p>
    <w:p>
      <w:pPr>
        <w:spacing w:after="40" w:before="4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20"/>
                <w:szCs w:val="20"/>
              </w:rPr>
              <w:t xml:space="preserve">Entity</w:t>
            </w:r>
          </w:p>
        </w:tc>
        <w:tc>
          <w:tcPr>
            <w:tcW w:type="dxa" w:w="636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20"/>
                <w:szCs w:val="20"/>
              </w:rPr>
              <w:t xml:space="preserve">Details</w:t>
            </w:r>
          </w:p>
        </w:tc>
      </w:tr>
      <w:tr>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20"/>
                <w:szCs w:val="20"/>
              </w:rPr>
              <w:t xml:space="preserve">Company</w:t>
            </w:r>
          </w:p>
        </w:tc>
        <w:tc>
          <w:tcPr>
            <w:tcW w:type="dxa" w:w="63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20"/>
                <w:szCs w:val="20"/>
              </w:rPr>
              <w:t xml:space="preserve">SableAssent Coin Corporation</w:t>
            </w:r>
          </w:p>
        </w:tc>
      </w:tr>
      <w:tr>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20"/>
                <w:szCs w:val="20"/>
              </w:rPr>
              <w:t xml:space="preserve">Address</w:t>
            </w:r>
          </w:p>
        </w:tc>
        <w:tc>
          <w:tcPr>
            <w:tcW w:type="dxa" w:w="63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20"/>
                <w:szCs w:val="20"/>
              </w:rPr>
              <w:t xml:space="preserve">Wyoming, United States</w:t>
            </w:r>
          </w:p>
        </w:tc>
      </w:tr>
      <w:tr>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20"/>
                <w:szCs w:val="20"/>
              </w:rPr>
              <w:t xml:space="preserve">Email</w:t>
            </w:r>
          </w:p>
        </w:tc>
        <w:tc>
          <w:tcPr>
            <w:tcW w:type="dxa" w:w="63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20"/>
                <w:szCs w:val="20"/>
              </w:rPr>
              <w:t xml:space="preserve">privacy@sableassent.net</w:t>
            </w:r>
          </w:p>
        </w:tc>
      </w:tr>
      <w:tr>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20"/>
                <w:szCs w:val="20"/>
              </w:rPr>
              <w:t xml:space="preserve">Phone</w:t>
            </w:r>
          </w:p>
        </w:tc>
        <w:tc>
          <w:tcPr>
            <w:tcW w:type="dxa" w:w="63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20"/>
                <w:szCs w:val="20"/>
              </w:rPr>
              <w:t xml:space="preserve">1.855.SAC1Token</w:t>
            </w:r>
          </w:p>
        </w:tc>
      </w:tr>
      <w:tr>
        <w:tc>
          <w:tcPr>
            <w:tcW w:type="dxa" w:w="30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20"/>
                <w:szCs w:val="20"/>
              </w:rPr>
              <w:t xml:space="preserve">Websites</w:t>
            </w:r>
          </w:p>
        </w:tc>
        <w:tc>
          <w:tcPr>
            <w:tcW w:type="dxa" w:w="636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20"/>
                <w:szCs w:val="20"/>
              </w:rPr>
              <w:t xml:space="preserve">sac1gov.com | sableassent.com | ourfrontdeskai.com</w:t>
            </w:r>
          </w:p>
        </w:tc>
      </w:tr>
      <w:tr>
        <w:tc>
          <w:tcPr>
            <w:tcW w:type="dxa" w:w="30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20"/>
                <w:szCs w:val="20"/>
              </w:rPr>
              <w:t xml:space="preserve">Data Protection Contact</w:t>
            </w:r>
          </w:p>
        </w:tc>
        <w:tc>
          <w:tcPr>
            <w:tcW w:type="dxa" w:w="636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20"/>
                <w:szCs w:val="20"/>
              </w:rPr>
              <w:t xml:space="preserve">compliance@sableassent.net</w:t>
            </w:r>
          </w:p>
        </w:tc>
      </w:tr>
    </w:tbl>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2. Personal Data We Collect</w:t>
      </w:r>
    </w:p>
    <w:p>
      <w:pPr>
        <w:pStyle w:val="Heading2"/>
        <w:pBdr>
          <w:bottom w:val="single" w:color="C8A84A" w:sz="4" w:space="4"/>
        </w:pBdr>
        <w:spacing w:after="100" w:before="280"/>
      </w:pPr>
      <w:r>
        <w:rPr>
          <w:rFonts w:ascii="Arial" w:cs="Arial" w:eastAsia="Arial" w:hAnsi="Arial"/>
          <w:b/>
          <w:bCs/>
          <w:color w:val="2E5FA3"/>
          <w:sz w:val="26"/>
          <w:szCs w:val="26"/>
        </w:rPr>
        <w:t xml:space="preserve">2.1 Identity &amp; KYC Data</w:t>
      </w:r>
    </w:p>
    <w:p>
      <w:pPr>
        <w:pStyle w:val="ListParagraph"/>
        <w:numPr>
          <w:ilvl w:val="0"/>
          <w:numId w:val="2"/>
        </w:numPr>
        <w:spacing w:after="40" w:before="40"/>
      </w:pPr>
      <w:r>
        <w:rPr>
          <w:rFonts w:ascii="Arial" w:cs="Arial" w:eastAsia="Arial" w:hAnsi="Arial"/>
          <w:color w:val="1A1A1A"/>
          <w:sz w:val="22"/>
          <w:szCs w:val="22"/>
        </w:rPr>
        <w:t xml:space="preserve">Full legal name, date of birth, nationality</w:t>
      </w:r>
    </w:p>
    <w:p>
      <w:pPr>
        <w:pStyle w:val="ListParagraph"/>
        <w:numPr>
          <w:ilvl w:val="0"/>
          <w:numId w:val="2"/>
        </w:numPr>
        <w:spacing w:after="40" w:before="40"/>
      </w:pPr>
      <w:r>
        <w:rPr>
          <w:rFonts w:ascii="Arial" w:cs="Arial" w:eastAsia="Arial" w:hAnsi="Arial"/>
          <w:color w:val="1A1A1A"/>
          <w:sz w:val="22"/>
          <w:szCs w:val="22"/>
        </w:rPr>
        <w:t xml:space="preserve">Government-issued photo ID (passport, national ID, driver's license)</w:t>
      </w:r>
    </w:p>
    <w:p>
      <w:pPr>
        <w:pStyle w:val="ListParagraph"/>
        <w:numPr>
          <w:ilvl w:val="0"/>
          <w:numId w:val="2"/>
        </w:numPr>
        <w:spacing w:after="40" w:before="40"/>
      </w:pPr>
      <w:r>
        <w:rPr>
          <w:rFonts w:ascii="Arial" w:cs="Arial" w:eastAsia="Arial" w:hAnsi="Arial"/>
          <w:color w:val="1A1A1A"/>
          <w:sz w:val="22"/>
          <w:szCs w:val="22"/>
        </w:rPr>
        <w:t xml:space="preserve">Address proof (utility bill, bank statement)</w:t>
      </w:r>
    </w:p>
    <w:p>
      <w:pPr>
        <w:pStyle w:val="ListParagraph"/>
        <w:numPr>
          <w:ilvl w:val="0"/>
          <w:numId w:val="2"/>
        </w:numPr>
        <w:spacing w:after="40" w:before="40"/>
      </w:pPr>
      <w:r>
        <w:rPr>
          <w:rFonts w:ascii="Arial" w:cs="Arial" w:eastAsia="Arial" w:hAnsi="Arial"/>
          <w:color w:val="1A1A1A"/>
          <w:sz w:val="22"/>
          <w:szCs w:val="22"/>
        </w:rPr>
        <w:t xml:space="preserve">Selfie / biometric photo for identity verification</w:t>
      </w:r>
    </w:p>
    <w:p>
      <w:pPr>
        <w:pStyle w:val="ListParagraph"/>
        <w:numPr>
          <w:ilvl w:val="0"/>
          <w:numId w:val="2"/>
        </w:numPr>
        <w:spacing w:after="40" w:before="40"/>
      </w:pPr>
      <w:r>
        <w:rPr>
          <w:rFonts w:ascii="Arial" w:cs="Arial" w:eastAsia="Arial" w:hAnsi="Arial"/>
          <w:color w:val="1A1A1A"/>
          <w:sz w:val="22"/>
          <w:szCs w:val="22"/>
        </w:rPr>
        <w:t xml:space="preserve">Tax identification number (where applicable)</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2.2 Financial Data</w:t>
      </w:r>
    </w:p>
    <w:p>
      <w:pPr>
        <w:pStyle w:val="ListParagraph"/>
        <w:numPr>
          <w:ilvl w:val="0"/>
          <w:numId w:val="2"/>
        </w:numPr>
        <w:spacing w:after="40" w:before="40"/>
      </w:pPr>
      <w:r>
        <w:rPr>
          <w:rFonts w:ascii="Arial" w:cs="Arial" w:eastAsia="Arial" w:hAnsi="Arial"/>
          <w:color w:val="1A1A1A"/>
          <w:sz w:val="22"/>
          <w:szCs w:val="22"/>
        </w:rPr>
        <w:t xml:space="preserve">Bank account details for remittance transactions</w:t>
      </w:r>
    </w:p>
    <w:p>
      <w:pPr>
        <w:pStyle w:val="ListParagraph"/>
        <w:numPr>
          <w:ilvl w:val="0"/>
          <w:numId w:val="2"/>
        </w:numPr>
        <w:spacing w:after="40" w:before="40"/>
      </w:pPr>
      <w:r>
        <w:rPr>
          <w:rFonts w:ascii="Arial" w:cs="Arial" w:eastAsia="Arial" w:hAnsi="Arial"/>
          <w:color w:val="1A1A1A"/>
          <w:sz w:val="22"/>
          <w:szCs w:val="22"/>
        </w:rPr>
        <w:t xml:space="preserve">Payment card information (processed by Stripe — we do not store raw card data)</w:t>
      </w:r>
    </w:p>
    <w:p>
      <w:pPr>
        <w:pStyle w:val="ListParagraph"/>
        <w:numPr>
          <w:ilvl w:val="0"/>
          <w:numId w:val="2"/>
        </w:numPr>
        <w:spacing w:after="40" w:before="40"/>
      </w:pPr>
      <w:r>
        <w:rPr>
          <w:rFonts w:ascii="Arial" w:cs="Arial" w:eastAsia="Arial" w:hAnsi="Arial"/>
          <w:color w:val="1A1A1A"/>
          <w:sz w:val="22"/>
          <w:szCs w:val="22"/>
        </w:rPr>
        <w:t xml:space="preserve">Transaction history, SAC1 token balances, governance tier</w:t>
      </w:r>
    </w:p>
    <w:p>
      <w:pPr>
        <w:pStyle w:val="ListParagraph"/>
        <w:numPr>
          <w:ilvl w:val="0"/>
          <w:numId w:val="2"/>
        </w:numPr>
        <w:spacing w:after="40" w:before="40"/>
      </w:pPr>
      <w:r>
        <w:rPr>
          <w:rFonts w:ascii="Arial" w:cs="Arial" w:eastAsia="Arial" w:hAnsi="Arial"/>
          <w:color w:val="1A1A1A"/>
          <w:sz w:val="22"/>
          <w:szCs w:val="22"/>
        </w:rPr>
        <w:t xml:space="preserve">Source of funds declarations</w:t>
      </w:r>
    </w:p>
    <w:p>
      <w:pPr>
        <w:pStyle w:val="ListParagraph"/>
        <w:numPr>
          <w:ilvl w:val="0"/>
          <w:numId w:val="2"/>
        </w:numPr>
        <w:spacing w:after="40" w:before="40"/>
      </w:pPr>
      <w:r>
        <w:rPr>
          <w:rFonts w:ascii="Arial" w:cs="Arial" w:eastAsia="Arial" w:hAnsi="Arial"/>
          <w:color w:val="1A1A1A"/>
          <w:sz w:val="22"/>
          <w:szCs w:val="22"/>
        </w:rPr>
        <w:t xml:space="preserve">Remittance recipient information (name, account, country)</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2.3 Blockchain &amp; Wallet Data</w:t>
      </w:r>
    </w:p>
    <w:p>
      <w:pPr>
        <w:pStyle w:val="ListParagraph"/>
        <w:numPr>
          <w:ilvl w:val="0"/>
          <w:numId w:val="2"/>
        </w:numPr>
        <w:spacing w:after="40" w:before="40"/>
      </w:pPr>
      <w:r>
        <w:rPr>
          <w:rFonts w:ascii="Arial" w:cs="Arial" w:eastAsia="Arial" w:hAnsi="Arial"/>
          <w:color w:val="1A1A1A"/>
          <w:sz w:val="22"/>
          <w:szCs w:val="22"/>
        </w:rPr>
        <w:t xml:space="preserve">Polygon wallet address (public — stored and visible on-chain)</w:t>
      </w:r>
    </w:p>
    <w:p>
      <w:pPr>
        <w:pStyle w:val="ListParagraph"/>
        <w:numPr>
          <w:ilvl w:val="0"/>
          <w:numId w:val="2"/>
        </w:numPr>
        <w:spacing w:after="40" w:before="40"/>
      </w:pPr>
      <w:r>
        <w:rPr>
          <w:rFonts w:ascii="Arial" w:cs="Arial" w:eastAsia="Arial" w:hAnsi="Arial"/>
          <w:color w:val="1A1A1A"/>
          <w:sz w:val="22"/>
          <w:szCs w:val="22"/>
        </w:rPr>
        <w:t xml:space="preserve">SAC1 token holdings and transaction history</w:t>
      </w:r>
    </w:p>
    <w:p>
      <w:pPr>
        <w:pStyle w:val="ListParagraph"/>
        <w:numPr>
          <w:ilvl w:val="0"/>
          <w:numId w:val="2"/>
        </w:numPr>
        <w:spacing w:after="40" w:before="40"/>
      </w:pPr>
      <w:r>
        <w:rPr>
          <w:rFonts w:ascii="Arial" w:cs="Arial" w:eastAsia="Arial" w:hAnsi="Arial"/>
          <w:color w:val="1A1A1A"/>
          <w:sz w:val="22"/>
          <w:szCs w:val="22"/>
        </w:rPr>
        <w:t xml:space="preserve">Wallet addresses linked to your account for AML screening purposes</w:t>
      </w:r>
    </w:p>
    <w:p>
      <w:pPr>
        <w:spacing w:after="80" w:before="60"/>
      </w:pPr>
      <w:r>
        <w:rPr>
          <w:rFonts w:ascii="Arial" w:cs="Arial" w:eastAsia="Arial" w:hAnsi="Arial"/>
          <w:color w:val="1A1A1A"/>
          <w:sz w:val="22"/>
          <w:szCs w:val="22"/>
        </w:rPr>
        <w:t xml:space="preserve">Note: On-chain data (wallet addresses and transaction hashes) is public and immutable. We store associated KYC data off-chain in encrypted databases only.</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2.4 Technical &amp; Usage Data</w:t>
      </w:r>
    </w:p>
    <w:p>
      <w:pPr>
        <w:pStyle w:val="ListParagraph"/>
        <w:numPr>
          <w:ilvl w:val="0"/>
          <w:numId w:val="2"/>
        </w:numPr>
        <w:spacing w:after="40" w:before="40"/>
      </w:pPr>
      <w:r>
        <w:rPr>
          <w:rFonts w:ascii="Arial" w:cs="Arial" w:eastAsia="Arial" w:hAnsi="Arial"/>
          <w:color w:val="1A1A1A"/>
          <w:sz w:val="22"/>
          <w:szCs w:val="22"/>
        </w:rPr>
        <w:t xml:space="preserve">IP address, browser type, device identifiers</w:t>
      </w:r>
    </w:p>
    <w:p>
      <w:pPr>
        <w:pStyle w:val="ListParagraph"/>
        <w:numPr>
          <w:ilvl w:val="0"/>
          <w:numId w:val="2"/>
        </w:numPr>
        <w:spacing w:after="40" w:before="40"/>
      </w:pPr>
      <w:r>
        <w:rPr>
          <w:rFonts w:ascii="Arial" w:cs="Arial" w:eastAsia="Arial" w:hAnsi="Arial"/>
          <w:color w:val="1A1A1A"/>
          <w:sz w:val="22"/>
          <w:szCs w:val="22"/>
        </w:rPr>
        <w:t xml:space="preserve">Login timestamps, session data, page views</w:t>
      </w:r>
    </w:p>
    <w:p>
      <w:pPr>
        <w:pStyle w:val="ListParagraph"/>
        <w:numPr>
          <w:ilvl w:val="0"/>
          <w:numId w:val="2"/>
        </w:numPr>
        <w:spacing w:after="40" w:before="40"/>
      </w:pPr>
      <w:r>
        <w:rPr>
          <w:rFonts w:ascii="Arial" w:cs="Arial" w:eastAsia="Arial" w:hAnsi="Arial"/>
          <w:color w:val="1A1A1A"/>
          <w:sz w:val="22"/>
          <w:szCs w:val="22"/>
        </w:rPr>
        <w:t xml:space="preserve">Email address, phone number (for authentication)</w:t>
      </w:r>
    </w:p>
    <w:p>
      <w:pPr>
        <w:pStyle w:val="ListParagraph"/>
        <w:numPr>
          <w:ilvl w:val="0"/>
          <w:numId w:val="2"/>
        </w:numPr>
        <w:spacing w:after="40" w:before="40"/>
      </w:pPr>
      <w:r>
        <w:rPr>
          <w:rFonts w:ascii="Arial" w:cs="Arial" w:eastAsia="Arial" w:hAnsi="Arial"/>
          <w:color w:val="1A1A1A"/>
          <w:sz w:val="22"/>
          <w:szCs w:val="22"/>
        </w:rPr>
        <w:t xml:space="preserve">Social login data from Google, Twitter (name, email, profile image)</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3. Legal Basis for Processing (GDPR Art. 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c>
          <w:tcPr>
            <w:tcW w:type="dxa" w:w="320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Processing Activity</w:t>
            </w:r>
          </w:p>
        </w:tc>
        <w:tc>
          <w:tcPr>
            <w:tcW w:type="dxa" w:w="30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Legal Basis</w:t>
            </w:r>
          </w:p>
        </w:tc>
        <w:tc>
          <w:tcPr>
            <w:tcW w:type="dxa" w:w="30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Regulation</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KYC / AML identity verification</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Legal obligation (Art. 6(1)(c))</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FinCEN BSA, FATF R.10, MiCA</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Processing SAC1 purchases</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2E5FA3"/>
                <w:sz w:val="19"/>
                <w:szCs w:val="19"/>
              </w:rPr>
              <w:t xml:space="preserve">Contract performance (Art. 6(1)(b))</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Membership Terms</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Remittance processing</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Contract performance (Art. 6(1)(b))</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Remittance agreement</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Marketing communications</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2E5FA3"/>
                <w:sz w:val="19"/>
                <w:szCs w:val="19"/>
              </w:rPr>
              <w:t xml:space="preserve">Consent (Art. 6(1)(a))</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GDPR, CAN-SPAM</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Fraud &amp; AML monitoring</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Legitimate interest (Art. 6(1)(f))</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FinCEN, FATF</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Regulatory reporting</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2E5FA3"/>
                <w:sz w:val="19"/>
                <w:szCs w:val="19"/>
              </w:rPr>
              <w:t xml:space="preserve">Legal obligation (Art. 6(1)(c))</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FinCEN, SEC, VARA</w:t>
            </w:r>
          </w:p>
        </w:tc>
      </w:tr>
    </w:tbl>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4. Data Retention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c>
          <w:tcPr>
            <w:tcW w:type="dxa" w:w="480"/>
            <w:tcBorders>
              <w:top w:val="single" w:color="D68910" w:sz="1"/>
              <w:left w:val="single" w:color="D68910" w:sz="1"/>
              <w:bottom w:val="single" w:color="D68910" w:sz="1"/>
              <w:right w:val="single" w:color="D68910" w:sz="1"/>
            </w:tcBorders>
            <w:shd w:fill="FDFEE7" w:val="clear"/>
            <w:tcMar>
              <w:top w:type="dxa" w:w="100"/>
              <w:left w:type="dxa" w:w="120"/>
              <w:bottom w:type="dxa" w:w="100"/>
              <w:right w:type="dxa" w:w="80"/>
            </w:tcMar>
            <w:vAlign w:val="center"/>
          </w:tcPr>
          <w:p>
            <w:pPr>
              <w:jc w:val="center"/>
            </w:pPr>
            <w:r>
              <w:rPr>
                <w:rFonts w:ascii="Arial" w:cs="Arial" w:eastAsia="Arial" w:hAnsi="Arial"/>
                <w:color w:val="D68910"/>
                <w:sz w:val="24"/>
                <w:szCs w:val="24"/>
              </w:rPr>
              <w:t xml:space="preserve">⚠</w:t>
            </w:r>
          </w:p>
        </w:tc>
        <w:tc>
          <w:tcPr>
            <w:tcW w:type="dxa" w:w="8880"/>
            <w:tcBorders>
              <w:top w:val="single" w:color="D68910" w:sz="1"/>
              <w:left w:val="single" w:color="D68910" w:sz="1"/>
              <w:bottom w:val="single" w:color="D68910" w:sz="1"/>
              <w:right w:val="single" w:color="D68910" w:sz="1"/>
            </w:tcBorders>
            <w:shd w:fill="FDFEE7" w:val="clear"/>
            <w:tcMar>
              <w:top w:type="dxa" w:w="100"/>
              <w:left w:type="dxa" w:w="160"/>
              <w:bottom w:type="dxa" w:w="100"/>
              <w:right w:type="dxa" w:w="120"/>
            </w:tcMar>
          </w:tcPr>
          <w:p>
            <w:r>
              <w:rPr>
                <w:rFonts w:ascii="Arial" w:cs="Arial" w:eastAsia="Arial" w:hAnsi="Arial"/>
                <w:color w:val="1A1A1A"/>
                <w:sz w:val="21"/>
                <w:szCs w:val="21"/>
              </w:rPr>
              <w:t xml:space="preserve">FATF R.11 requires AML transaction records be retained for a minimum of 5 years. GDPR requires stated retention periods per data category. The schedule below is binding on all SableAssent platforms.</w:t>
            </w:r>
          </w:p>
        </w:tc>
      </w:tr>
    </w:tbl>
    <w:p>
      <w:pPr>
        <w:spacing w:after="40" w:before="4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80"/>
        <w:gridCol w:w="4080"/>
      </w:tblGrid>
      <w:tr>
        <w:tc>
          <w:tcPr>
            <w:tcW w:type="dxa" w:w="320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Data Category</w:t>
            </w:r>
          </w:p>
        </w:tc>
        <w:tc>
          <w:tcPr>
            <w:tcW w:type="dxa" w:w="20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Retention Period</w:t>
            </w:r>
          </w:p>
        </w:tc>
        <w:tc>
          <w:tcPr>
            <w:tcW w:type="dxa" w:w="40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Legal Basis</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KYC identity documents</w:t>
            </w:r>
          </w:p>
        </w:tc>
        <w:tc>
          <w:tcPr>
            <w:tcW w:type="dxa" w:w="2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5 years after relationship ends</w:t>
            </w:r>
          </w:p>
        </w:tc>
        <w:tc>
          <w:tcPr>
            <w:tcW w:type="dxa" w:w="4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FinCEN BSA, FATF R.11</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AML transaction records</w:t>
            </w:r>
          </w:p>
        </w:tc>
        <w:tc>
          <w:tcPr>
            <w:tcW w:type="dxa" w:w="2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5 years minimum</w:t>
            </w:r>
          </w:p>
        </w:tc>
        <w:tc>
          <w:tcPr>
            <w:tcW w:type="dxa" w:w="4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FinCEN 31 CFR 1022.320</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SAR / CTR filings</w:t>
            </w:r>
          </w:p>
        </w:tc>
        <w:tc>
          <w:tcPr>
            <w:tcW w:type="dxa" w:w="2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5 years from filing date</w:t>
            </w:r>
          </w:p>
        </w:tc>
        <w:tc>
          <w:tcPr>
            <w:tcW w:type="dxa" w:w="4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31 CFR 1010.430</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Financial transaction history</w:t>
            </w:r>
          </w:p>
        </w:tc>
        <w:tc>
          <w:tcPr>
            <w:tcW w:type="dxa" w:w="2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5–10 years</w:t>
            </w:r>
          </w:p>
        </w:tc>
        <w:tc>
          <w:tcPr>
            <w:tcW w:type="dxa" w:w="4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MiCA Art. 75, FinCEN</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SAC1 governance membership</w:t>
            </w:r>
          </w:p>
        </w:tc>
        <w:tc>
          <w:tcPr>
            <w:tcW w:type="dxa" w:w="2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Duration of membership + 5 years</w:t>
            </w:r>
          </w:p>
        </w:tc>
        <w:tc>
          <w:tcPr>
            <w:tcW w:type="dxa" w:w="4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Contract, FinCEN</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Marketing / consent records</w:t>
            </w:r>
          </w:p>
        </w:tc>
        <w:tc>
          <w:tcPr>
            <w:tcW w:type="dxa" w:w="2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Until consent withdrawn + 3 years</w:t>
            </w:r>
          </w:p>
        </w:tc>
        <w:tc>
          <w:tcPr>
            <w:tcW w:type="dxa" w:w="4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GDPR Art. 7(1)</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Technical logs (IP, session)</w:t>
            </w:r>
          </w:p>
        </w:tc>
        <w:tc>
          <w:tcPr>
            <w:tcW w:type="dxa" w:w="2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12 months</w:t>
            </w:r>
          </w:p>
        </w:tc>
        <w:tc>
          <w:tcPr>
            <w:tcW w:type="dxa" w:w="4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GDPR legitimate interest</w:t>
            </w:r>
          </w:p>
        </w:tc>
      </w:tr>
      <w:tr>
        <w:tc>
          <w:tcPr>
            <w:tcW w:type="dxa" w:w="3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A1A1A"/>
                <w:sz w:val="19"/>
                <w:szCs w:val="19"/>
              </w:rPr>
              <w:t xml:space="preserve">Payment card data</w:t>
            </w:r>
          </w:p>
        </w:tc>
        <w:tc>
          <w:tcPr>
            <w:tcW w:type="dxa" w:w="2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Not stored (Stripe PCI-DSS)</w:t>
            </w:r>
          </w:p>
        </w:tc>
        <w:tc>
          <w:tcPr>
            <w:tcW w:type="dxa" w:w="4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PCI-DSS</w:t>
            </w:r>
          </w:p>
        </w:tc>
      </w:tr>
      <w:tr>
        <w:tc>
          <w:tcPr>
            <w:tcW w:type="dxa" w:w="3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A1A1A"/>
                <w:sz w:val="19"/>
                <w:szCs w:val="19"/>
              </w:rPr>
              <w:t xml:space="preserve">Social login data</w:t>
            </w:r>
          </w:p>
        </w:tc>
        <w:tc>
          <w:tcPr>
            <w:tcW w:type="dxa" w:w="2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Until account deletion</w:t>
            </w:r>
          </w:p>
        </w:tc>
        <w:tc>
          <w:tcPr>
            <w:tcW w:type="dxa" w:w="4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GDPR Art. 17</w:t>
            </w:r>
          </w:p>
        </w:tc>
      </w:tr>
    </w:tbl>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5. Third-Party Data Processors &amp; Sharing</w:t>
      </w:r>
    </w:p>
    <w:p>
      <w:pPr>
        <w:spacing w:after="80" w:before="60"/>
      </w:pPr>
      <w:r>
        <w:rPr>
          <w:rFonts w:ascii="Arial" w:cs="Arial" w:eastAsia="Arial" w:hAnsi="Arial"/>
          <w:color w:val="1A1A1A"/>
          <w:sz w:val="22"/>
          <w:szCs w:val="22"/>
        </w:rPr>
        <w:t xml:space="preserve">We share personal data only with the following categories of third parties, each bound by a Data Processing Agreement (DPA):</w:t>
      </w:r>
    </w:p>
    <w:p>
      <w:pPr>
        <w:spacing w:after="40" w:before="4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080"/>
        <w:gridCol w:w="3480"/>
      </w:tblGrid>
      <w:tr>
        <w:tc>
          <w:tcPr>
            <w:tcW w:type="dxa" w:w="280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Category</w:t>
            </w:r>
          </w:p>
        </w:tc>
        <w:tc>
          <w:tcPr>
            <w:tcW w:type="dxa" w:w="30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Provider Examples</w:t>
            </w:r>
          </w:p>
        </w:tc>
        <w:tc>
          <w:tcPr>
            <w:tcW w:type="dxa" w:w="34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Purpose</w:t>
            </w:r>
          </w:p>
        </w:tc>
      </w:tr>
      <w:tr>
        <w:tc>
          <w:tcPr>
            <w:tcW w:type="dxa" w:w="28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Payment Processor</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Stripe, PayPal</w:t>
            </w:r>
          </w:p>
        </w:tc>
        <w:tc>
          <w:tcPr>
            <w:tcW w:type="dxa" w:w="34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Payment processing — PCI-DSS certified</w:t>
            </w:r>
          </w:p>
        </w:tc>
      </w:tr>
      <w:tr>
        <w:tc>
          <w:tcPr>
            <w:tcW w:type="dxa" w:w="28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KYC / Identity</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2E5FA3"/>
                <w:sz w:val="19"/>
                <w:szCs w:val="19"/>
              </w:rPr>
              <w:t xml:space="preserve">Persona, Sumsub</w:t>
            </w:r>
          </w:p>
        </w:tc>
        <w:tc>
          <w:tcPr>
            <w:tcW w:type="dxa" w:w="34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Identity verification, liveness checks</w:t>
            </w:r>
          </w:p>
        </w:tc>
      </w:tr>
      <w:tr>
        <w:tc>
          <w:tcPr>
            <w:tcW w:type="dxa" w:w="28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Blockchain Analytics</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AMLBot, Chainalysis</w:t>
            </w:r>
          </w:p>
        </w:tc>
        <w:tc>
          <w:tcPr>
            <w:tcW w:type="dxa" w:w="34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AML wallet screening, OFAC checks</w:t>
            </w:r>
          </w:p>
        </w:tc>
      </w:tr>
      <w:tr>
        <w:tc>
          <w:tcPr>
            <w:tcW w:type="dxa" w:w="28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Cloud Infrastructure</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2E5FA3"/>
                <w:sz w:val="19"/>
                <w:szCs w:val="19"/>
              </w:rPr>
              <w:t xml:space="preserve">AWS, Google Cloud</w:t>
            </w:r>
          </w:p>
        </w:tc>
        <w:tc>
          <w:tcPr>
            <w:tcW w:type="dxa" w:w="34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Data hosting, key management (KMS)</w:t>
            </w:r>
          </w:p>
        </w:tc>
      </w:tr>
      <w:tr>
        <w:tc>
          <w:tcPr>
            <w:tcW w:type="dxa" w:w="28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Blockchain RPC</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Alchemy</w:t>
            </w:r>
          </w:p>
        </w:tc>
        <w:tc>
          <w:tcPr>
            <w:tcW w:type="dxa" w:w="34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Polygon transaction broadcasting</w:t>
            </w:r>
          </w:p>
        </w:tc>
      </w:tr>
      <w:tr>
        <w:tc>
          <w:tcPr>
            <w:tcW w:type="dxa" w:w="28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Travel Rule</w:t>
            </w:r>
          </w:p>
        </w:tc>
        <w:tc>
          <w:tcPr>
            <w:tcW w:type="dxa" w:w="30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2E5FA3"/>
                <w:sz w:val="19"/>
                <w:szCs w:val="19"/>
              </w:rPr>
              <w:t xml:space="preserve">TRISA Envoy</w:t>
            </w:r>
          </w:p>
        </w:tc>
        <w:tc>
          <w:tcPr>
            <w:tcW w:type="dxa" w:w="34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FATF Travel Rule data exchange</w:t>
            </w:r>
          </w:p>
        </w:tc>
      </w:tr>
      <w:tr>
        <w:tc>
          <w:tcPr>
            <w:tcW w:type="dxa" w:w="28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Email / Comms</w:t>
            </w:r>
          </w:p>
        </w:tc>
        <w:tc>
          <w:tcPr>
            <w:tcW w:type="dxa" w:w="30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2E5FA3"/>
                <w:sz w:val="19"/>
                <w:szCs w:val="19"/>
              </w:rPr>
              <w:t xml:space="preserve">MailerLite</w:t>
            </w:r>
          </w:p>
        </w:tc>
        <w:tc>
          <w:tcPr>
            <w:tcW w:type="dxa" w:w="34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Transaction emails, compliance notices</w:t>
            </w:r>
          </w:p>
        </w:tc>
      </w:tr>
    </w:tbl>
    <w:p>
      <w:pPr>
        <w:spacing w:after="80" w:before="60"/>
      </w:pPr>
      <w:r>
        <w:rPr>
          <w:rFonts w:ascii="Arial" w:cs="Arial" w:eastAsia="Arial" w:hAnsi="Arial"/>
          <w:color w:val="1A1A1A"/>
          <w:sz w:val="22"/>
          <w:szCs w:val="22"/>
        </w:rPr>
        <w:t xml:space="preserve">We do not sell your personal data to third parties. We do not use your data for advertising profiling.</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6. International Data Transfers</w:t>
      </w:r>
    </w:p>
    <w:p>
      <w:pPr>
        <w:spacing w:after="80" w:before="60"/>
      </w:pPr>
      <w:r>
        <w:rPr>
          <w:rFonts w:ascii="Arial" w:cs="Arial" w:eastAsia="Arial" w:hAnsi="Arial"/>
          <w:color w:val="1A1A1A"/>
          <w:sz w:val="22"/>
          <w:szCs w:val="22"/>
        </w:rPr>
        <w:t xml:space="preserve">SableAssent operates in the United States and processes data on behalf of users globally including EU, UK, and African diaspora communities. Where personal data is transferred outside the EEA or UK:</w:t>
      </w:r>
    </w:p>
    <w:p>
      <w:pPr>
        <w:pStyle w:val="ListParagraph"/>
        <w:numPr>
          <w:ilvl w:val="0"/>
          <w:numId w:val="2"/>
        </w:numPr>
        <w:spacing w:after="40" w:before="40"/>
      </w:pPr>
      <w:r>
        <w:rPr>
          <w:rFonts w:ascii="Arial" w:cs="Arial" w:eastAsia="Arial" w:hAnsi="Arial"/>
          <w:color w:val="1A1A1A"/>
          <w:sz w:val="22"/>
          <w:szCs w:val="22"/>
        </w:rPr>
        <w:t xml:space="preserve">AWS and Google Cloud transfers to the U.S. are covered by Standard Contractual Clauses (SCCs) executed under GDPR Art. 46</w:t>
      </w:r>
    </w:p>
    <w:p>
      <w:pPr>
        <w:pStyle w:val="ListParagraph"/>
        <w:numPr>
          <w:ilvl w:val="0"/>
          <w:numId w:val="2"/>
        </w:numPr>
        <w:spacing w:after="40" w:before="40"/>
      </w:pPr>
      <w:r>
        <w:rPr>
          <w:rFonts w:ascii="Arial" w:cs="Arial" w:eastAsia="Arial" w:hAnsi="Arial"/>
          <w:color w:val="1A1A1A"/>
          <w:sz w:val="22"/>
          <w:szCs w:val="22"/>
        </w:rPr>
        <w:t xml:space="preserve">EU customer data is processed in EU-region data centers where possible</w:t>
      </w:r>
    </w:p>
    <w:p>
      <w:pPr>
        <w:pStyle w:val="ListParagraph"/>
        <w:numPr>
          <w:ilvl w:val="0"/>
          <w:numId w:val="2"/>
        </w:numPr>
        <w:spacing w:after="40" w:before="40"/>
      </w:pPr>
      <w:r>
        <w:rPr>
          <w:rFonts w:ascii="Arial" w:cs="Arial" w:eastAsia="Arial" w:hAnsi="Arial"/>
          <w:color w:val="1A1A1A"/>
          <w:sz w:val="22"/>
          <w:szCs w:val="22"/>
        </w:rPr>
        <w:t xml:space="preserve">Transfers to African jurisdictions (Ghana, Nigeria, Liberia) comply with applicable data protection laws including the NDPR (Nigeria), Data Protection Act (Ghana), and equivalent frameworks</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7. Your Data Rights</w:t>
      </w:r>
    </w:p>
    <w:p>
      <w:pPr>
        <w:pStyle w:val="Heading2"/>
        <w:pBdr>
          <w:bottom w:val="single" w:color="C8A84A" w:sz="4" w:space="4"/>
        </w:pBdr>
        <w:spacing w:after="100" w:before="280"/>
      </w:pPr>
      <w:r>
        <w:rPr>
          <w:rFonts w:ascii="Arial" w:cs="Arial" w:eastAsia="Arial" w:hAnsi="Arial"/>
          <w:b/>
          <w:bCs/>
          <w:color w:val="2E5FA3"/>
          <w:sz w:val="26"/>
          <w:szCs w:val="26"/>
        </w:rPr>
        <w:t xml:space="preserve">7.1 Under GDPR (EU/UK Users)</w:t>
      </w:r>
    </w:p>
    <w:p>
      <w:pPr>
        <w:pStyle w:val="ListParagraph"/>
        <w:numPr>
          <w:ilvl w:val="0"/>
          <w:numId w:val="2"/>
        </w:numPr>
        <w:spacing w:after="40" w:before="40"/>
      </w:pPr>
      <w:r>
        <w:rPr>
          <w:rFonts w:ascii="Arial" w:cs="Arial" w:eastAsia="Arial" w:hAnsi="Arial"/>
          <w:color w:val="1A1A1A"/>
          <w:sz w:val="22"/>
          <w:szCs w:val="22"/>
        </w:rPr>
        <w:t xml:space="preserve">Right to access (Art. 15) — Request a copy of your personal data</w:t>
      </w:r>
    </w:p>
    <w:p>
      <w:pPr>
        <w:pStyle w:val="ListParagraph"/>
        <w:numPr>
          <w:ilvl w:val="0"/>
          <w:numId w:val="2"/>
        </w:numPr>
        <w:spacing w:after="40" w:before="40"/>
      </w:pPr>
      <w:r>
        <w:rPr>
          <w:rFonts w:ascii="Arial" w:cs="Arial" w:eastAsia="Arial" w:hAnsi="Arial"/>
          <w:color w:val="1A1A1A"/>
          <w:sz w:val="22"/>
          <w:szCs w:val="22"/>
        </w:rPr>
        <w:t xml:space="preserve">Right to rectification (Art. 16) — Correct inaccurate data</w:t>
      </w:r>
    </w:p>
    <w:p>
      <w:pPr>
        <w:pStyle w:val="ListParagraph"/>
        <w:numPr>
          <w:ilvl w:val="0"/>
          <w:numId w:val="2"/>
        </w:numPr>
        <w:spacing w:after="40" w:before="40"/>
      </w:pPr>
      <w:r>
        <w:rPr>
          <w:rFonts w:ascii="Arial" w:cs="Arial" w:eastAsia="Arial" w:hAnsi="Arial"/>
          <w:color w:val="1A1A1A"/>
          <w:sz w:val="22"/>
          <w:szCs w:val="22"/>
        </w:rPr>
        <w:t xml:space="preserve">Right to erasure (Art. 17) — Delete your data (subject to regulatory retention obligations)</w:t>
      </w:r>
    </w:p>
    <w:p>
      <w:pPr>
        <w:pStyle w:val="ListParagraph"/>
        <w:numPr>
          <w:ilvl w:val="0"/>
          <w:numId w:val="2"/>
        </w:numPr>
        <w:spacing w:after="40" w:before="40"/>
      </w:pPr>
      <w:r>
        <w:rPr>
          <w:rFonts w:ascii="Arial" w:cs="Arial" w:eastAsia="Arial" w:hAnsi="Arial"/>
          <w:color w:val="1A1A1A"/>
          <w:sz w:val="22"/>
          <w:szCs w:val="22"/>
        </w:rPr>
        <w:t xml:space="preserve">Right to portability (Art. 20) — Receive your data in machine-readable format</w:t>
      </w:r>
    </w:p>
    <w:p>
      <w:pPr>
        <w:pStyle w:val="ListParagraph"/>
        <w:numPr>
          <w:ilvl w:val="0"/>
          <w:numId w:val="2"/>
        </w:numPr>
        <w:spacing w:after="40" w:before="40"/>
      </w:pPr>
      <w:r>
        <w:rPr>
          <w:rFonts w:ascii="Arial" w:cs="Arial" w:eastAsia="Arial" w:hAnsi="Arial"/>
          <w:color w:val="1A1A1A"/>
          <w:sz w:val="22"/>
          <w:szCs w:val="22"/>
        </w:rPr>
        <w:t xml:space="preserve">Right to object (Art. 21) — Object to processing based on legitimate interests</w:t>
      </w:r>
    </w:p>
    <w:p>
      <w:pPr>
        <w:pStyle w:val="ListParagraph"/>
        <w:numPr>
          <w:ilvl w:val="0"/>
          <w:numId w:val="2"/>
        </w:numPr>
        <w:spacing w:after="40" w:before="40"/>
      </w:pPr>
      <w:r>
        <w:rPr>
          <w:rFonts w:ascii="Arial" w:cs="Arial" w:eastAsia="Arial" w:hAnsi="Arial"/>
          <w:color w:val="1A1A1A"/>
          <w:sz w:val="22"/>
          <w:szCs w:val="22"/>
        </w:rPr>
        <w:t xml:space="preserve">Right to restrict processing (Art. 18) — Limit how we use your data</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7.2 Under CCPA (California Users)</w:t>
      </w:r>
    </w:p>
    <w:p>
      <w:pPr>
        <w:pStyle w:val="ListParagraph"/>
        <w:numPr>
          <w:ilvl w:val="0"/>
          <w:numId w:val="2"/>
        </w:numPr>
        <w:spacing w:after="40" w:before="40"/>
      </w:pPr>
      <w:r>
        <w:rPr>
          <w:rFonts w:ascii="Arial" w:cs="Arial" w:eastAsia="Arial" w:hAnsi="Arial"/>
          <w:color w:val="1A1A1A"/>
          <w:sz w:val="22"/>
          <w:szCs w:val="22"/>
        </w:rPr>
        <w:t xml:space="preserve">Right to know what personal information is collected and how it is used</w:t>
      </w:r>
    </w:p>
    <w:p>
      <w:pPr>
        <w:pStyle w:val="ListParagraph"/>
        <w:numPr>
          <w:ilvl w:val="0"/>
          <w:numId w:val="2"/>
        </w:numPr>
        <w:spacing w:after="40" w:before="40"/>
      </w:pPr>
      <w:r>
        <w:rPr>
          <w:rFonts w:ascii="Arial" w:cs="Arial" w:eastAsia="Arial" w:hAnsi="Arial"/>
          <w:color w:val="1A1A1A"/>
          <w:sz w:val="22"/>
          <w:szCs w:val="22"/>
        </w:rPr>
        <w:t xml:space="preserve">Right to delete personal information (§1798.105)</w:t>
      </w:r>
    </w:p>
    <w:p>
      <w:pPr>
        <w:pStyle w:val="ListParagraph"/>
        <w:numPr>
          <w:ilvl w:val="0"/>
          <w:numId w:val="2"/>
        </w:numPr>
        <w:spacing w:after="40" w:before="40"/>
      </w:pPr>
      <w:r>
        <w:rPr>
          <w:rFonts w:ascii="Arial" w:cs="Arial" w:eastAsia="Arial" w:hAnsi="Arial"/>
          <w:color w:val="1A1A1A"/>
          <w:sz w:val="22"/>
          <w:szCs w:val="22"/>
        </w:rPr>
        <w:t xml:space="preserve">Right to opt out of sale of personal information (we do not sell data)</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7.3 How to Exercise Your Rights</w:t>
      </w:r>
    </w:p>
    <w:p>
      <w:pPr>
        <w:spacing w:after="80" w:before="60"/>
      </w:pPr>
      <w:r>
        <w:rPr>
          <w:rFonts w:ascii="Arial" w:cs="Arial" w:eastAsia="Arial" w:hAnsi="Arial"/>
          <w:color w:val="1A1A1A"/>
          <w:sz w:val="22"/>
          <w:szCs w:val="22"/>
        </w:rPr>
        <w:t xml:space="preserve">Submit requests to: privacy@sableassent.net</w:t>
      </w:r>
    </w:p>
    <w:p>
      <w:pPr>
        <w:spacing w:after="80" w:before="60"/>
      </w:pPr>
      <w:r>
        <w:rPr>
          <w:rFonts w:ascii="Arial" w:cs="Arial" w:eastAsia="Arial" w:hAnsi="Arial"/>
          <w:color w:val="1A1A1A"/>
          <w:sz w:val="22"/>
          <w:szCs w:val="22"/>
        </w:rPr>
        <w:t xml:space="preserve">We will respond within 30 days (GDPR) or 45 days (CCPA). Note: we may be unable to delete data subject to regulatory retention requirements (AML records, FinCEN filings).</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8. Security Measures</w:t>
      </w:r>
    </w:p>
    <w:p>
      <w:pPr>
        <w:pStyle w:val="ListParagraph"/>
        <w:numPr>
          <w:ilvl w:val="0"/>
          <w:numId w:val="2"/>
        </w:numPr>
        <w:spacing w:after="40" w:before="40"/>
      </w:pPr>
      <w:r>
        <w:rPr>
          <w:rFonts w:ascii="Arial" w:cs="Arial" w:eastAsia="Arial" w:hAnsi="Arial"/>
          <w:color w:val="1A1A1A"/>
          <w:sz w:val="22"/>
          <w:szCs w:val="22"/>
        </w:rPr>
        <w:t xml:space="preserve">AES-256-GCM encryption for all personal data at rest</w:t>
      </w:r>
    </w:p>
    <w:p>
      <w:pPr>
        <w:pStyle w:val="ListParagraph"/>
        <w:numPr>
          <w:ilvl w:val="0"/>
          <w:numId w:val="2"/>
        </w:numPr>
        <w:spacing w:after="40" w:before="40"/>
      </w:pPr>
      <w:r>
        <w:rPr>
          <w:rFonts w:ascii="Arial" w:cs="Arial" w:eastAsia="Arial" w:hAnsi="Arial"/>
          <w:color w:val="1A1A1A"/>
          <w:sz w:val="22"/>
          <w:szCs w:val="22"/>
        </w:rPr>
        <w:t xml:space="preserve">TLS 1.3 for all data in transit</w:t>
      </w:r>
    </w:p>
    <w:p>
      <w:pPr>
        <w:pStyle w:val="ListParagraph"/>
        <w:numPr>
          <w:ilvl w:val="0"/>
          <w:numId w:val="2"/>
        </w:numPr>
        <w:spacing w:after="40" w:before="40"/>
      </w:pPr>
      <w:r>
        <w:rPr>
          <w:rFonts w:ascii="Arial" w:cs="Arial" w:eastAsia="Arial" w:hAnsi="Arial"/>
          <w:color w:val="1A1A1A"/>
          <w:sz w:val="22"/>
          <w:szCs w:val="22"/>
        </w:rPr>
        <w:t xml:space="preserve">Dual-cloud key management: Google Cloud KMS + AWS KMS (FIPS 140-2 Level 3 HSMs)</w:t>
      </w:r>
    </w:p>
    <w:p>
      <w:pPr>
        <w:pStyle w:val="ListParagraph"/>
        <w:numPr>
          <w:ilvl w:val="0"/>
          <w:numId w:val="2"/>
        </w:numPr>
        <w:spacing w:after="40" w:before="40"/>
      </w:pPr>
      <w:r>
        <w:rPr>
          <w:rFonts w:ascii="Arial" w:cs="Arial" w:eastAsia="Arial" w:hAnsi="Arial"/>
          <w:color w:val="1A1A1A"/>
          <w:sz w:val="22"/>
          <w:szCs w:val="22"/>
        </w:rPr>
        <w:t xml:space="preserve">Role-based access control — staff access personal data only on a need-to-know basis</w:t>
      </w:r>
    </w:p>
    <w:p>
      <w:pPr>
        <w:pStyle w:val="ListParagraph"/>
        <w:numPr>
          <w:ilvl w:val="0"/>
          <w:numId w:val="2"/>
        </w:numPr>
        <w:spacing w:after="40" w:before="40"/>
      </w:pPr>
      <w:r>
        <w:rPr>
          <w:rFonts w:ascii="Arial" w:cs="Arial" w:eastAsia="Arial" w:hAnsi="Arial"/>
          <w:color w:val="1A1A1A"/>
          <w:sz w:val="22"/>
          <w:szCs w:val="22"/>
        </w:rPr>
        <w:t xml:space="preserve">2-of-3 multi-signature approval for access to encrypted key material</w:t>
      </w:r>
    </w:p>
    <w:p>
      <w:pPr>
        <w:pStyle w:val="ListParagraph"/>
        <w:numPr>
          <w:ilvl w:val="0"/>
          <w:numId w:val="2"/>
        </w:numPr>
        <w:spacing w:after="40" w:before="40"/>
      </w:pPr>
      <w:r>
        <w:rPr>
          <w:rFonts w:ascii="Arial" w:cs="Arial" w:eastAsia="Arial" w:hAnsi="Arial"/>
          <w:color w:val="1A1A1A"/>
          <w:sz w:val="22"/>
          <w:szCs w:val="22"/>
        </w:rPr>
        <w:t xml:space="preserve">Annual penetration testing and smart contract audits</w:t>
      </w:r>
    </w:p>
    <w:p>
      <w:pPr>
        <w:pStyle w:val="ListParagraph"/>
        <w:numPr>
          <w:ilvl w:val="0"/>
          <w:numId w:val="2"/>
        </w:numPr>
        <w:spacing w:after="40" w:before="40"/>
      </w:pPr>
      <w:r>
        <w:rPr>
          <w:rFonts w:ascii="Arial" w:cs="Arial" w:eastAsia="Arial" w:hAnsi="Arial"/>
          <w:color w:val="1A1A1A"/>
          <w:sz w:val="22"/>
          <w:szCs w:val="22"/>
        </w:rPr>
        <w:t xml:space="preserve">72-hour breach notification to data protection authorities per GDPR Art. 33</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9. Cookies &amp; Tracking</w:t>
      </w:r>
    </w:p>
    <w:p>
      <w:pPr>
        <w:spacing w:after="80" w:before="60"/>
      </w:pPr>
      <w:r>
        <w:rPr>
          <w:rFonts w:ascii="Arial" w:cs="Arial" w:eastAsia="Arial" w:hAnsi="Arial"/>
          <w:color w:val="1A1A1A"/>
          <w:sz w:val="22"/>
          <w:szCs w:val="22"/>
        </w:rPr>
        <w:t xml:space="preserve">We use cookies and similar technologies as detailed in our Cookie Policy (Section 10 of this document and the on-site Cookie Consent banner). You may withdraw cookie consent at any time via the cookie settings in your browser or our cookie preferences panel.</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10. Complaints &amp; Data Protection Authority</w:t>
      </w:r>
    </w:p>
    <w:p>
      <w:pPr>
        <w:spacing w:after="80" w:before="60"/>
      </w:pPr>
      <w:r>
        <w:rPr>
          <w:rFonts w:ascii="Arial" w:cs="Arial" w:eastAsia="Arial" w:hAnsi="Arial"/>
          <w:color w:val="1A1A1A"/>
          <w:sz w:val="22"/>
          <w:szCs w:val="22"/>
        </w:rPr>
        <w:t xml:space="preserve">If you believe your data rights have been violated, you have the right to lodge a complaint with your national data protection authority:</w:t>
      </w:r>
    </w:p>
    <w:p>
      <w:pPr>
        <w:pStyle w:val="ListParagraph"/>
        <w:numPr>
          <w:ilvl w:val="0"/>
          <w:numId w:val="2"/>
        </w:numPr>
        <w:spacing w:after="40" w:before="40"/>
      </w:pPr>
      <w:r>
        <w:rPr>
          <w:rFonts w:ascii="Arial" w:cs="Arial" w:eastAsia="Arial" w:hAnsi="Arial"/>
          <w:color w:val="1A1A1A"/>
          <w:sz w:val="22"/>
          <w:szCs w:val="22"/>
        </w:rPr>
        <w:t xml:space="preserve">EU: Your national DPA (e.g., CNIL for France, BfDI for Germany, ICO for UK)</w:t>
      </w:r>
    </w:p>
    <w:p>
      <w:pPr>
        <w:pStyle w:val="ListParagraph"/>
        <w:numPr>
          <w:ilvl w:val="0"/>
          <w:numId w:val="2"/>
        </w:numPr>
        <w:spacing w:after="40" w:before="40"/>
      </w:pPr>
      <w:r>
        <w:rPr>
          <w:rFonts w:ascii="Arial" w:cs="Arial" w:eastAsia="Arial" w:hAnsi="Arial"/>
          <w:color w:val="1A1A1A"/>
          <w:sz w:val="22"/>
          <w:szCs w:val="22"/>
        </w:rPr>
        <w:t xml:space="preserve">UK: Information Commissioner's Office (ico.org.uk)</w:t>
      </w:r>
    </w:p>
    <w:p>
      <w:pPr>
        <w:pStyle w:val="ListParagraph"/>
        <w:numPr>
          <w:ilvl w:val="0"/>
          <w:numId w:val="2"/>
        </w:numPr>
        <w:spacing w:after="40" w:before="40"/>
      </w:pPr>
      <w:r>
        <w:rPr>
          <w:rFonts w:ascii="Arial" w:cs="Arial" w:eastAsia="Arial" w:hAnsi="Arial"/>
          <w:color w:val="1A1A1A"/>
          <w:sz w:val="22"/>
          <w:szCs w:val="22"/>
        </w:rPr>
        <w:t xml:space="preserve">Nigeria: National Information Technology Development Agency (NITDA)</w:t>
      </w:r>
    </w:p>
    <w:p>
      <w:pPr>
        <w:pStyle w:val="ListParagraph"/>
        <w:numPr>
          <w:ilvl w:val="0"/>
          <w:numId w:val="2"/>
        </w:numPr>
        <w:spacing w:after="40" w:before="40"/>
      </w:pPr>
      <w:r>
        <w:rPr>
          <w:rFonts w:ascii="Arial" w:cs="Arial" w:eastAsia="Arial" w:hAnsi="Arial"/>
          <w:color w:val="1A1A1A"/>
          <w:sz w:val="22"/>
          <w:szCs w:val="22"/>
        </w:rPr>
        <w:t xml:space="preserve">Ghana: Data Protection Commission (dataprotection.org.gh)</w:t>
      </w:r>
    </w:p>
    <w:p>
      <w:pPr>
        <w:spacing w:after="40" w:before="40"/>
      </w:pPr>
      <w:r>
        <w:rPr>
          <w:sz w:val="20"/>
          <w:szCs w:val="20"/>
        </w:rPr>
        <w:t xml:space="preserve"/>
      </w:r>
    </w:p>
    <w:p>
      <w:pPr>
        <w:spacing w:after="80" w:before="60"/>
      </w:pPr>
      <w:r>
        <w:rPr>
          <w:rFonts w:ascii="Arial" w:cs="Arial" w:eastAsia="Arial" w:hAnsi="Arial"/>
          <w:color w:val="1A1A1A"/>
          <w:sz w:val="22"/>
          <w:szCs w:val="22"/>
        </w:rPr>
        <w:t xml:space="preserve">Contact our Data Protection Officer first: compliance@sableassent.net</w:t>
      </w:r>
    </w:p>
    <w:p>
      <w:pPr>
        <w:spacing w:after="40" w:before="40"/>
      </w:pPr>
      <w:r>
        <w:rPr>
          <w:sz w:val="20"/>
          <w:szCs w:val="20"/>
        </w:rPr>
        <w:t xml:space="preserve"/>
      </w:r>
    </w:p>
    <w:p>
      <w:pPr>
        <w:spacing w:after="40" w:before="40"/>
      </w:pPr>
      <w:r>
        <w:rPr>
          <w:sz w:val="20"/>
          <w:szCs w:val="20"/>
        </w:rPr>
        <w:t xml:space="preserve"/>
      </w:r>
    </w:p>
    <w:p>
      <w:pPr>
        <w:pBdr>
          <w:bottom w:val="single" w:color="C8A84A" w:sz="6" w:space="1"/>
        </w:pBdr>
        <w:spacing w:after="160" w:before="160"/>
      </w:pPr>
      <w:r>
        <w:t xml:space="preserve"/>
      </w:r>
    </w:p>
    <w:p>
      <w:pPr>
        <w:spacing w:after="40" w:before="80"/>
        <w:jc w:val="center"/>
      </w:pPr>
      <w:r>
        <w:rPr>
          <w:rFonts w:ascii="Arial" w:cs="Arial" w:eastAsia="Arial" w:hAnsi="Arial"/>
          <w:color w:val="5D6D7E"/>
          <w:sz w:val="18"/>
          <w:szCs w:val="18"/>
        </w:rPr>
        <w:t xml:space="preserve">SableAssent Coin Corporation  |  privacy@sableassent.net  |  June 2026  |  Version 1.0</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A84A" w:sz="4" w:space="4"/>
      </w:pBdr>
      <w:tabs>
        <w:tab w:val="right" w:pos="9360"/>
      </w:tabs>
    </w:pPr>
    <w:r>
      <w:rPr>
        <w:rFonts w:ascii="Arial" w:cs="Arial" w:eastAsia="Arial" w:hAnsi="Arial"/>
        <w:color w:val="5D6D7E"/>
        <w:sz w:val="16"/>
        <w:szCs w:val="16"/>
      </w:rPr>
      <w:t xml:space="preserve">SableAssent Coin Corporation  |  Confidential — June 2026</w:t>
    </w:r>
    <w:r>
      <w:rPr>
        <w:rFonts w:ascii="Arial" w:cs="Arial" w:eastAsia="Arial" w:hAnsi="Arial"/>
        <w:color w:val="5D6D7E"/>
        <w:sz w:val="16"/>
        <w:szCs w:val="16"/>
      </w:rPr>
      <w:t xml:space="preserve">	Page </w:t>
    </w:r>
    <w:r>
      <w:rPr>
        <w:rFonts w:ascii="Arial" w:cs="Arial" w:eastAsia="Arial" w:hAnsi="Arial"/>
        <w:color w:val="C8A84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84A" w:sz="4" w:space="4"/>
      </w:pBdr>
    </w:pPr>
    <w:r>
      <w:rPr>
        <w:rFonts w:ascii="Arial" w:cs="Arial" w:eastAsia="Arial" w:hAnsi="Arial"/>
        <w:b/>
        <w:bCs/>
        <w:color w:val="C8A84A"/>
        <w:sz w:val="18"/>
        <w:szCs w:val="18"/>
      </w:rPr>
      <w:t xml:space="preserve">SableAssent  |  </w:t>
    </w:r>
    <w:r>
      <w:rPr>
        <w:rFonts w:ascii="Arial" w:cs="Arial" w:eastAsia="Arial" w:hAnsi="Arial"/>
        <w:color w:val="5D6D7E"/>
        <w:sz w:val="18"/>
        <w:szCs w:val="18"/>
      </w:rPr>
      <w:t xml:space="preserve">Privacy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1080" w:hanging="360"/>
      </w:pPr>
    </w:lvl>
  </w:abstractNum>
  <w:abstractNum w:abstractNumId="5"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B2A4A"/>
      <w:sz w:val="32"/>
      <w:szCs w:val="32"/>
    </w:rPr>
  </w:style>
  <w:style w:type="paragraph" w:styleId="Heading2">
    <w:name w:val="Heading 2"/>
    <w:basedOn w:val="Normal"/>
    <w:next w:val="Normal"/>
    <w:qFormat/>
    <w:pPr>
      <w:spacing w:after="100" w:before="280"/>
      <w:outlineLvl w:val="1"/>
    </w:pPr>
    <w:rPr>
      <w:rFonts w:ascii="Arial" w:cs="Arial" w:eastAsia="Arial" w:hAnsi="Arial"/>
      <w:b/>
      <w:bCs/>
      <w:color w:val="2E5FA3"/>
      <w:sz w:val="26"/>
      <w:szCs w:val="26"/>
    </w:rPr>
  </w:style>
  <w:style w:type="paragraph" w:styleId="Heading3">
    <w:name w:val="Heading 3"/>
    <w:basedOn w:val="Normal"/>
    <w:next w:val="Normal"/>
    <w:qFormat/>
    <w:pPr>
      <w:spacing w:after="80" w:before="200"/>
      <w:outlineLvl w:val="2"/>
    </w:pPr>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2026-06-07T08:15:09.198Z</dcterms:created>
  <dcterms:modified xsi:type="dcterms:W3CDTF">2026-06-07T08:15:09.199Z</dcterms:modified>
</cp:coreProperties>
</file>

<file path=docProps/custom.xml><?xml version="1.0" encoding="utf-8"?>
<Properties xmlns="http://schemas.openxmlformats.org/officeDocument/2006/custom-properties" xmlns:vt="http://schemas.openxmlformats.org/officeDocument/2006/docPropsVTypes"/>
</file>