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sz w:val="34"/>
          <w:szCs w:val="34"/>
        </w:rPr>
        <w:t xml:space="preserve">Nutrition &amp; Mental Health: Rethinking a Modifiable Risk Factor</w:t>
      </w:r>
    </w:p>
    <w:p>
      <w:pPr>
        <w:spacing w:after="240"/>
      </w:pPr>
      <w:r>
        <w:rPr>
          <w:i/>
          <w:iCs/>
          <w:color w:val="555555"/>
          <w:sz w:val="24"/>
          <w:szCs w:val="24"/>
        </w:rPr>
        <w:t xml:space="preserve">Workshop Module — Lunch and Learn / CE Speaker Series</w:t>
      </w:r>
    </w:p>
    <w:p>
      <w:pPr>
        <w:spacing w:after="100"/>
      </w:pPr>
      <w:r>
        <w:rPr>
          <w:b/>
          <w:bCs/>
        </w:rPr>
        <w:t xml:space="preserve">Source talk:  </w:t>
      </w:r>
      <w:r>
        <w:t xml:space="preserve">"The surprisingly dramatic role of nutrition in mental health" — Dr. Julia Rucklidge, TEDxChristchurch</w:t>
      </w:r>
    </w:p>
    <w:p>
      <w:pPr>
        <w:spacing w:after="100"/>
      </w:pPr>
      <w:r>
        <w:rPr>
          <w:b/>
          <w:bCs/>
        </w:rPr>
        <w:t xml:space="preserve">Duration:  </w:t>
      </w:r>
      <w:r>
        <w:t xml:space="preserve">90 minutes</w:t>
      </w:r>
    </w:p>
    <w:p>
      <w:pPr>
        <w:spacing w:after="100"/>
      </w:pPr>
      <w:r>
        <w:rPr>
          <w:b/>
          <w:bCs/>
        </w:rPr>
        <w:t xml:space="preserve">Format:  </w:t>
      </w:r>
      <w:r>
        <w:t xml:space="preserve">In-person or virtual, small-group breakout capable</w:t>
      </w:r>
    </w:p>
    <w:p>
      <w:pPr>
        <w:spacing w:after="100"/>
      </w:pPr>
      <w:r>
        <w:rPr>
          <w:b/>
          <w:bCs/>
        </w:rPr>
        <w:t xml:space="preserve">Audience:  </w:t>
      </w:r>
      <w:r>
        <w:t xml:space="preserve">Non-clinical and clinical behavioral health workforce, internship program participants, and community stakeholders</w:t>
      </w:r>
    </w:p>
    <w:p>
      <w:pPr>
        <w:spacing w:after="100"/>
      </w:pPr>
      <w:r>
        <w:rPr>
          <w:b/>
          <w:bCs/>
        </w:rPr>
        <w:t xml:space="preserve">CE eligibility:  </w:t>
      </w:r>
      <w:r>
        <w:t xml:space="preserve">Suitable for submission as a non-clinical CE/professional development session; not intended to satisfy clinical nutrition or medical CE requirements</w:t>
      </w:r>
    </w:p>
    <w:p>
      <w:pPr>
        <w:pBdr>
          <w:bottom w:val="single" w:color="AAAAAA" w:sz="6" w:space="1"/>
        </w:pBdr>
        <w:spacing w:after="200"/>
      </w:pPr>
    </w:p>
    <w:p>
      <w:pPr>
        <w:pStyle w:val="Heading1"/>
        <w:spacing w:after="150" w:before="300"/>
      </w:pPr>
      <w:r>
        <w:t xml:space="preserve">1. Overview</w:t>
      </w:r>
    </w:p>
    <w:p>
      <w:pPr>
        <w:spacing w:after="120"/>
      </w:pPr>
      <w:r>
        <w:rPr>
          <w:b w:val="false"/>
          <w:bCs w:val="false"/>
          <w:i w:val="false"/>
          <w:iCs w:val="false"/>
        </w:rPr>
        <w:t xml:space="preserve">This module uses Dr. Julia Rucklidge's TEDxChristchurch talk as a springboard for a workforce conversation about nutrition as a modifiable, often-overlooked factor in mental health and recovery. The talk argues — using randomized controlled trial data — that micronutrient supplementation and dietary quality can meaningfully affect outcomes in ADHD, depression, anxiety, PTSD, and psychosis risk, and that current medication-first treatment models deserve a second look in light of long-term outcome data.</w:t>
      </w:r>
    </w:p>
    <w:p>
      <w:pPr>
        <w:spacing w:after="120"/>
      </w:pPr>
      <w:r>
        <w:rPr>
          <w:b w:val="false"/>
          <w:bCs w:val="false"/>
          <w:i w:val="false"/>
          <w:iCs w:val="false"/>
        </w:rPr>
        <w:t xml:space="preserve">The goal of this session is not to train participants to give nutrition advice or to challenge prescribers. It is to build awareness of nutrition as a legitimate, evidence-informed piece of whole-person care, and to help participants understand where noticing and naming nutrition concerns fits within their own scope of practice.</w:t>
      </w:r>
    </w:p>
    <w:p>
      <w:pPr>
        <w:pStyle w:val="Heading1"/>
        <w:spacing w:after="150" w:before="300"/>
      </w:pPr>
      <w:r>
        <w:t xml:space="preserve">2. Case Study: Maria's Story</w:t>
      </w:r>
    </w:p>
    <w:p>
      <w:pPr>
        <w:spacing w:after="120"/>
      </w:pPr>
      <w:r>
        <w:rPr>
          <w:b w:val="false"/>
          <w:bCs w:val="false"/>
          <w:i w:val="false"/>
          <w:iCs w:val="false"/>
        </w:rPr>
        <w:t xml:space="preserve">The following composite case study is drawn from common patterns seen across behavioral health practice. It is not a real individual's record; it is written to give participants a concrete, human entry point into the concepts covered in this module.</w:t>
      </w:r>
    </w:p>
    <w:p>
      <w:pPr>
        <w:spacing w:after="160"/>
      </w:pPr>
      <w:r>
        <w:t xml:space="preserve">Maria is 34 years old and has been engaged with community mental health services for six years, since a major depressive episode following the birth of her second child. Her diagnosis has since expanded to include generalized anxiety disorder, and for the past three years she has been stable on an SSRI, attending monthly medication management appointments and, on and off, individual therapy. On paper, her treatment plan is unremarkable and by most measures successful — she has not been hospitalized, she has not lost custody of her children, and she reports her medication is "doing its job."</w:t>
      </w:r>
    </w:p>
    <w:p>
      <w:pPr>
        <w:spacing w:after="160"/>
      </w:pPr>
      <w:r>
        <w:t xml:space="preserve">What does not show up in her chart is that Maria works a rotating shift schedule at a distribution center, has unreliable transportation, and lives in a part of town where the nearest full grocery store is a 40-minute round trip by bus. Her household relies heavily on convenience-store food and fast food — not from a lack of knowledge about nutrition, but from a lack of time, money, and access. Her case manager, Denise, has known all of this for over a year. It has never come up in a treatment plan review, because it did not fit neatly into any of the boxes Denise's documentation software asks her to check.</w:t>
      </w:r>
    </w:p>
    <w:p>
      <w:pPr>
        <w:spacing w:after="160"/>
      </w:pPr>
      <w:r>
        <w:t xml:space="preserve">During a routine home visit, Maria mentions almost in passing that she has been having "brain fog," worsening irritability with her kids, and trouble sleeping despite feeling constantly exhausted — symptoms she assumes are just her anxiety "acting up again." Denise, who recently attended a Lunch and Learn session on nutrition and mental health, recognizes the pattern differently. She does not diagnose, and she does not suggest Maria stop or adjust her medication. Instead, she asks a few open, curious questions about Maria's typical meals and sleep schedule, validates that what Maria is describing sounds genuinely hard, and lets her know that some of what she's experiencing may be connected to more than just her anxiety diagnosis alone.</w:t>
      </w:r>
    </w:p>
    <w:p>
      <w:pPr>
        <w:spacing w:after="160"/>
      </w:pPr>
      <w:r>
        <w:t xml:space="preserve">Denise brings this to the next care team meeting, framed carefully: not as a claim that nutrition is "the answer," but as an access barrier worth naming, the same way she would name a transportation or housing barrier. The team discusses a referral to a community dietitian who works on a sliding scale, and a connection to a food access program that delivers to Maria's neighborhood. Maria's prescriber is looped in, not to second-guess the medication plan, but so that any future changes in her reported symptoms can be considered in light of this new information rather than treated as a sign her current treatment is failing.</w:t>
      </w:r>
    </w:p>
    <w:p>
      <w:pPr>
        <w:spacing w:after="160"/>
      </w:pPr>
      <w:r>
        <w:t xml:space="preserve">Three months later, Maria reports sleeping better and feeling "less foggy," though she is careful to say she does not think food "fixed" her anxiety — it is one piece among several, alongside a schedule change at work and continued therapy. Nothing about her diagnosis changed. What changed was that one more piece of her whole picture got noticed, named, and acted on within scope — because someone on her team had the vocabulary and the awareness to ask.</w:t>
      </w:r>
    </w:p>
    <w:p>
      <w:pPr>
        <w:spacing w:after="120"/>
      </w:pPr>
      <w:r>
        <w:rPr>
          <w:b w:val="false"/>
          <w:bCs w:val="false"/>
          <w:i w:val="false"/>
          <w:iCs w:val="false"/>
        </w:rPr>
        <w:t xml:space="preserve">Use this story to ground the discussion questions and case scenario activity that follow — Maria's situation is designed to echo both.</w:t>
      </w:r>
    </w:p>
    <w:p>
      <w:pPr>
        <w:pStyle w:val="Heading1"/>
        <w:spacing w:after="150" w:before="300"/>
      </w:pPr>
      <w:r>
        <w:t xml:space="preserve">3. Learning Objectives</w:t>
      </w:r>
    </w:p>
    <w:p>
      <w:pPr>
        <w:spacing w:after="120"/>
      </w:pPr>
      <w:r>
        <w:rPr>
          <w:b w:val="false"/>
          <w:bCs w:val="false"/>
          <w:i w:val="false"/>
          <w:iCs w:val="false"/>
        </w:rPr>
        <w:t xml:space="preserve">By the end of this session, participants will be able to:</w:t>
      </w:r>
    </w:p>
    <w:p>
      <w:pPr>
        <w:pStyle w:val="ListParagraph"/>
        <w:numPr>
          <w:ilvl w:val="0"/>
          <w:numId w:val="2"/>
        </w:numPr>
        <w:spacing w:after="60"/>
      </w:pPr>
      <w:r>
        <w:t xml:space="preserve">Summarize the core claim of the talk: that nutrition is a modifiable risk factor for mental illness, supported by randomized controlled trial evidence.</w:t>
      </w:r>
    </w:p>
    <w:p>
      <w:pPr>
        <w:pStyle w:val="ListParagraph"/>
        <w:numPr>
          <w:ilvl w:val="0"/>
          <w:numId w:val="2"/>
        </w:numPr>
        <w:spacing w:after="60"/>
      </w:pPr>
      <w:r>
        <w:t xml:space="preserve">Identify at least three conditions (ADHD, PTSD, psychosis risk) where the speaker cites RCT evidence for nutrition-based intervention.</w:t>
      </w:r>
    </w:p>
    <w:p>
      <w:pPr>
        <w:pStyle w:val="ListParagraph"/>
        <w:numPr>
          <w:ilvl w:val="0"/>
          <w:numId w:val="2"/>
        </w:numPr>
        <w:spacing w:after="60"/>
      </w:pPr>
      <w:r>
        <w:t xml:space="preserve">Distinguish between dietary quality interventions and high-dose micronutrient protocols, and explain why the two are not interchangeable.</w:t>
      </w:r>
    </w:p>
    <w:p>
      <w:pPr>
        <w:pStyle w:val="ListParagraph"/>
        <w:numPr>
          <w:ilvl w:val="0"/>
          <w:numId w:val="2"/>
        </w:numPr>
        <w:spacing w:after="60"/>
      </w:pPr>
      <w:r>
        <w:t xml:space="preserve">Describe how a non-clinical or clinical team member can appropriately raise nutrition as a topic with a person served, while staying within their scope of practice.</w:t>
      </w:r>
    </w:p>
    <w:p>
      <w:pPr>
        <w:pStyle w:val="ListParagraph"/>
        <w:numPr>
          <w:ilvl w:val="0"/>
          <w:numId w:val="2"/>
        </w:numPr>
        <w:spacing w:after="60"/>
      </w:pPr>
      <w:r>
        <w:t xml:space="preserve">Reflect critically on the talk's limitations and the appropriate cautions around presenting it as medical guidance.</w:t>
      </w:r>
    </w:p>
    <w:p>
      <w:pPr>
        <w:pStyle w:val="Heading1"/>
        <w:spacing w:after="150" w:before="300"/>
      </w:pPr>
      <w:r>
        <w:t xml:space="preserve">4. Facilitator Preparation</w:t>
      </w:r>
    </w:p>
    <w:p>
      <w:pPr>
        <w:pStyle w:val="ListParagraph"/>
        <w:numPr>
          <w:ilvl w:val="0"/>
          <w:numId w:val="2"/>
        </w:numPr>
        <w:spacing w:after="60"/>
      </w:pPr>
      <w:r>
        <w:t xml:space="preserve">Preview the full talk (11 minutes) — link in Section 9.</w:t>
      </w:r>
    </w:p>
    <w:p>
      <w:pPr>
        <w:pStyle w:val="ListParagraph"/>
        <w:numPr>
          <w:ilvl w:val="0"/>
          <w:numId w:val="2"/>
        </w:numPr>
        <w:spacing w:after="60"/>
      </w:pPr>
      <w:r>
        <w:t xml:space="preserve">Read TED's own posted caution: the talk should not be treated as medical advice, and the intersection of nutrition and mental health is an active, evolving area of research.</w:t>
      </w:r>
    </w:p>
    <w:p>
      <w:pPr>
        <w:pStyle w:val="ListParagraph"/>
        <w:numPr>
          <w:ilvl w:val="0"/>
          <w:numId w:val="2"/>
        </w:numPr>
        <w:spacing w:after="60"/>
      </w:pPr>
      <w:r>
        <w:t xml:space="preserve">Print or project the agenda table (Section 5) and the case scenario (Section 7).</w:t>
      </w:r>
    </w:p>
    <w:p>
      <w:pPr>
        <w:pStyle w:val="ListParagraph"/>
        <w:numPr>
          <w:ilvl w:val="0"/>
          <w:numId w:val="2"/>
        </w:numPr>
        <w:spacing w:after="60"/>
      </w:pPr>
      <w:r>
        <w:t xml:space="preserve">Prepare flip chart or shared doc for group report-outs.</w:t>
      </w:r>
    </w:p>
    <w:p>
      <w:pPr>
        <w:pStyle w:val="ListParagraph"/>
        <w:numPr>
          <w:ilvl w:val="0"/>
          <w:numId w:val="2"/>
        </w:numPr>
        <w:spacing w:after="60"/>
      </w:pPr>
      <w:r>
        <w:t xml:space="preserve">If clinical staff are in the room, consider inviting one to help frame the medication-related content responsibly — the talk is critical of long-term reliance on psychiatric medication, and this can land as more provocative than intended if not framed carefully.</w:t>
      </w:r>
    </w:p>
    <w:p>
      <w:pPr>
        <w:pStyle w:val="Heading1"/>
        <w:spacing w:after="150" w:before="300"/>
      </w:pPr>
      <w:r>
        <w:t xml:space="preserve">5. Agenda (90 minutes)</w:t>
      </w:r>
    </w:p>
    <w:tbl>
      <w:tblPr>
        <w:tblW w:type="dxa" w:w="9960"/>
        <w:tblBorders>
          <w:top w:val="single" w:color="auto" w:sz="4"/>
          <w:left w:val="single" w:color="auto" w:sz="4"/>
          <w:bottom w:val="single" w:color="auto" w:sz="4"/>
          <w:right w:val="single" w:color="auto" w:sz="4"/>
          <w:insideH w:val="single" w:color="auto" w:sz="4"/>
          <w:insideV w:val="single" w:color="auto" w:sz="4"/>
        </w:tblBorders>
      </w:tblPr>
      <w:tblGrid>
        <w:gridCol w:w="1500"/>
        <w:gridCol w:w="2600"/>
        <w:gridCol w:w="5860"/>
      </w:tblGrid>
      <w:tr>
        <w:trPr>
          <w:tblHeader/>
        </w:trPr>
        <w:tc>
          <w:tcPr>
            <w:tcW w:type="dxa" w:w="1500"/>
            <w:shd w:fill="D9D9D9" w:val="clear"/>
          </w:tcPr>
          <w:p>
            <w:r>
              <w:rPr>
                <w:b/>
                <w:bCs/>
              </w:rPr>
              <w:t xml:space="preserve">Time</w:t>
            </w:r>
          </w:p>
        </w:tc>
        <w:tc>
          <w:tcPr>
            <w:tcW w:type="dxa" w:w="2600"/>
            <w:shd w:fill="D9D9D9" w:val="clear"/>
          </w:tcPr>
          <w:p>
            <w:r>
              <w:rPr>
                <w:b/>
                <w:bCs/>
              </w:rPr>
              <w:t xml:space="preserve">Segment</w:t>
            </w:r>
          </w:p>
        </w:tc>
        <w:tc>
          <w:tcPr>
            <w:tcW w:type="dxa" w:w="5860"/>
            <w:shd w:fill="D9D9D9" w:val="clear"/>
          </w:tcPr>
          <w:p>
            <w:r>
              <w:rPr>
                <w:b/>
                <w:bCs/>
              </w:rPr>
              <w:t xml:space="preserve">Facilitator Notes</w:t>
            </w:r>
          </w:p>
        </w:tc>
      </w:tr>
      <w:tr>
        <w:tc>
          <w:tcPr>
            <w:tcW w:type="dxa" w:w="1500"/>
          </w:tcPr>
          <w:p>
            <w:r>
              <w:t xml:space="preserve">0:00–0:05</w:t>
            </w:r>
          </w:p>
        </w:tc>
        <w:tc>
          <w:tcPr>
            <w:tcW w:type="dxa" w:w="2600"/>
          </w:tcPr>
          <w:p>
            <w:r>
              <w:t xml:space="preserve">Welcome &amp; Framing</w:t>
            </w:r>
          </w:p>
        </w:tc>
        <w:tc>
          <w:tcPr>
            <w:tcW w:type="dxa" w:w="5860"/>
          </w:tcPr>
          <w:p>
            <w:r>
              <w:t xml:space="preserve">Open with the Semmelweis story (handwashing) as the hook — a scientifically sound idea that took decades to be accepted. Ask: "What ideas in behavioral health today might be facing the same resistance?"</w:t>
            </w:r>
          </w:p>
        </w:tc>
      </w:tr>
      <w:tr>
        <w:tc>
          <w:tcPr>
            <w:tcW w:type="dxa" w:w="1500"/>
          </w:tcPr>
          <w:p>
            <w:r>
              <w:t xml:space="preserve">0:05–0:15</w:t>
            </w:r>
          </w:p>
        </w:tc>
        <w:tc>
          <w:tcPr>
            <w:tcW w:type="dxa" w:w="2600"/>
          </w:tcPr>
          <w:p>
            <w:r>
              <w:t xml:space="preserve">The Problem: Rising Rates, Rising Prescriptions</w:t>
            </w:r>
          </w:p>
        </w:tc>
        <w:tc>
          <w:tcPr>
            <w:tcW w:type="dxa" w:w="5860"/>
          </w:tcPr>
          <w:p>
            <w:r>
              <w:t xml:space="preserve">Present the trend data — psychiatric illness climbing alongside medication rates. Pose the core tension: if treatment is working, why are outcomes not improving?</w:t>
            </w:r>
          </w:p>
        </w:tc>
      </w:tr>
      <w:tr>
        <w:tc>
          <w:tcPr>
            <w:tcW w:type="dxa" w:w="1500"/>
          </w:tcPr>
          <w:p>
            <w:r>
              <w:t xml:space="preserve">0:15–0:35</w:t>
            </w:r>
          </w:p>
        </w:tc>
        <w:tc>
          <w:tcPr>
            <w:tcW w:type="dxa" w:w="2600"/>
          </w:tcPr>
          <w:p>
            <w:r>
              <w:t xml:space="preserve">The Evidence: Micronutrients &amp; Mental Health</w:t>
            </w:r>
          </w:p>
        </w:tc>
        <w:tc>
          <w:tcPr>
            <w:tcW w:type="dxa" w:w="5860"/>
          </w:tcPr>
          <w:p>
            <w:r>
              <w:t xml:space="preserve">Walk through the ADHD trial, the post-earthquake PTSD studies, and the psychosis-prevention fish oil trial. Emphasize dose and breadth (up to 15 pills/day, 36 nutrients) — this is not a multivitamin claim.</w:t>
            </w:r>
          </w:p>
        </w:tc>
      </w:tr>
      <w:tr>
        <w:tc>
          <w:tcPr>
            <w:tcW w:type="dxa" w:w="1500"/>
          </w:tcPr>
          <w:p>
            <w:r>
              <w:t xml:space="preserve">0:35–0:50</w:t>
            </w:r>
          </w:p>
        </w:tc>
        <w:tc>
          <w:tcPr>
            <w:tcW w:type="dxa" w:w="2600"/>
          </w:tcPr>
          <w:p>
            <w:r>
              <w:t xml:space="preserve">Small Group Discussion</w:t>
            </w:r>
          </w:p>
        </w:tc>
        <w:tc>
          <w:tcPr>
            <w:tcW w:type="dxa" w:w="5860"/>
          </w:tcPr>
          <w:p>
            <w:r>
              <w:t xml:space="preserve">Break into groups of 3–4. Use the discussion questions (Section 6). Each group reports one insight or concern back to the full room.</w:t>
            </w:r>
          </w:p>
        </w:tc>
      </w:tr>
      <w:tr>
        <w:tc>
          <w:tcPr>
            <w:tcW w:type="dxa" w:w="1500"/>
          </w:tcPr>
          <w:p>
            <w:r>
              <w:t xml:space="preserve">0:50–1:05</w:t>
            </w:r>
          </w:p>
        </w:tc>
        <w:tc>
          <w:tcPr>
            <w:tcW w:type="dxa" w:w="2600"/>
          </w:tcPr>
          <w:p>
            <w:r>
              <w:t xml:space="preserve">Applying It: Where This Meets Our Work</w:t>
            </w:r>
          </w:p>
        </w:tc>
        <w:tc>
          <w:tcPr>
            <w:tcW w:type="dxa" w:w="5860"/>
          </w:tcPr>
          <w:p>
            <w:r>
              <w:t xml:space="preserve">Facilitated large-group discussion connecting the talk to whole-person, person-centered care and the roles our workforce plays in noticing and naming nutrition as a factor — without diagnosing or prescribing.</w:t>
            </w:r>
          </w:p>
        </w:tc>
      </w:tr>
      <w:tr>
        <w:tc>
          <w:tcPr>
            <w:tcW w:type="dxa" w:w="1500"/>
          </w:tcPr>
          <w:p>
            <w:r>
              <w:t xml:space="preserve">1:05–1:20</w:t>
            </w:r>
          </w:p>
        </w:tc>
        <w:tc>
          <w:tcPr>
            <w:tcW w:type="dxa" w:w="2600"/>
          </w:tcPr>
          <w:p>
            <w:r>
              <w:t xml:space="preserve">Case Scenario Activity</w:t>
            </w:r>
          </w:p>
        </w:tc>
        <w:tc>
          <w:tcPr>
            <w:tcW w:type="dxa" w:w="5860"/>
          </w:tcPr>
          <w:p>
            <w:r>
              <w:t xml:space="preserve">Small groups work through the case scenario (Section 7) and identify appropriate, in-scope responses.</w:t>
            </w:r>
          </w:p>
        </w:tc>
      </w:tr>
      <w:tr>
        <w:tc>
          <w:tcPr>
            <w:tcW w:type="dxa" w:w="1500"/>
          </w:tcPr>
          <w:p>
            <w:r>
              <w:t xml:space="preserve">1:20–1:30</w:t>
            </w:r>
          </w:p>
        </w:tc>
        <w:tc>
          <w:tcPr>
            <w:tcW w:type="dxa" w:w="2600"/>
          </w:tcPr>
          <w:p>
            <w:r>
              <w:t xml:space="preserve">Debrief, Knowledge Check &amp; Close</w:t>
            </w:r>
          </w:p>
        </w:tc>
        <w:tc>
          <w:tcPr>
            <w:tcW w:type="dxa" w:w="5860"/>
          </w:tcPr>
          <w:p>
            <w:r>
              <w:t xml:space="preserve">Administer the 5-question knowledge check (Section 8). Close with the "idea worth spreading" reflection prompt and next-step resources.</w:t>
            </w:r>
          </w:p>
        </w:tc>
      </w:tr>
    </w:tbl>
    <w:p>
      <w:pPr>
        <w:spacing w:after="200"/>
      </w:pPr>
    </w:p>
    <w:p>
      <w:pPr>
        <w:pStyle w:val="Heading1"/>
        <w:spacing w:after="150" w:before="300"/>
      </w:pPr>
      <w:r>
        <w:t xml:space="preserve">6. Small Group Discussion Questions</w:t>
      </w:r>
    </w:p>
    <w:p>
      <w:pPr>
        <w:spacing w:after="120"/>
      </w:pPr>
      <w:r>
        <w:rPr>
          <w:b w:val="false"/>
          <w:bCs w:val="false"/>
          <w:i w:val="false"/>
          <w:iCs w:val="false"/>
        </w:rPr>
        <w:t xml:space="preserve">Choose 3–4 of the following depending on time and group composition:</w:t>
      </w:r>
    </w:p>
    <w:p>
      <w:pPr>
        <w:pStyle w:val="ListParagraph"/>
        <w:numPr>
          <w:ilvl w:val="0"/>
          <w:numId w:val="2"/>
        </w:numPr>
        <w:spacing w:after="60"/>
      </w:pPr>
      <w:r>
        <w:t xml:space="preserve">The speaker opens with the story of Dr. Semmelweis, whose handwashing recommendation was rejected by his peers for years despite strong evidence. What ideas in our own field — behavioral health, or specifically our organization — face similar resistance despite supporting evidence?</w:t>
      </w:r>
    </w:p>
    <w:p>
      <w:pPr>
        <w:pStyle w:val="ListParagraph"/>
        <w:numPr>
          <w:ilvl w:val="0"/>
          <w:numId w:val="2"/>
        </w:numPr>
        <w:spacing w:after="60"/>
      </w:pPr>
      <w:r>
        <w:t xml:space="preserve">The talk states that 60–80% of study participants responded to micronutrient intervention, a very high response rate compared to many conventional treatments. What questions would you want answered before treating a statistic like this as settled?</w:t>
      </w:r>
    </w:p>
    <w:p>
      <w:pPr>
        <w:pStyle w:val="ListParagraph"/>
        <w:numPr>
          <w:ilvl w:val="0"/>
          <w:numId w:val="2"/>
        </w:numPr>
        <w:spacing w:after="60"/>
      </w:pPr>
      <w:r>
        <w:t xml:space="preserve">The speaker distinguishes between an over-the-counter multivitamin and the 15-pill, 36-nutrient protocol used in her studies. Why does this distinction matter when we talk to people we serve about nutrition?</w:t>
      </w:r>
    </w:p>
    <w:p>
      <w:pPr>
        <w:pStyle w:val="ListParagraph"/>
        <w:numPr>
          <w:ilvl w:val="0"/>
          <w:numId w:val="2"/>
        </w:numPr>
        <w:spacing w:after="60"/>
      </w:pPr>
      <w:r>
        <w:t xml:space="preserve">She argues that if nutrients work, they should be covered by health systems the way medications are. What barriers — cost, evidence standards, regulatory status — make that difficult in practice?</w:t>
      </w:r>
    </w:p>
    <w:p>
      <w:pPr>
        <w:pStyle w:val="ListParagraph"/>
        <w:numPr>
          <w:ilvl w:val="0"/>
          <w:numId w:val="2"/>
        </w:numPr>
        <w:spacing w:after="60"/>
      </w:pPr>
      <w:r>
        <w:t xml:space="preserve">What is the difference between telling someone "eat better" and the kind of intervention described in this talk? Why does that distinction matter for how we talk about nutrition with the people we serve?</w:t>
      </w:r>
    </w:p>
    <w:p>
      <w:pPr>
        <w:pStyle w:val="ListParagraph"/>
        <w:numPr>
          <w:ilvl w:val="0"/>
          <w:numId w:val="2"/>
        </w:numPr>
        <w:spacing w:after="60"/>
      </w:pPr>
      <w:r>
        <w:t xml:space="preserve">The speaker is a researcher, not a treating clinician, and TED explicitly cautions viewers not to treat this as medical advice. How should that caution shape how we use this talk in our own practice?</w:t>
      </w:r>
    </w:p>
    <w:p>
      <w:pPr>
        <w:pStyle w:val="Heading1"/>
        <w:spacing w:after="150" w:before="300"/>
      </w:pPr>
      <w:r>
        <w:t xml:space="preserve">7. Case Scenario Activity</w:t>
      </w:r>
    </w:p>
    <w:p>
      <w:pPr>
        <w:spacing w:after="120"/>
      </w:pPr>
      <w:r>
        <w:rPr>
          <w:b w:val="false"/>
          <w:bCs w:val="false"/>
          <w:i w:val="false"/>
          <w:iCs w:val="false"/>
        </w:rPr>
        <w:t xml:space="preserve">This activity uses a new, related scenario — a colleague facing an earlier version of Maria's situation, before a plan was in place. Read it aloud or have groups read it independently, then answer the questions that follow.</w:t>
      </w:r>
    </w:p>
    <w:p>
      <w:pPr>
        <w:spacing w:after="160"/>
      </w:pPr>
      <w:r>
        <w:rPr>
          <w:b/>
          <w:bCs/>
        </w:rPr>
        <w:t xml:space="preserve">Scenario: </w:t>
      </w:r>
      <w:r>
        <w:t xml:space="preserve">A person you support mentions, in passing, that they've stopped eating regular meals since starting a new job, are relying mostly on fast food and energy drinks, and have noticed their mood and sleep getting worse over the past month. They are already engaged with a prescriber for an existing diagnosis and ask you, "Do you think food actually has anything to do with how I've been feeling?" — much like Maria did before Denise picked up on the pattern.</w:t>
      </w:r>
    </w:p>
    <w:p>
      <w:pPr>
        <w:pStyle w:val="ListParagraph"/>
        <w:numPr>
          <w:ilvl w:val="0"/>
          <w:numId w:val="2"/>
        </w:numPr>
        <w:spacing w:after="60"/>
      </w:pPr>
      <w:r>
        <w:t xml:space="preserve">What is within your scope to say in response to their question?</w:t>
      </w:r>
    </w:p>
    <w:p>
      <w:pPr>
        <w:pStyle w:val="ListParagraph"/>
        <w:numPr>
          <w:ilvl w:val="0"/>
          <w:numId w:val="2"/>
        </w:numPr>
        <w:spacing w:after="60"/>
      </w:pPr>
      <w:r>
        <w:t xml:space="preserve">What is outside your scope — where should you refer, and to whom?</w:t>
      </w:r>
    </w:p>
    <w:p>
      <w:pPr>
        <w:pStyle w:val="ListParagraph"/>
        <w:numPr>
          <w:ilvl w:val="0"/>
          <w:numId w:val="2"/>
        </w:numPr>
        <w:spacing w:after="60"/>
      </w:pPr>
      <w:r>
        <w:t xml:space="preserve">How would you validate their observation about food and mood without making a clinical claim or contradicting their existing treatment plan?</w:t>
      </w:r>
    </w:p>
    <w:p>
      <w:pPr>
        <w:pStyle w:val="ListParagraph"/>
        <w:numPr>
          <w:ilvl w:val="0"/>
          <w:numId w:val="2"/>
        </w:numPr>
        <w:spacing w:after="60"/>
      </w:pPr>
      <w:r>
        <w:t xml:space="preserve">What would you document, and how would you frame it for the care team?</w:t>
      </w:r>
    </w:p>
    <w:p>
      <w:pPr>
        <w:pStyle w:val="Heading1"/>
        <w:spacing w:after="150" w:before="300"/>
      </w:pPr>
      <w:r>
        <w:t xml:space="preserve">8. Knowledge Check (5 questions)</w:t>
      </w:r>
    </w:p>
    <w:p>
      <w:pPr>
        <w:spacing w:after="120"/>
      </w:pPr>
      <w:r>
        <w:rPr>
          <w:b w:val="false"/>
          <w:bCs w:val="false"/>
          <w:i w:val="false"/>
          <w:iCs w:val="false"/>
        </w:rPr>
        <w:t xml:space="preserve">Can be administered verbally, on paper, or via a polling tool.</w:t>
      </w:r>
    </w:p>
    <w:p>
      <w:pPr>
        <w:pStyle w:val="ListParagraph"/>
        <w:numPr>
          <w:ilvl w:val="0"/>
          <w:numId w:val="2"/>
        </w:numPr>
        <w:spacing w:after="60"/>
      </w:pPr>
      <w:r>
        <w:t xml:space="preserve">1. According to the talk, what happened to Dr. Semmelweis after he recommended handwashing to reduce childbed fever mortality?</w:t>
      </w:r>
    </w:p>
    <w:p>
      <w:pPr>
        <w:pStyle w:val="ListParagraph"/>
        <w:numPr>
          <w:ilvl w:val="0"/>
          <w:numId w:val="2"/>
        </w:numPr>
        <w:spacing w:after="60"/>
      </w:pPr>
      <w:r>
        <w:t xml:space="preserve">2. Name one condition for which the speaker cites randomized controlled trial evidence supporting nutrient-based intervention.</w:t>
      </w:r>
    </w:p>
    <w:p>
      <w:pPr>
        <w:pStyle w:val="ListParagraph"/>
        <w:numPr>
          <w:ilvl w:val="0"/>
          <w:numId w:val="2"/>
        </w:numPr>
        <w:spacing w:after="60"/>
      </w:pPr>
      <w:r>
        <w:t xml:space="preserve">3. True or False: The positive results in the speaker's studies came from typical over-the-counter multivitamin doses.</w:t>
      </w:r>
    </w:p>
    <w:p>
      <w:pPr>
        <w:pStyle w:val="ListParagraph"/>
        <w:numPr>
          <w:ilvl w:val="0"/>
          <w:numId w:val="2"/>
        </w:numPr>
        <w:spacing w:after="60"/>
      </w:pPr>
      <w:r>
        <w:t xml:space="preserve">4. What percentage reduction in conversion to psychosis was found in the fish oil study of at-risk adolescents?</w:t>
      </w:r>
    </w:p>
    <w:p>
      <w:pPr>
        <w:pStyle w:val="ListParagraph"/>
        <w:numPr>
          <w:ilvl w:val="0"/>
          <w:numId w:val="2"/>
        </w:numPr>
        <w:spacing w:after="60"/>
      </w:pPr>
      <w:r>
        <w:t xml:space="preserve">5. Name one caution or limitation the speaker (or TED) raises about applying this research directly to individual treatment decisions.</w:t>
      </w:r>
    </w:p>
    <w:p>
      <w:pPr>
        <w:pStyle w:val="Heading1"/>
        <w:spacing w:after="150" w:before="300"/>
      </w:pPr>
      <w:r>
        <w:t xml:space="preserve">9. Resources &amp; Citation</w:t>
      </w:r>
    </w:p>
    <w:p>
      <w:pPr>
        <w:spacing w:after="100"/>
      </w:pPr>
      <w:r>
        <w:rPr>
          <w:b/>
          <w:bCs/>
        </w:rPr>
        <w:t xml:space="preserve">Talk:  </w:t>
      </w:r>
      <w:r>
        <w:t xml:space="preserve">Rucklidge, J. "The surprisingly dramatic role of nutrition in mental health." TEDxChristchurch. Available at https://youtu.be/3dqXHHCc5lA</w:t>
      </w:r>
    </w:p>
    <w:p>
      <w:pPr>
        <w:spacing w:after="120"/>
      </w:pPr>
      <w:r>
        <w:rPr>
          <w:b w:val="false"/>
          <w:bCs w:val="false"/>
          <w:i w:val="false"/>
          <w:iCs w:val="false"/>
        </w:rPr>
        <w:t xml:space="preserve">TED's posted note on this talk cautions viewers to consult a mental health professional and not to treat the talk as medical advice, noting that the intersection of nutrition and mental health remains an active area of research. Facilitators should repeat this caution explicitly during the session.</w:t>
      </w:r>
    </w:p>
    <w:p>
      <w:pPr>
        <w:spacing w:after="120"/>
      </w:pPr>
      <w:r>
        <w:rPr>
          <w:b w:val="false"/>
          <w:bCs w:val="false"/>
          <w:i w:val="false"/>
          <w:iCs w:val="false"/>
        </w:rPr>
        <w:t xml:space="preserve">Suggested follow-up reading: Kaplan, B. &amp; Rucklidge, J., "The Better Brain" (for participants who want to go deeper into the underlying research).</w:t>
      </w:r>
    </w:p>
    <w:p>
      <w:pPr>
        <w:pStyle w:val="Heading1"/>
        <w:spacing w:after="150" w:before="300"/>
      </w:pPr>
      <w:r>
        <w:t xml:space="preserve">10. Facilitator Notes on Framing</w:t>
      </w:r>
    </w:p>
    <w:p>
      <w:pPr>
        <w:spacing w:after="120"/>
      </w:pPr>
      <w:r>
        <w:rPr>
          <w:b w:val="false"/>
          <w:bCs w:val="false"/>
          <w:i w:val="false"/>
          <w:iCs w:val="false"/>
        </w:rPr>
        <w:t xml:space="preserve">This talk takes a strong position on the limitations of long-term psychiatric medication use. That position is the speaker's own and is presented as an "idea worth spreading," not as consensus clinical guidance. Facilitators should present it as a prompt for critical thinking about whole-person care — not as a statement that medication is ineffective or that nutrition should replace prescribed treatment. Participants should leave the session with more curiosity about nutrition as one factor among many, and a clear sense of what is and is not theirs to say to the people they serve.</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2026-07-09T14:04:12.100Z</dcterms:created>
  <dcterms:modified xsi:type="dcterms:W3CDTF">2026-07-09T14:04:12.100Z</dcterms:modified>
</cp:coreProperties>
</file>

<file path=docProps/custom.xml><?xml version="1.0" encoding="utf-8"?>
<Properties xmlns="http://schemas.openxmlformats.org/officeDocument/2006/custom-properties" xmlns:vt="http://schemas.openxmlformats.org/officeDocument/2006/docPropsVTypes"/>
</file>