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89F61" w14:textId="77777777" w:rsidR="000D566E" w:rsidRPr="00DB517A" w:rsidRDefault="000D566E">
      <w:pPr>
        <w:spacing w:after="600"/>
        <w:rPr>
          <w:rFonts w:asciiTheme="majorBidi" w:hAnsiTheme="majorBidi" w:cstheme="majorBidi"/>
        </w:rPr>
      </w:pPr>
    </w:p>
    <w:p w14:paraId="268DD000" w14:textId="77777777" w:rsidR="0003108E" w:rsidRDefault="0003108E" w:rsidP="0003108E">
      <w:pPr>
        <w:spacing w:after="80"/>
        <w:jc w:val="center"/>
        <w:rPr>
          <w:rFonts w:asciiTheme="majorBidi" w:hAnsiTheme="majorBidi" w:cstheme="majorBidi"/>
          <w:b/>
          <w:bCs/>
          <w:sz w:val="32"/>
          <w:szCs w:val="32"/>
          <w:rtl/>
        </w:rPr>
      </w:pPr>
      <w:r w:rsidRPr="0003108E">
        <w:rPr>
          <w:rFonts w:asciiTheme="majorBidi" w:hAnsiTheme="majorBidi" w:cstheme="majorBidi"/>
          <w:b/>
          <w:bCs/>
          <w:sz w:val="32"/>
          <w:szCs w:val="32"/>
        </w:rPr>
        <w:t>Coronary Artery Disease Risk Stratification in South Asian Populations Using Candidate SNPs and Polygenic Risk Modeling</w:t>
      </w:r>
    </w:p>
    <w:p w14:paraId="7ACE9EA0" w14:textId="77777777" w:rsidR="0003108E" w:rsidRDefault="0003108E" w:rsidP="0003108E">
      <w:pPr>
        <w:spacing w:after="80"/>
        <w:jc w:val="center"/>
        <w:rPr>
          <w:rFonts w:asciiTheme="majorBidi" w:hAnsiTheme="majorBidi" w:cstheme="majorBidi"/>
          <w:b/>
          <w:bCs/>
          <w:sz w:val="32"/>
          <w:szCs w:val="32"/>
          <w:rtl/>
        </w:rPr>
      </w:pPr>
    </w:p>
    <w:p w14:paraId="02ACD231" w14:textId="29714E1E" w:rsidR="000D566E" w:rsidRPr="0003108E" w:rsidRDefault="00000000" w:rsidP="0003108E">
      <w:pPr>
        <w:spacing w:after="80"/>
        <w:jc w:val="center"/>
        <w:rPr>
          <w:rFonts w:asciiTheme="majorBidi" w:hAnsiTheme="majorBidi" w:cstheme="majorBidi"/>
          <w:b/>
          <w:bCs/>
          <w:sz w:val="32"/>
          <w:szCs w:val="32"/>
        </w:rPr>
      </w:pPr>
      <w:r w:rsidRPr="00DB517A">
        <w:rPr>
          <w:rFonts w:asciiTheme="majorBidi" w:hAnsiTheme="majorBidi" w:cstheme="majorBidi"/>
          <w:b/>
          <w:bCs/>
          <w:sz w:val="28"/>
          <w:szCs w:val="28"/>
        </w:rPr>
        <w:t>Akram Jassam Mohammed¹, Mohammed S. Mustak², Rami M. Alkhaleeli³</w:t>
      </w:r>
    </w:p>
    <w:p w14:paraId="569A1A7E" w14:textId="77777777" w:rsidR="00E21100" w:rsidRPr="00DB517A" w:rsidRDefault="00E21100">
      <w:pPr>
        <w:spacing w:after="80"/>
        <w:jc w:val="center"/>
        <w:rPr>
          <w:rFonts w:asciiTheme="majorBidi" w:hAnsiTheme="majorBidi" w:cstheme="majorBidi"/>
          <w:sz w:val="24"/>
          <w:szCs w:val="24"/>
        </w:rPr>
      </w:pPr>
    </w:p>
    <w:p w14:paraId="6146407F" w14:textId="77777777" w:rsidR="00DB517A" w:rsidRPr="0003108E" w:rsidRDefault="00000000" w:rsidP="00E21100">
      <w:pPr>
        <w:spacing w:after="240"/>
        <w:jc w:val="center"/>
        <w:rPr>
          <w:rFonts w:asciiTheme="majorBidi" w:hAnsiTheme="majorBidi" w:cstheme="majorBidi"/>
          <w:sz w:val="24"/>
          <w:szCs w:val="24"/>
        </w:rPr>
      </w:pPr>
      <w:r w:rsidRPr="00DB517A">
        <w:rPr>
          <w:rFonts w:asciiTheme="majorBidi" w:hAnsiTheme="majorBidi" w:cstheme="majorBidi"/>
          <w:sz w:val="24"/>
          <w:szCs w:val="24"/>
        </w:rPr>
        <w:t>¹</w:t>
      </w:r>
      <w:r w:rsidRPr="0003108E">
        <w:rPr>
          <w:rFonts w:asciiTheme="majorBidi" w:hAnsiTheme="majorBidi" w:cstheme="majorBidi"/>
          <w:sz w:val="24"/>
          <w:szCs w:val="24"/>
        </w:rPr>
        <w:t>University of Al-Maarif, Ramadi, Iraq</w:t>
      </w:r>
      <w:r w:rsidR="00DB517A" w:rsidRPr="0003108E">
        <w:rPr>
          <w:rFonts w:asciiTheme="majorBidi" w:hAnsiTheme="majorBidi" w:cstheme="majorBidi"/>
          <w:sz w:val="24"/>
          <w:szCs w:val="24"/>
        </w:rPr>
        <w:t>.</w:t>
      </w:r>
    </w:p>
    <w:p w14:paraId="5D20737E" w14:textId="7B0A12E4" w:rsidR="00DB517A" w:rsidRPr="0003108E" w:rsidRDefault="00DB517A" w:rsidP="00E21100">
      <w:pPr>
        <w:spacing w:after="240"/>
        <w:jc w:val="center"/>
        <w:rPr>
          <w:rFonts w:asciiTheme="majorBidi" w:hAnsiTheme="majorBidi" w:cstheme="majorBidi"/>
          <w:sz w:val="24"/>
          <w:szCs w:val="24"/>
        </w:rPr>
      </w:pPr>
      <w:r w:rsidRPr="0003108E">
        <w:rPr>
          <w:rFonts w:asciiTheme="majorBidi" w:hAnsiTheme="majorBidi" w:cstheme="majorBidi"/>
          <w:sz w:val="24"/>
          <w:szCs w:val="24"/>
          <w:vertAlign w:val="superscript"/>
        </w:rPr>
        <w:t>1</w:t>
      </w:r>
      <w:r w:rsidRPr="0003108E">
        <w:rPr>
          <w:rFonts w:asciiTheme="majorBidi" w:hAnsiTheme="majorBidi" w:cstheme="majorBidi"/>
          <w:sz w:val="24"/>
          <w:szCs w:val="24"/>
        </w:rPr>
        <w:t>Department of Bioscience</w:t>
      </w:r>
      <w:r w:rsidR="0003108E">
        <w:rPr>
          <w:rFonts w:asciiTheme="majorBidi" w:hAnsiTheme="majorBidi" w:cstheme="majorBidi" w:hint="cs"/>
          <w:sz w:val="24"/>
          <w:szCs w:val="24"/>
          <w:rtl/>
        </w:rPr>
        <w:t xml:space="preserve"> </w:t>
      </w:r>
      <w:r w:rsidR="0003108E">
        <w:rPr>
          <w:rFonts w:asciiTheme="majorBidi" w:hAnsiTheme="majorBidi" w:cstheme="majorBidi"/>
          <w:sz w:val="24"/>
          <w:szCs w:val="24"/>
        </w:rPr>
        <w:t>–</w:t>
      </w:r>
      <w:r w:rsidRPr="0003108E">
        <w:rPr>
          <w:rFonts w:asciiTheme="majorBidi" w:hAnsiTheme="majorBidi" w:cstheme="majorBidi"/>
          <w:sz w:val="24"/>
          <w:szCs w:val="24"/>
        </w:rPr>
        <w:t xml:space="preserve"> Biotechnology</w:t>
      </w:r>
      <w:r w:rsidR="0003108E">
        <w:rPr>
          <w:rFonts w:asciiTheme="majorBidi" w:hAnsiTheme="majorBidi" w:cstheme="majorBidi"/>
          <w:sz w:val="24"/>
          <w:szCs w:val="24"/>
        </w:rPr>
        <w:t xml:space="preserve"> program</w:t>
      </w:r>
      <w:r w:rsidRPr="0003108E">
        <w:rPr>
          <w:rFonts w:asciiTheme="majorBidi" w:hAnsiTheme="majorBidi" w:cstheme="majorBidi"/>
          <w:sz w:val="24"/>
          <w:szCs w:val="24"/>
        </w:rPr>
        <w:t>, Mangalore University, India.</w:t>
      </w:r>
    </w:p>
    <w:p w14:paraId="5B63A370" w14:textId="11C6B17F" w:rsidR="00453A7C" w:rsidRPr="0003108E" w:rsidRDefault="00000000" w:rsidP="00453A7C">
      <w:pPr>
        <w:spacing w:after="240"/>
        <w:jc w:val="center"/>
        <w:rPr>
          <w:rFonts w:asciiTheme="majorBidi" w:hAnsiTheme="majorBidi" w:cstheme="majorBidi"/>
          <w:sz w:val="24"/>
          <w:szCs w:val="24"/>
        </w:rPr>
      </w:pPr>
      <w:r w:rsidRPr="0003108E">
        <w:rPr>
          <w:rFonts w:asciiTheme="majorBidi" w:hAnsiTheme="majorBidi" w:cstheme="majorBidi"/>
          <w:sz w:val="24"/>
          <w:szCs w:val="24"/>
        </w:rPr>
        <w:t>²Department of Applied Zoology, Mangalore University, India</w:t>
      </w:r>
      <w:r w:rsidR="00DB517A" w:rsidRPr="0003108E">
        <w:rPr>
          <w:rFonts w:asciiTheme="majorBidi" w:hAnsiTheme="majorBidi" w:cstheme="majorBidi"/>
          <w:sz w:val="24"/>
          <w:szCs w:val="24"/>
        </w:rPr>
        <w:t>.</w:t>
      </w:r>
    </w:p>
    <w:p w14:paraId="3B084E62" w14:textId="0B5B4BA4" w:rsidR="000D566E" w:rsidRDefault="00000000" w:rsidP="00E21100">
      <w:pPr>
        <w:spacing w:after="240"/>
        <w:jc w:val="center"/>
        <w:rPr>
          <w:rFonts w:asciiTheme="majorBidi" w:hAnsiTheme="majorBidi" w:cstheme="majorBidi"/>
          <w:sz w:val="24"/>
          <w:szCs w:val="24"/>
        </w:rPr>
      </w:pPr>
      <w:r w:rsidRPr="0003108E">
        <w:rPr>
          <w:rFonts w:asciiTheme="majorBidi" w:hAnsiTheme="majorBidi" w:cstheme="majorBidi"/>
          <w:sz w:val="24"/>
          <w:szCs w:val="24"/>
        </w:rPr>
        <w:t xml:space="preserve">³Alkhaleeli </w:t>
      </w:r>
      <w:proofErr w:type="spellStart"/>
      <w:r w:rsidRPr="0003108E">
        <w:rPr>
          <w:rFonts w:asciiTheme="majorBidi" w:hAnsiTheme="majorBidi" w:cstheme="majorBidi"/>
          <w:sz w:val="24"/>
          <w:szCs w:val="24"/>
        </w:rPr>
        <w:t>BioAI</w:t>
      </w:r>
      <w:proofErr w:type="spellEnd"/>
      <w:r w:rsidRPr="0003108E">
        <w:rPr>
          <w:rFonts w:asciiTheme="majorBidi" w:hAnsiTheme="majorBidi" w:cstheme="majorBidi"/>
          <w:sz w:val="24"/>
          <w:szCs w:val="24"/>
        </w:rPr>
        <w:t xml:space="preserve"> LLC, Oklahoma City, USA</w:t>
      </w:r>
      <w:r w:rsidR="00DB517A" w:rsidRPr="0003108E">
        <w:rPr>
          <w:rFonts w:asciiTheme="majorBidi" w:hAnsiTheme="majorBidi" w:cstheme="majorBidi"/>
          <w:sz w:val="24"/>
          <w:szCs w:val="24"/>
        </w:rPr>
        <w:t>.</w:t>
      </w:r>
    </w:p>
    <w:p w14:paraId="63E6D4FE" w14:textId="77777777" w:rsidR="00453A7C" w:rsidRPr="0003108E" w:rsidRDefault="00453A7C" w:rsidP="00E21100">
      <w:pPr>
        <w:spacing w:after="240"/>
        <w:jc w:val="center"/>
        <w:rPr>
          <w:rFonts w:asciiTheme="majorBidi" w:hAnsiTheme="majorBidi" w:cstheme="majorBidi"/>
          <w:sz w:val="24"/>
          <w:szCs w:val="24"/>
        </w:rPr>
      </w:pPr>
    </w:p>
    <w:p w14:paraId="48B3E25D" w14:textId="77777777" w:rsidR="000D566E" w:rsidRPr="0003108E" w:rsidRDefault="00000000">
      <w:pPr>
        <w:spacing w:after="80"/>
        <w:jc w:val="center"/>
        <w:rPr>
          <w:rFonts w:asciiTheme="majorBidi" w:hAnsiTheme="majorBidi" w:cstheme="majorBidi"/>
          <w:sz w:val="24"/>
          <w:szCs w:val="24"/>
        </w:rPr>
      </w:pPr>
      <w:r w:rsidRPr="0003108E">
        <w:rPr>
          <w:rFonts w:asciiTheme="majorBidi" w:hAnsiTheme="majorBidi" w:cstheme="majorBidi"/>
          <w:sz w:val="24"/>
          <w:szCs w:val="24"/>
        </w:rPr>
        <w:t xml:space="preserve">Corresponding Author: Rami M. Alkhaleeli, </w:t>
      </w:r>
      <w:proofErr w:type="spellStart"/>
      <w:r w:rsidRPr="0003108E">
        <w:rPr>
          <w:rFonts w:asciiTheme="majorBidi" w:hAnsiTheme="majorBidi" w:cstheme="majorBidi"/>
          <w:sz w:val="24"/>
          <w:szCs w:val="24"/>
        </w:rPr>
        <w:t>Alkhaleeli</w:t>
      </w:r>
      <w:proofErr w:type="spellEnd"/>
      <w:r w:rsidRPr="0003108E">
        <w:rPr>
          <w:rFonts w:asciiTheme="majorBidi" w:hAnsiTheme="majorBidi" w:cstheme="majorBidi"/>
          <w:sz w:val="24"/>
          <w:szCs w:val="24"/>
        </w:rPr>
        <w:t xml:space="preserve"> </w:t>
      </w:r>
      <w:proofErr w:type="spellStart"/>
      <w:r w:rsidRPr="0003108E">
        <w:rPr>
          <w:rFonts w:asciiTheme="majorBidi" w:hAnsiTheme="majorBidi" w:cstheme="majorBidi"/>
          <w:sz w:val="24"/>
          <w:szCs w:val="24"/>
        </w:rPr>
        <w:t>BioAI</w:t>
      </w:r>
      <w:proofErr w:type="spellEnd"/>
      <w:r w:rsidRPr="0003108E">
        <w:rPr>
          <w:rFonts w:asciiTheme="majorBidi" w:hAnsiTheme="majorBidi" w:cstheme="majorBidi"/>
          <w:sz w:val="24"/>
          <w:szCs w:val="24"/>
        </w:rPr>
        <w:t xml:space="preserve"> LLC</w:t>
      </w:r>
    </w:p>
    <w:p w14:paraId="37FFF5AF" w14:textId="77777777" w:rsidR="000D566E" w:rsidRPr="0003108E" w:rsidRDefault="00000000">
      <w:pPr>
        <w:spacing w:after="600"/>
        <w:jc w:val="center"/>
        <w:rPr>
          <w:rFonts w:asciiTheme="majorBidi" w:hAnsiTheme="majorBidi" w:cstheme="majorBidi"/>
          <w:sz w:val="24"/>
          <w:szCs w:val="24"/>
        </w:rPr>
      </w:pPr>
      <w:r w:rsidRPr="0003108E">
        <w:rPr>
          <w:rFonts w:asciiTheme="majorBidi" w:hAnsiTheme="majorBidi" w:cstheme="majorBidi"/>
          <w:sz w:val="24"/>
          <w:szCs w:val="24"/>
        </w:rPr>
        <w:t>Version 2.0 | May 2026 | Comprehensive Research Protocol</w:t>
      </w:r>
    </w:p>
    <w:p w14:paraId="718103A0" w14:textId="77777777" w:rsidR="000D566E" w:rsidRPr="00DB517A" w:rsidRDefault="00000000">
      <w:pPr>
        <w:rPr>
          <w:rFonts w:asciiTheme="majorBidi" w:hAnsiTheme="majorBidi" w:cstheme="majorBidi"/>
        </w:rPr>
      </w:pPr>
      <w:r w:rsidRPr="00DB517A">
        <w:rPr>
          <w:rFonts w:asciiTheme="majorBidi" w:hAnsiTheme="majorBidi" w:cstheme="majorBidi"/>
        </w:rPr>
        <w:br w:type="page"/>
      </w:r>
    </w:p>
    <w:p w14:paraId="6539B8CE" w14:textId="77777777" w:rsidR="00DB517A" w:rsidRDefault="00DB517A" w:rsidP="00DB517A">
      <w:pPr>
        <w:pStyle w:val="Heading1"/>
        <w:rPr>
          <w:rFonts w:asciiTheme="majorBidi" w:hAnsiTheme="majorBidi" w:cstheme="majorBidi"/>
        </w:rPr>
      </w:pPr>
    </w:p>
    <w:p w14:paraId="58BD8C1B" w14:textId="046D03DC" w:rsidR="00DB517A" w:rsidRPr="00DB517A" w:rsidRDefault="00000000" w:rsidP="00DB517A">
      <w:pPr>
        <w:pStyle w:val="Heading1"/>
        <w:rPr>
          <w:rFonts w:asciiTheme="majorBidi" w:hAnsiTheme="majorBidi" w:cstheme="majorBidi"/>
        </w:rPr>
      </w:pPr>
      <w:r w:rsidRPr="00DB517A">
        <w:rPr>
          <w:rFonts w:asciiTheme="majorBidi" w:hAnsiTheme="majorBidi" w:cstheme="majorBidi"/>
        </w:rPr>
        <w:t>TABLE OF CONTENTS</w:t>
      </w:r>
      <w:r w:rsidR="00DB517A">
        <w:rPr>
          <w:rFonts w:asciiTheme="majorBidi" w:hAnsiTheme="majorBidi" w:cstheme="majorBidi"/>
        </w:rPr>
        <w:t>:</w:t>
      </w:r>
    </w:p>
    <w:p w14:paraId="0FB92EBF"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1. Abstract &amp; Keywords</w:t>
      </w:r>
    </w:p>
    <w:p w14:paraId="4E430411"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2. Executive Summary</w:t>
      </w:r>
    </w:p>
    <w:p w14:paraId="7BFFE03B"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3. Introduction</w:t>
      </w:r>
    </w:p>
    <w:p w14:paraId="224A3265"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3.1 Global Burden of Coronary Artery Disease</w:t>
      </w:r>
    </w:p>
    <w:p w14:paraId="137C0304"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3.2 Genetic Architecture and GWAS Findings</w:t>
      </w:r>
    </w:p>
    <w:p w14:paraId="178C7E62"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3.3 South Asian Populations: Epidemiology and Genetic Disparities</w:t>
      </w:r>
    </w:p>
    <w:p w14:paraId="03D9257C"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3.4 Population-Specific Genetic Research: Rationale and Significance</w:t>
      </w:r>
    </w:p>
    <w:p w14:paraId="3C7FBC25"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3.5 Candidate SNP Approach vs. GWAS: Methodological Considerations</w:t>
      </w:r>
    </w:p>
    <w:p w14:paraId="0B61B6D4"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4. Study Rationale, Hypothesis &amp; Specific Aims</w:t>
      </w:r>
    </w:p>
    <w:p w14:paraId="3EAF9F42"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5. Comprehensive Materials &amp; Methods</w:t>
      </w:r>
    </w:p>
    <w:p w14:paraId="727D8250"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5.1 Study Design and Population Characteristics</w:t>
      </w:r>
    </w:p>
    <w:p w14:paraId="53FD2103"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5.2 SNP Selection and Biological Rationale</w:t>
      </w:r>
    </w:p>
    <w:p w14:paraId="30E843F0"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5.3 Data Collection and Phenotype Definition</w:t>
      </w:r>
    </w:p>
    <w:p w14:paraId="59830B7A"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5.4 Genotyping, Quality Control, and Data Validation</w:t>
      </w:r>
    </w:p>
    <w:p w14:paraId="135C377E"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5.5 Statistical Analysis Framework</w:t>
      </w:r>
    </w:p>
    <w:p w14:paraId="53C98D07"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5.6 Polygenic Risk Score Construction and Validation</w:t>
      </w:r>
    </w:p>
    <w:p w14:paraId="76341E7B"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5.7 Sensitivity Analyses and Bias Control</w:t>
      </w:r>
    </w:p>
    <w:p w14:paraId="488245D3"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6. Sample Size Justification and Statistical Power</w:t>
      </w:r>
    </w:p>
    <w:p w14:paraId="48BD9448"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7. Expected Results and Analytical Workflows</w:t>
      </w:r>
    </w:p>
    <w:p w14:paraId="2BEE65D3"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8. Comprehensive Discussion</w:t>
      </w:r>
    </w:p>
    <w:p w14:paraId="73C5170E"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8.1 Main Findings and Interpretation</w:t>
      </w:r>
    </w:p>
    <w:p w14:paraId="6B127842"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8.2 Transferability Across Populations</w:t>
      </w:r>
    </w:p>
    <w:p w14:paraId="3E9C65B3"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8.3 Mechanistic Insights and Pathway Analysis</w:t>
      </w:r>
    </w:p>
    <w:p w14:paraId="10F66942"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8.4 Comparison with Published Literature</w:t>
      </w:r>
    </w:p>
    <w:p w14:paraId="5830CBA9"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 xml:space="preserve">   8.5 Clinical and Public Health Implications</w:t>
      </w:r>
    </w:p>
    <w:p w14:paraId="6302058F"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9. Study Limitations</w:t>
      </w:r>
    </w:p>
    <w:p w14:paraId="5F9C1FC1"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10. Future Directions and Recommendations</w:t>
      </w:r>
    </w:p>
    <w:p w14:paraId="037B2308"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lastRenderedPageBreak/>
        <w:t>11. Ethical Considerations and Data Management</w:t>
      </w:r>
    </w:p>
    <w:p w14:paraId="25FB9D4F"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12. References (50+ citations)</w:t>
      </w:r>
    </w:p>
    <w:p w14:paraId="40CEAA67" w14:textId="77777777" w:rsidR="000D566E" w:rsidRPr="00DB517A" w:rsidRDefault="00000000">
      <w:pPr>
        <w:spacing w:after="100"/>
        <w:rPr>
          <w:rFonts w:asciiTheme="majorBidi" w:hAnsiTheme="majorBidi" w:cstheme="majorBidi"/>
          <w:sz w:val="28"/>
          <w:szCs w:val="28"/>
        </w:rPr>
      </w:pPr>
      <w:r w:rsidRPr="00DB517A">
        <w:rPr>
          <w:rFonts w:asciiTheme="majorBidi" w:hAnsiTheme="majorBidi" w:cstheme="majorBidi"/>
          <w:sz w:val="28"/>
          <w:szCs w:val="28"/>
        </w:rPr>
        <w:t>13. Appendices (A-H)</w:t>
      </w:r>
    </w:p>
    <w:p w14:paraId="536C0EED" w14:textId="77777777" w:rsidR="000D566E" w:rsidRPr="00DB517A" w:rsidRDefault="00000000">
      <w:pPr>
        <w:rPr>
          <w:rFonts w:asciiTheme="majorBidi" w:hAnsiTheme="majorBidi" w:cstheme="majorBidi"/>
          <w:sz w:val="28"/>
          <w:szCs w:val="28"/>
        </w:rPr>
      </w:pPr>
      <w:r w:rsidRPr="00DB517A">
        <w:rPr>
          <w:rFonts w:asciiTheme="majorBidi" w:hAnsiTheme="majorBidi" w:cstheme="majorBidi"/>
          <w:sz w:val="28"/>
          <w:szCs w:val="28"/>
        </w:rPr>
        <w:br w:type="page"/>
      </w:r>
    </w:p>
    <w:p w14:paraId="73858E4F"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1. ABSTRACT</w:t>
      </w:r>
    </w:p>
    <w:p w14:paraId="65B16256" w14:textId="562A8B5E"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Background: </w:t>
      </w:r>
      <w:r w:rsidRPr="00DB517A">
        <w:rPr>
          <w:rFonts w:asciiTheme="majorBidi" w:hAnsiTheme="majorBidi" w:cstheme="majorBidi"/>
          <w:sz w:val="28"/>
          <w:szCs w:val="28"/>
        </w:rPr>
        <w:t xml:space="preserve">Coronary artery disease (CAD) represents the leading cause of mortality globally, with disproportionate burden in South Asian populations. While genome-wide association studies (GWAS) have identified 50+ CAD susceptibility loci, predominantly in European-ancestry cohorts, generalizability to other populations remains unclear. Population-specific genetic studies are essential for </w:t>
      </w:r>
      <w:r w:rsidR="00E21100">
        <w:rPr>
          <w:rFonts w:asciiTheme="majorBidi" w:hAnsiTheme="majorBidi" w:cstheme="majorBidi"/>
          <w:sz w:val="28"/>
          <w:szCs w:val="28"/>
        </w:rPr>
        <w:t>the equitable implementation of precision medicine</w:t>
      </w:r>
      <w:r w:rsidRPr="00DB517A">
        <w:rPr>
          <w:rFonts w:asciiTheme="majorBidi" w:hAnsiTheme="majorBidi" w:cstheme="majorBidi"/>
          <w:sz w:val="28"/>
          <w:szCs w:val="28"/>
        </w:rPr>
        <w:t>.</w:t>
      </w:r>
    </w:p>
    <w:p w14:paraId="61165DF9" w14:textId="77777777"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Objective: </w:t>
      </w:r>
      <w:r w:rsidRPr="00DB517A">
        <w:rPr>
          <w:rFonts w:asciiTheme="majorBidi" w:hAnsiTheme="majorBidi" w:cstheme="majorBidi"/>
          <w:sz w:val="28"/>
          <w:szCs w:val="28"/>
        </w:rPr>
        <w:t>To assess the association of six well-validated CAD-associated SNPs with disease in an Indian case-control cohort, evaluate population-specific effect sizes, develop a population-optimized polygenic risk score (PRS), and examine transferability of European-derived loci.</w:t>
      </w:r>
    </w:p>
    <w:p w14:paraId="32200667" w14:textId="77777777"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Methods: </w:t>
      </w:r>
      <w:r w:rsidRPr="00DB517A">
        <w:rPr>
          <w:rFonts w:asciiTheme="majorBidi" w:hAnsiTheme="majorBidi" w:cstheme="majorBidi"/>
          <w:sz w:val="28"/>
          <w:szCs w:val="28"/>
        </w:rPr>
        <w:t>Case-control study design with 1,000 CAD cases and 1,000 controls. Genotyping of six SNPs (rs1333049, rs10757278, rs2075291, rs4977574, rs9349379, rs7173743) using targeted platforms. Logistic regression modeling with prespecified clinical covariates. Population-optimized PRS development with internal cross-validation.</w:t>
      </w:r>
    </w:p>
    <w:p w14:paraId="11A27B4E" w14:textId="77777777"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Expected Results: </w:t>
      </w:r>
      <w:r w:rsidRPr="00DB517A">
        <w:rPr>
          <w:rFonts w:asciiTheme="majorBidi" w:hAnsiTheme="majorBidi" w:cstheme="majorBidi"/>
          <w:sz w:val="28"/>
          <w:szCs w:val="28"/>
        </w:rPr>
        <w:t>Three to four SNPs demonstrating significant association with CAD after multiple-testing correction. Population-optimized PRS with AUC 0.62-0.68 in cross-validation. Effect sizes comparable to or distinct from European estimates. Clear evidence regarding locus transferability and allele-frequency effects.</w:t>
      </w:r>
    </w:p>
    <w:p w14:paraId="216129AB" w14:textId="77777777"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Conclusions: </w:t>
      </w:r>
      <w:r w:rsidRPr="00DB517A">
        <w:rPr>
          <w:rFonts w:asciiTheme="majorBidi" w:hAnsiTheme="majorBidi" w:cstheme="majorBidi"/>
          <w:sz w:val="28"/>
          <w:szCs w:val="28"/>
        </w:rPr>
        <w:t>This study provides population-specific genetic evidence for CAD risk in South Asian populations, supporting precision health implementation and addressing health equity gaps in genetic research. Results will clarify whether European-derived CAD loci apply universally or require population-specific calibration.</w:t>
      </w:r>
    </w:p>
    <w:p w14:paraId="27883FCB" w14:textId="77777777" w:rsidR="000D566E" w:rsidRPr="00DB517A" w:rsidRDefault="00000000" w:rsidP="00DB517A">
      <w:pPr>
        <w:spacing w:after="120"/>
        <w:jc w:val="both"/>
        <w:rPr>
          <w:rFonts w:asciiTheme="majorBidi" w:hAnsiTheme="majorBidi" w:cstheme="majorBidi"/>
          <w:sz w:val="28"/>
          <w:szCs w:val="28"/>
        </w:rPr>
      </w:pPr>
      <w:r w:rsidRPr="00DB517A">
        <w:rPr>
          <w:rFonts w:asciiTheme="majorBidi" w:hAnsiTheme="majorBidi" w:cstheme="majorBidi"/>
          <w:b/>
          <w:bCs/>
          <w:sz w:val="28"/>
          <w:szCs w:val="28"/>
        </w:rPr>
        <w:t xml:space="preserve">Keywords: </w:t>
      </w:r>
      <w:r w:rsidRPr="00DB517A">
        <w:rPr>
          <w:rFonts w:asciiTheme="majorBidi" w:hAnsiTheme="majorBidi" w:cstheme="majorBidi"/>
          <w:sz w:val="28"/>
          <w:szCs w:val="28"/>
        </w:rPr>
        <w:t>coronary artery disease, candidate SNP, genetic association, polygenic risk score, South Asian populations, population health genetics, precision medicine, 9p21, APOA5, PHACTR1, ADAMTS7</w:t>
      </w:r>
    </w:p>
    <w:p w14:paraId="31040AD7" w14:textId="77777777" w:rsidR="000D566E" w:rsidRPr="00DB517A" w:rsidRDefault="00000000" w:rsidP="00DB517A">
      <w:pPr>
        <w:jc w:val="both"/>
        <w:rPr>
          <w:rFonts w:asciiTheme="majorBidi" w:hAnsiTheme="majorBidi" w:cstheme="majorBidi"/>
          <w:sz w:val="28"/>
          <w:szCs w:val="28"/>
        </w:rPr>
      </w:pPr>
      <w:r w:rsidRPr="00DB517A">
        <w:rPr>
          <w:rFonts w:asciiTheme="majorBidi" w:hAnsiTheme="majorBidi" w:cstheme="majorBidi"/>
          <w:sz w:val="28"/>
          <w:szCs w:val="28"/>
        </w:rPr>
        <w:br w:type="page"/>
      </w:r>
    </w:p>
    <w:p w14:paraId="0320A783"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2. EXECUTIVE SUMMARY</w:t>
      </w:r>
    </w:p>
    <w:p w14:paraId="16C6F20F"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Coronary artery disease affects 180 million individuals globally and remains the leading preventable cause of death. In South Asian populations—comprising 1.8 billion people—CAD burden disproportionately affects younger individuals and progresses more aggressively than in European populations. Genetic factors contribute 40-60% of disease risk, yet genetic research has been overwhelmingly focused on European-ancestry cohorts, creating a profound knowledge gap regarding South Asian genetic architecture.</w:t>
      </w:r>
    </w:p>
    <w:p w14:paraId="6940D608" w14:textId="112D882C"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This comprehensive research protocol proposes a rigorous candidate SNP association study in an Indian population</w:t>
      </w:r>
      <w:r w:rsidR="00084EA0">
        <w:rPr>
          <w:rFonts w:asciiTheme="majorBidi" w:hAnsiTheme="majorBidi" w:cstheme="majorBidi"/>
          <w:sz w:val="28"/>
          <w:szCs w:val="28"/>
        </w:rPr>
        <w:t xml:space="preserve"> to evaluate</w:t>
      </w:r>
      <w:r w:rsidRPr="00A61FF7">
        <w:rPr>
          <w:rFonts w:asciiTheme="majorBidi" w:hAnsiTheme="majorBidi" w:cstheme="majorBidi"/>
          <w:sz w:val="28"/>
          <w:szCs w:val="28"/>
        </w:rPr>
        <w:t xml:space="preserve"> six previously validated CAD-associated variants. The study employs state-of-the-art statistical methods</w:t>
      </w:r>
      <w:r w:rsidR="00084EA0">
        <w:rPr>
          <w:rFonts w:asciiTheme="majorBidi" w:hAnsiTheme="majorBidi" w:cstheme="majorBidi"/>
          <w:sz w:val="28"/>
          <w:szCs w:val="28"/>
        </w:rPr>
        <w:t>,</w:t>
      </w:r>
      <w:r w:rsidRPr="00A61FF7">
        <w:rPr>
          <w:rFonts w:asciiTheme="majorBidi" w:hAnsiTheme="majorBidi" w:cstheme="majorBidi"/>
          <w:sz w:val="28"/>
          <w:szCs w:val="28"/>
        </w:rPr>
        <w:t xml:space="preserve"> including logistic regression with prespecified covariates and population-optimized polygenic risk score development. The explicit research-use boundary ensures that findings are appropriately interpreted as evidence for population-level association rather than clinical prediction tools.</w:t>
      </w:r>
    </w:p>
    <w:p w14:paraId="775FE4AB"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This manuscript provides a complete roadmap for implementation, including detailed methodology, expected analytical workflows, sample size justification, quality control benchmarks, and clinical translation frameworks. All deliverables are formatted for submission to high-tier research repositories and peer-reviewed journals.</w:t>
      </w:r>
    </w:p>
    <w:p w14:paraId="34D46650" w14:textId="77777777" w:rsidR="000D566E" w:rsidRPr="00DB517A" w:rsidRDefault="00000000">
      <w:pPr>
        <w:rPr>
          <w:rFonts w:asciiTheme="majorBidi" w:hAnsiTheme="majorBidi" w:cstheme="majorBidi"/>
        </w:rPr>
      </w:pPr>
      <w:r w:rsidRPr="00DB517A">
        <w:rPr>
          <w:rFonts w:asciiTheme="majorBidi" w:hAnsiTheme="majorBidi" w:cstheme="majorBidi"/>
        </w:rPr>
        <w:br w:type="page"/>
      </w:r>
    </w:p>
    <w:p w14:paraId="5365DE02" w14:textId="77777777" w:rsidR="000D566E" w:rsidRPr="00A61FF7" w:rsidRDefault="00000000" w:rsidP="00A61FF7">
      <w:pPr>
        <w:pStyle w:val="Heading1"/>
        <w:jc w:val="both"/>
        <w:rPr>
          <w:rFonts w:asciiTheme="majorBidi" w:hAnsiTheme="majorBidi" w:cstheme="majorBidi"/>
          <w:sz w:val="28"/>
          <w:szCs w:val="28"/>
        </w:rPr>
      </w:pPr>
      <w:r w:rsidRPr="00A61FF7">
        <w:rPr>
          <w:rFonts w:asciiTheme="majorBidi" w:hAnsiTheme="majorBidi" w:cstheme="majorBidi"/>
          <w:sz w:val="28"/>
          <w:szCs w:val="28"/>
        </w:rPr>
        <w:lastRenderedPageBreak/>
        <w:t>3. INTRODUCTION</w:t>
      </w:r>
    </w:p>
    <w:p w14:paraId="0602CF7E" w14:textId="77777777" w:rsidR="000D566E" w:rsidRPr="00A61FF7" w:rsidRDefault="00000000" w:rsidP="00A61FF7">
      <w:pPr>
        <w:pStyle w:val="Heading2"/>
        <w:jc w:val="both"/>
        <w:rPr>
          <w:rFonts w:asciiTheme="majorBidi" w:hAnsiTheme="majorBidi" w:cstheme="majorBidi"/>
        </w:rPr>
      </w:pPr>
      <w:r w:rsidRPr="00A61FF7">
        <w:rPr>
          <w:rFonts w:asciiTheme="majorBidi" w:hAnsiTheme="majorBidi" w:cstheme="majorBidi"/>
        </w:rPr>
        <w:t>3.1 Global Burden of Coronary Artery Disease</w:t>
      </w:r>
    </w:p>
    <w:p w14:paraId="34DEC34E"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Cardiovascular disease, of which coronary artery disease (CAD) is the primary manifestation, causes approximately 17.9 million deaths annually globally (2019 data), representing 32% of all non-communicable disease mortality. The WHO estimates that 126 million disability-adjusted life years (DALYs) are attributable to CAD annually. CAD exhibits stark geographic variation, with disproportionate burden in low- and middle-income countries.</w:t>
      </w:r>
    </w:p>
    <w:p w14:paraId="60F75975"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CAD results from progressive atherosclerotic plaque formation in epicardial coronary arteries, triggered by lipid deposition, endothelial dysfunction, vascular inflammation, smooth-muscle cell proliferation, and thrombotic mechanisms. Acute myocardial infarction occurs when atherosclerotic plaque ruptures, exposing thrombogenic core material to circulating platelets and clotting factors, resulting in thrombotic vessel occlusion and myocardial necrosis. The disease trajectory typically spans 20-40 years, progressing silently until clinical manifestation.</w:t>
      </w:r>
    </w:p>
    <w:p w14:paraId="0C2FBA58"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Classical cardiovascular risk factors (hypertension, dyslipidemia, diabetes, smoking, obesity, physical inactivity, poor diet) explain approximately 90% of acute MI risk in Western populations. However, these factors demonstrate heterogeneous effects across populations, suggesting that genetic susceptibility, population-specific environmental exposures, metabolic phenotypes, and gene-environment interactions substantially influence disease risk.</w:t>
      </w:r>
    </w:p>
    <w:p w14:paraId="1E0C7778" w14:textId="77777777" w:rsidR="000D566E" w:rsidRPr="00A61FF7" w:rsidRDefault="00000000" w:rsidP="00A61FF7">
      <w:pPr>
        <w:pStyle w:val="Heading2"/>
        <w:jc w:val="both"/>
        <w:rPr>
          <w:rFonts w:asciiTheme="majorBidi" w:hAnsiTheme="majorBidi" w:cstheme="majorBidi"/>
        </w:rPr>
      </w:pPr>
      <w:r w:rsidRPr="00A61FF7">
        <w:rPr>
          <w:rFonts w:asciiTheme="majorBidi" w:hAnsiTheme="majorBidi" w:cstheme="majorBidi"/>
        </w:rPr>
        <w:t>3.2 Genetic Architecture and GWAS Findings</w:t>
      </w:r>
    </w:p>
    <w:p w14:paraId="5F50049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Approximately 50 common genetic variants have been robustly associated with CAD through meta-analyses of genome-wide association studies (GWAS), predominantly in European-ancestry populations. Notable loci include:</w:t>
      </w:r>
    </w:p>
    <w:p w14:paraId="1BCD186F"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9p21 region (rs1333049, rs10757278): Strongest GWAS signal, associated with cell-cycle regulation, vascular inflammation, and arterial stiffness</w:t>
      </w:r>
    </w:p>
    <w:p w14:paraId="262F0C4E"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APOA5 (rs2075291): Lipid metabolism, triglyceride regulation, cardiometabolic risk</w:t>
      </w:r>
    </w:p>
    <w:p w14:paraId="75F7C5BA"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CDKN2A/B (rs4977574): Cell-cycle regulation, vascular smooth-muscle biology</w:t>
      </w:r>
    </w:p>
    <w:p w14:paraId="3D697605"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PHACTR1 (rs9349379): Endothelial function, vascular tone regulation</w:t>
      </w:r>
    </w:p>
    <w:p w14:paraId="11E164A0" w14:textId="77777777" w:rsidR="000D566E" w:rsidRPr="00A61FF7" w:rsidRDefault="00000000" w:rsidP="00A61FF7">
      <w:pPr>
        <w:pStyle w:val="ListParagraph"/>
        <w:numPr>
          <w:ilvl w:val="0"/>
          <w:numId w:val="2"/>
        </w:numPr>
        <w:spacing w:after="240"/>
        <w:jc w:val="both"/>
        <w:rPr>
          <w:rFonts w:asciiTheme="majorBidi" w:hAnsiTheme="majorBidi" w:cstheme="majorBidi"/>
          <w:sz w:val="28"/>
          <w:szCs w:val="28"/>
        </w:rPr>
      </w:pPr>
      <w:r w:rsidRPr="00A61FF7">
        <w:rPr>
          <w:rFonts w:asciiTheme="majorBidi" w:hAnsiTheme="majorBidi" w:cstheme="majorBidi"/>
          <w:sz w:val="28"/>
          <w:szCs w:val="28"/>
        </w:rPr>
        <w:t>ADAMTS7 (rs7173743): Extracellular matrix remodeling, plaque stability</w:t>
      </w:r>
    </w:p>
    <w:p w14:paraId="0EDE1A8E"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lastRenderedPageBreak/>
        <w:t>Individually, common CAD variants confer modest odds ratios (typically OR 1.1-1.3 per allele). However, cumulative effects of multiple loci create substantial variation in genetic risk. Polygenic risk scores incorporating 50+ SNPs demonstrate improved discriminative performance (AUC 0.65-0.70) compared to single variants, though still substantially less than diagnostic tests.</w:t>
      </w:r>
    </w:p>
    <w:p w14:paraId="79AD778C"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A critical limitation of the current genetic knowledge base is the European-ancestry bias. Approximately 90% of GWAS participants are of European descent, despite Europeans representing ~10% of global population. This creates profound disparities in genetic knowledge across populations and raises questions about generalizability of findings.</w:t>
      </w:r>
    </w:p>
    <w:p w14:paraId="0ED03E62" w14:textId="77777777" w:rsidR="000D566E" w:rsidRPr="00A61FF7" w:rsidRDefault="00000000" w:rsidP="00A61FF7">
      <w:pPr>
        <w:pStyle w:val="Heading2"/>
        <w:jc w:val="both"/>
        <w:rPr>
          <w:rFonts w:asciiTheme="majorBidi" w:hAnsiTheme="majorBidi" w:cstheme="majorBidi"/>
        </w:rPr>
      </w:pPr>
      <w:r w:rsidRPr="00A61FF7">
        <w:rPr>
          <w:rFonts w:asciiTheme="majorBidi" w:hAnsiTheme="majorBidi" w:cstheme="majorBidi"/>
        </w:rPr>
        <w:t>3.3 South Asian Populations: Epidemiology and Genetic Disparities</w:t>
      </w:r>
    </w:p>
    <w:p w14:paraId="65F5E747"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South Asian populations (India, Pakistan, Bangladesh, Sri Lanka, Nepal, approximately 1.8 billion people) face epidemiological CAD patterns distinct from European populations:</w:t>
      </w:r>
    </w:p>
    <w:p w14:paraId="25B6790B"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Earlier disease onset: CAD peak incidence 10-15 years younger than Europeans</w:t>
      </w:r>
    </w:p>
    <w:p w14:paraId="644E6433"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Greater disease severity: More frequent early MI and sudden cardiac death</w:t>
      </w:r>
    </w:p>
    <w:p w14:paraId="2E66E420"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Higher age-standardized mortality: 2-3 fold higher than European populations</w:t>
      </w:r>
    </w:p>
    <w:p w14:paraId="3C4A732C" w14:textId="77777777" w:rsidR="000D566E" w:rsidRPr="00A61FF7" w:rsidRDefault="00000000" w:rsidP="00A61FF7">
      <w:pPr>
        <w:pStyle w:val="ListParagraph"/>
        <w:numPr>
          <w:ilvl w:val="0"/>
          <w:numId w:val="2"/>
        </w:numPr>
        <w:spacing w:after="100"/>
        <w:jc w:val="both"/>
        <w:rPr>
          <w:rFonts w:asciiTheme="majorBidi" w:hAnsiTheme="majorBidi" w:cstheme="majorBidi"/>
          <w:sz w:val="28"/>
          <w:szCs w:val="28"/>
        </w:rPr>
      </w:pPr>
      <w:r w:rsidRPr="00A61FF7">
        <w:rPr>
          <w:rFonts w:asciiTheme="majorBidi" w:hAnsiTheme="majorBidi" w:cstheme="majorBidi"/>
          <w:sz w:val="28"/>
          <w:szCs w:val="28"/>
        </w:rPr>
        <w:t>Elevated diabetes prevalence: Type 2 diabetes affects 10-15% of South Asian adults</w:t>
      </w:r>
    </w:p>
    <w:p w14:paraId="0F3126C5" w14:textId="77777777" w:rsidR="000D566E" w:rsidRPr="00A61FF7" w:rsidRDefault="00000000" w:rsidP="00A61FF7">
      <w:pPr>
        <w:pStyle w:val="ListParagraph"/>
        <w:numPr>
          <w:ilvl w:val="0"/>
          <w:numId w:val="2"/>
        </w:numPr>
        <w:spacing w:after="240"/>
        <w:jc w:val="both"/>
        <w:rPr>
          <w:rFonts w:asciiTheme="majorBidi" w:hAnsiTheme="majorBidi" w:cstheme="majorBidi"/>
          <w:sz w:val="28"/>
          <w:szCs w:val="28"/>
        </w:rPr>
      </w:pPr>
      <w:r w:rsidRPr="00A61FF7">
        <w:rPr>
          <w:rFonts w:asciiTheme="majorBidi" w:hAnsiTheme="majorBidi" w:cstheme="majorBidi"/>
          <w:sz w:val="28"/>
          <w:szCs w:val="28"/>
        </w:rPr>
        <w:t>Distinct metabolic phenotypes: Central obesity, insulin resistance, elevated triglycerides despite relatively preserved LDL-cholesterol</w:t>
      </w:r>
    </w:p>
    <w:p w14:paraId="6BA9077D"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Few large-scale CAD genetic studies have been conducted entirely within South Asian populations. This knowledge gap creates several uncertainties: (1) Do European-derived loci maintain similar effect sizes? (2) Do allele frequencies differ substantially? (3) Are there population-specific loci? (4) How do genetic effects interact with population-specific environmental and metabolic factors?</w:t>
      </w:r>
    </w:p>
    <w:p w14:paraId="4E9141E4"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Population-specific genetic studies are therefore scientifically essential and ethically important for advancing precision medicine in South Asian populations.</w:t>
      </w:r>
    </w:p>
    <w:p w14:paraId="3599AEDB" w14:textId="77777777" w:rsidR="000D566E" w:rsidRPr="00A61FF7" w:rsidRDefault="00000000" w:rsidP="00A61FF7">
      <w:pPr>
        <w:pStyle w:val="Heading2"/>
        <w:jc w:val="both"/>
        <w:rPr>
          <w:rFonts w:asciiTheme="majorBidi" w:hAnsiTheme="majorBidi" w:cstheme="majorBidi"/>
        </w:rPr>
      </w:pPr>
      <w:r w:rsidRPr="00A61FF7">
        <w:rPr>
          <w:rFonts w:asciiTheme="majorBidi" w:hAnsiTheme="majorBidi" w:cstheme="majorBidi"/>
        </w:rPr>
        <w:t>3.4 Population-Specific Genetic Research: Rationale and Significance</w:t>
      </w:r>
    </w:p>
    <w:p w14:paraId="63D5D80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 xml:space="preserve">Polygenic risk scores derived exclusively from European GWAS may not optimally stratify risk in South Asian populations for several reasons: (1) Allele frequency differences: Even if per-allele effects are identical, different allele frequencies create different risk distributions. (2) Effect size heterogeneity: Genetic effects may vary </w:t>
      </w:r>
      <w:r w:rsidRPr="00A61FF7">
        <w:rPr>
          <w:rFonts w:asciiTheme="majorBidi" w:hAnsiTheme="majorBidi" w:cstheme="majorBidi"/>
          <w:sz w:val="28"/>
          <w:szCs w:val="28"/>
        </w:rPr>
        <w:lastRenderedPageBreak/>
        <w:t>across populations due to gene-environment interactions, population structure, or genuine biological differences. (3) Linkage disequilibrium differences: LD patterns vary across populations, potentially affecting associations if causal variants have not been identified.</w:t>
      </w:r>
    </w:p>
    <w:p w14:paraId="1DCD87E5" w14:textId="5A26103E"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 xml:space="preserve">This study directly addresses these uncertainties through a rigorously designed, population-specific genetic study in an Indian cohort, generating evidence essential for </w:t>
      </w:r>
      <w:r w:rsidR="00084EA0">
        <w:rPr>
          <w:rFonts w:asciiTheme="majorBidi" w:hAnsiTheme="majorBidi" w:cstheme="majorBidi"/>
          <w:sz w:val="28"/>
          <w:szCs w:val="28"/>
        </w:rPr>
        <w:t>the equitable implementation of precision health</w:t>
      </w:r>
      <w:r w:rsidRPr="00A61FF7">
        <w:rPr>
          <w:rFonts w:asciiTheme="majorBidi" w:hAnsiTheme="majorBidi" w:cstheme="majorBidi"/>
          <w:sz w:val="28"/>
          <w:szCs w:val="28"/>
        </w:rPr>
        <w:t>.</w:t>
      </w:r>
    </w:p>
    <w:p w14:paraId="70E31FA0" w14:textId="77777777" w:rsidR="000D566E" w:rsidRPr="00A61FF7" w:rsidRDefault="00000000" w:rsidP="00A61FF7">
      <w:pPr>
        <w:pStyle w:val="Heading2"/>
        <w:jc w:val="both"/>
        <w:rPr>
          <w:rFonts w:asciiTheme="majorBidi" w:hAnsiTheme="majorBidi" w:cstheme="majorBidi"/>
        </w:rPr>
      </w:pPr>
      <w:r w:rsidRPr="00A61FF7">
        <w:rPr>
          <w:rFonts w:asciiTheme="majorBidi" w:hAnsiTheme="majorBidi" w:cstheme="majorBidi"/>
        </w:rPr>
        <w:t>3.5 Candidate SNP Approach vs. GWAS: Methodological Considerations</w:t>
      </w:r>
    </w:p>
    <w:p w14:paraId="5441293F"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GWAS represents a hypothesis-free approach evaluating hundreds of thousands to millions of variants across the entire genome, enabling de novo discovery. However, GWAS typically requires very large sample sizes (10,000-100,000+ subjects), substantial computational infrastructure, and complex quality-control procedures. In contrast, candidate SNP studies employ hypothesis-driven approaches: investigators preselect variants based on prior evidence, biological plausibility, or pathway relevance, then evaluate associations in a study cohort.</w:t>
      </w:r>
    </w:p>
    <w:p w14:paraId="62D833EC"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Candidate SNP approaches offer distinct advantages: (1) Smaller sample-size requirements with increased statistical power for modest effect detection; (2) Lower genotyping costs (targeted arrays); (3) Resources devoted to detailed phenotyping and covariate measurement; (4) Efficient population replication studies. The candidate SNP approach is particularly well-suited for population-specific validation of findings from discovery cohorts.</w:t>
      </w:r>
    </w:p>
    <w:p w14:paraId="1B4CBD01"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By focusing on six previously validated loci, this study maximizes scientific efficiency while maintaining rigor. Successful candidate SNP replication strengthens locus validation; discovery of effect-size heterogeneity prompts mechanistic investigation of population-specific biology.</w:t>
      </w:r>
    </w:p>
    <w:p w14:paraId="69FB81CA" w14:textId="77777777" w:rsidR="000D566E" w:rsidRPr="00DB517A" w:rsidRDefault="00000000">
      <w:pPr>
        <w:rPr>
          <w:rFonts w:asciiTheme="majorBidi" w:hAnsiTheme="majorBidi" w:cstheme="majorBidi"/>
        </w:rPr>
      </w:pPr>
      <w:r w:rsidRPr="00DB517A">
        <w:rPr>
          <w:rFonts w:asciiTheme="majorBidi" w:hAnsiTheme="majorBidi" w:cstheme="majorBidi"/>
        </w:rPr>
        <w:br w:type="page"/>
      </w:r>
    </w:p>
    <w:p w14:paraId="70AF0596" w14:textId="77777777" w:rsidR="000D566E" w:rsidRPr="00A61FF7" w:rsidRDefault="00000000" w:rsidP="00A61FF7">
      <w:pPr>
        <w:pStyle w:val="Heading1"/>
        <w:jc w:val="both"/>
        <w:rPr>
          <w:rFonts w:asciiTheme="majorBidi" w:hAnsiTheme="majorBidi" w:cstheme="majorBidi"/>
          <w:sz w:val="28"/>
          <w:szCs w:val="28"/>
        </w:rPr>
      </w:pPr>
      <w:r w:rsidRPr="00A61FF7">
        <w:rPr>
          <w:rFonts w:asciiTheme="majorBidi" w:hAnsiTheme="majorBidi" w:cstheme="majorBidi"/>
          <w:sz w:val="28"/>
          <w:szCs w:val="28"/>
        </w:rPr>
        <w:lastRenderedPageBreak/>
        <w:t>4. STUDY RATIONALE, HYPOTHESIS &amp; SPECIFIC AIMS</w:t>
      </w:r>
    </w:p>
    <w:p w14:paraId="0576383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Central Hypothesis: </w:t>
      </w:r>
      <w:r w:rsidRPr="00A61FF7">
        <w:rPr>
          <w:rFonts w:asciiTheme="majorBidi" w:hAnsiTheme="majorBidi" w:cstheme="majorBidi"/>
          <w:sz w:val="28"/>
          <w:szCs w:val="28"/>
        </w:rPr>
        <w:t>Six candidate SNPs previously associated with CAD in European cohorts will demonstrate measurable association with CAD status in an Indian case-control cohort after statistical adjustment for clinical covariates; population-optimized effect sizes may differ from European estimates due to allele-frequency variation and gene-environment interactions.</w:t>
      </w:r>
    </w:p>
    <w:p w14:paraId="23575F0A"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Null Hypothesis: </w:t>
      </w:r>
      <w:r w:rsidRPr="00A61FF7">
        <w:rPr>
          <w:rFonts w:asciiTheme="majorBidi" w:hAnsiTheme="majorBidi" w:cstheme="majorBidi"/>
          <w:sz w:val="28"/>
          <w:szCs w:val="28"/>
        </w:rPr>
        <w:t>Each SNP dosage coefficient equals zero after adjustment for clinical covariates; any observed associations reflect statistical noise rather than true biological effects.</w:t>
      </w:r>
    </w:p>
    <w:p w14:paraId="69E5B9ED"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Specific Aim 1: </w:t>
      </w:r>
      <w:r w:rsidRPr="00A61FF7">
        <w:rPr>
          <w:rFonts w:asciiTheme="majorBidi" w:hAnsiTheme="majorBidi" w:cstheme="majorBidi"/>
          <w:sz w:val="28"/>
          <w:szCs w:val="28"/>
        </w:rPr>
        <w:t>Characterize population-specific allele and genotype frequencies for six candidate SNPs in an Indian population; compare frequencies to published European estimates to quantify allele-frequency variation.</w:t>
      </w:r>
    </w:p>
    <w:p w14:paraId="2D1ABB40"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Specific Aim 2: </w:t>
      </w:r>
      <w:r w:rsidRPr="00A61FF7">
        <w:rPr>
          <w:rFonts w:asciiTheme="majorBidi" w:hAnsiTheme="majorBidi" w:cstheme="majorBidi"/>
          <w:sz w:val="28"/>
          <w:szCs w:val="28"/>
        </w:rPr>
        <w:t>Evaluate SNP-disease associations using logistic regression with prespecified clinical covariates; estimate population-specific odds ratios and 95% confidence intervals; assess robustness through sensitivity analyses.</w:t>
      </w:r>
    </w:p>
    <w:p w14:paraId="758E4D47"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Specific Aim 3: </w:t>
      </w:r>
      <w:r w:rsidRPr="00A61FF7">
        <w:rPr>
          <w:rFonts w:asciiTheme="majorBidi" w:hAnsiTheme="majorBidi" w:cstheme="majorBidi"/>
          <w:sz w:val="28"/>
          <w:szCs w:val="28"/>
        </w:rPr>
        <w:t>Develop and internally validate a population-optimized polygenic risk score; assess discriminative performance (ROC/AUC) and calibration; compare performance against clinical covariates alone.</w:t>
      </w:r>
    </w:p>
    <w:p w14:paraId="6F37A47C"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b/>
          <w:bCs/>
          <w:sz w:val="28"/>
          <w:szCs w:val="28"/>
        </w:rPr>
        <w:t xml:space="preserve">Specific Aim 4: </w:t>
      </w:r>
      <w:r w:rsidRPr="00A61FF7">
        <w:rPr>
          <w:rFonts w:asciiTheme="majorBidi" w:hAnsiTheme="majorBidi" w:cstheme="majorBidi"/>
          <w:sz w:val="28"/>
          <w:szCs w:val="28"/>
        </w:rPr>
        <w:t>Synthesize findings to provide evidence regarding locus transferability, recommend future directions for precision health implementation, and identify mechanistic insights requiring functional validation.</w:t>
      </w:r>
    </w:p>
    <w:p w14:paraId="44AE2773" w14:textId="77777777" w:rsidR="000D566E" w:rsidRPr="00A61FF7" w:rsidRDefault="00000000" w:rsidP="00A61FF7">
      <w:pPr>
        <w:jc w:val="both"/>
        <w:rPr>
          <w:rFonts w:asciiTheme="majorBidi" w:hAnsiTheme="majorBidi" w:cstheme="majorBidi"/>
          <w:sz w:val="28"/>
          <w:szCs w:val="28"/>
        </w:rPr>
      </w:pPr>
      <w:r w:rsidRPr="00A61FF7">
        <w:rPr>
          <w:rFonts w:asciiTheme="majorBidi" w:hAnsiTheme="majorBidi" w:cstheme="majorBidi"/>
          <w:sz w:val="28"/>
          <w:szCs w:val="28"/>
        </w:rPr>
        <w:br w:type="page"/>
      </w:r>
    </w:p>
    <w:p w14:paraId="682C5119"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5. COMPREHENSIVE MATERIALS &amp; METHODS</w:t>
      </w:r>
    </w:p>
    <w:p w14:paraId="0730229F"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5.1 Study Design and Population Characteristics</w:t>
      </w:r>
    </w:p>
    <w:p w14:paraId="5CACEEDF"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Study design: Observational, case-control association study</w:t>
      </w:r>
    </w:p>
    <w:p w14:paraId="7154DB4B"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Setting: Tertiary-care cardiology clinics, cardiovascular research cohorts across India</w:t>
      </w:r>
    </w:p>
    <w:p w14:paraId="5F6DB6DE"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Target sample size: 1,000 CAD cases + 1,000 controls (2,000 total)</w:t>
      </w:r>
    </w:p>
    <w:p w14:paraId="0F0D4EC6"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Population: Adults of Indian ancestry (age ≥40 years)</w:t>
      </w:r>
    </w:p>
    <w:p w14:paraId="0C93B98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CAD Case Definition: </w:t>
      </w:r>
      <w:r w:rsidRPr="00A61FF7">
        <w:rPr>
          <w:rFonts w:asciiTheme="majorBidi" w:hAnsiTheme="majorBidi" w:cstheme="majorBidi"/>
          <w:sz w:val="28"/>
          <w:szCs w:val="28"/>
        </w:rPr>
        <w:t>Documented coronary artery disease meeting ≥1 criterion: (1) Prior myocardial infarction confirmed by ECG changes and biomarker elevation; (2) Coronary angiographic evidence of ≥70% stenosis in ≥1 epicardial vessel; (3) Coronary revascularization procedure (PCI or CABG); (4) Coronary CT angiography demonstrating significant stenosis</w:t>
      </w:r>
    </w:p>
    <w:p w14:paraId="1A41415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Control Definition: </w:t>
      </w:r>
      <w:r w:rsidRPr="00A61FF7">
        <w:rPr>
          <w:rFonts w:asciiTheme="majorBidi" w:hAnsiTheme="majorBidi" w:cstheme="majorBidi"/>
          <w:sz w:val="28"/>
          <w:szCs w:val="28"/>
        </w:rPr>
        <w:t>Age ≥40 years, documented absence of CAD confirmed by: (1) Absence of prior MI; (2) Normal coronary angiography or CT angiography showing &lt;50% stenosis; (3) No history of coronary revascularization; (4) Normal ECG or documented normal cardiac imaging</w:t>
      </w:r>
    </w:p>
    <w:p w14:paraId="54748384"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b/>
          <w:bCs/>
          <w:sz w:val="28"/>
          <w:szCs w:val="28"/>
        </w:rPr>
        <w:t xml:space="preserve">Inclusion Criteria: </w:t>
      </w:r>
      <w:r w:rsidRPr="00A61FF7">
        <w:rPr>
          <w:rFonts w:asciiTheme="majorBidi" w:hAnsiTheme="majorBidi" w:cstheme="majorBidi"/>
          <w:sz w:val="28"/>
          <w:szCs w:val="28"/>
        </w:rPr>
        <w:t>Indian ancestry (self-reported or documented parental/grandparental origin); age ≥40 years; informed consent; adequate DNA sample; complete or ≥90% complete clinical data</w:t>
      </w:r>
    </w:p>
    <w:p w14:paraId="14E641C9"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b/>
          <w:bCs/>
          <w:sz w:val="28"/>
          <w:szCs w:val="28"/>
        </w:rPr>
        <w:t xml:space="preserve">Exclusion Criteria: </w:t>
      </w:r>
      <w:r w:rsidRPr="00A61FF7">
        <w:rPr>
          <w:rFonts w:asciiTheme="majorBidi" w:hAnsiTheme="majorBidi" w:cstheme="majorBidi"/>
          <w:sz w:val="28"/>
          <w:szCs w:val="28"/>
        </w:rPr>
        <w:t>Uncertain CAD status; failed DNA extraction or genotyping; duplicate enrollment; missing critical covariates; genetic ancestry inconsistent with intended population (if ancestry markers available); acute coronary syndrome &lt;3 months before enrollment (for cases, to allow stabilization)</w:t>
      </w:r>
    </w:p>
    <w:p w14:paraId="607685E6"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5.2 SNP Selection and Biological Rationale</w:t>
      </w:r>
    </w:p>
    <w:p w14:paraId="7A2187E5" w14:textId="43FCCE0F" w:rsidR="000D566E" w:rsidRPr="00A61FF7" w:rsidRDefault="00000000" w:rsidP="001D7C19">
      <w:pPr>
        <w:spacing w:after="120"/>
        <w:jc w:val="both"/>
        <w:rPr>
          <w:rFonts w:asciiTheme="majorBidi" w:hAnsiTheme="majorBidi" w:cstheme="majorBidi"/>
          <w:sz w:val="28"/>
          <w:szCs w:val="28"/>
        </w:rPr>
      </w:pPr>
      <w:r w:rsidRPr="00A61FF7">
        <w:rPr>
          <w:rFonts w:asciiTheme="majorBidi" w:hAnsiTheme="majorBidi" w:cstheme="majorBidi"/>
          <w:sz w:val="28"/>
          <w:szCs w:val="28"/>
        </w:rPr>
        <w:t>Six SNPs selected based on: (1) Consistent replication across multiple large GWAS studies (p &lt; 5×10⁻⁸ in ≥2 independent studies); (2) Diverse biological pathway representation; (3) Mechanistic evidence connecting variants to atherosclerosis pathogenesis; (4) Reasonable minor allele frequencies (MAF ≥5%) in Asian populations</w:t>
      </w:r>
      <w:r w:rsidR="00A61FF7">
        <w:rPr>
          <w:rFonts w:asciiTheme="majorBidi" w:hAnsiTheme="majorBidi" w:cstheme="majorBidi"/>
          <w:sz w:val="28"/>
          <w:szCs w:val="28"/>
        </w:rPr>
        <w:t xml:space="preserve">, </w:t>
      </w:r>
      <w:r w:rsidRPr="00A61FF7">
        <w:rPr>
          <w:rFonts w:asciiTheme="majorBidi" w:hAnsiTheme="majorBidi" w:cstheme="majorBidi"/>
          <w:sz w:val="28"/>
          <w:szCs w:val="28"/>
        </w:rPr>
        <w:t xml:space="preserve">rs1333049 (9p21): GWAS strongest signal. Mechanisms: CDKN2A/B expression modulation → cell-cycle regulation, vascular smooth-muscle proliferation arrest, vascular inflammation suppression. Effect size: OR ~1.20 per allele across populations. Evidence: Validated in European, Asian, </w:t>
      </w:r>
      <w:r w:rsidR="00A61FF7">
        <w:rPr>
          <w:rFonts w:asciiTheme="majorBidi" w:hAnsiTheme="majorBidi" w:cstheme="majorBidi"/>
          <w:sz w:val="28"/>
          <w:szCs w:val="28"/>
        </w:rPr>
        <w:t xml:space="preserve">and </w:t>
      </w:r>
      <w:r w:rsidRPr="00A61FF7">
        <w:rPr>
          <w:rFonts w:asciiTheme="majorBidi" w:hAnsiTheme="majorBidi" w:cstheme="majorBidi"/>
          <w:sz w:val="28"/>
          <w:szCs w:val="28"/>
        </w:rPr>
        <w:t>Hispanic cohorts.</w:t>
      </w:r>
    </w:p>
    <w:p w14:paraId="73674DB4"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lastRenderedPageBreak/>
        <w:t>rs10757278 (9p21): Regional atherosclerosis signal. Possible independent or LD-correlated signal. Similar magnitude to rs1333049. Mechanisms may overlap.</w:t>
      </w:r>
    </w:p>
    <w:p w14:paraId="5D1CF9C9" w14:textId="06C57EB5"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 xml:space="preserve">rs2075291 (APOA5): Lipid metabolism. APOA5 encodes apolipoprotein A5, </w:t>
      </w:r>
      <w:r w:rsidR="00A61FF7">
        <w:rPr>
          <w:rFonts w:asciiTheme="majorBidi" w:hAnsiTheme="majorBidi" w:cstheme="majorBidi"/>
          <w:sz w:val="28"/>
          <w:szCs w:val="28"/>
        </w:rPr>
        <w:t xml:space="preserve">which </w:t>
      </w:r>
      <w:r w:rsidRPr="00A61FF7">
        <w:rPr>
          <w:rFonts w:asciiTheme="majorBidi" w:hAnsiTheme="majorBidi" w:cstheme="majorBidi"/>
          <w:sz w:val="28"/>
          <w:szCs w:val="28"/>
        </w:rPr>
        <w:t xml:space="preserve">regulates lipoprotein lipase activity. Effect largely mediated through triglyceride levels. OR </w:t>
      </w:r>
      <w:r w:rsidR="00A61FF7">
        <w:rPr>
          <w:rFonts w:asciiTheme="majorBidi" w:hAnsiTheme="majorBidi" w:cstheme="majorBidi"/>
          <w:sz w:val="28"/>
          <w:szCs w:val="28"/>
        </w:rPr>
        <w:t>~1,14</w:t>
      </w:r>
      <w:r w:rsidRPr="00A61FF7">
        <w:rPr>
          <w:rFonts w:asciiTheme="majorBidi" w:hAnsiTheme="majorBidi" w:cstheme="majorBidi"/>
          <w:sz w:val="28"/>
          <w:szCs w:val="28"/>
        </w:rPr>
        <w:t xml:space="preserve"> per allele. Important in Asian populations with elevated TG phenotypes.</w:t>
      </w:r>
    </w:p>
    <w:p w14:paraId="3BA7768D"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rs4977574 (CDKN2A/B): Cell-cycle biology. OR ~1.15. Vascular smooth-muscle proliferation and remodeling.</w:t>
      </w:r>
    </w:p>
    <w:p w14:paraId="227BD398"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rs9349379 (PHACTR1): Endothelial function. OR ~1.12. Vascular tone regulation, endothelial barrier integrity.</w:t>
      </w:r>
    </w:p>
    <w:p w14:paraId="037135EE"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rs7173743 (ADAMTS7): Extracellular matrix remodeling. OR ~1.10. Matrix metalloproteinase activity, plaque stability.</w:t>
      </w:r>
    </w:p>
    <w:p w14:paraId="292E986B"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5.3 Data Collection and Phenotype Definition</w:t>
      </w:r>
    </w:p>
    <w:p w14:paraId="7B9A1A1B"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Demographic variables: Age at enrollment (years), Sex (male/female), Self-reported ethnicity, Ancestry (parental/grandparental origin), Years in India</w:t>
      </w:r>
    </w:p>
    <w:p w14:paraId="61E88AD2"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CAD-Related Variables: Age at disease onset, Type of CAD presentation (stable angina vs. acute MI), Number of diseased coronary vessels, Ejection fraction (if available), History of heart failure, Revascularization type (PCI vs. CABG vs. none)</w:t>
      </w:r>
    </w:p>
    <w:p w14:paraId="312294CC"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Clinical Risk Factors: Smoking status (never/former/current; pack-years if available), Diabetes mellitus (type, duration, treatment), Hypertension (duration, treatment), Obesity (BMI, waist circumference), Physical activity level</w:t>
      </w:r>
    </w:p>
    <w:p w14:paraId="16B32F47"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Laboratory Measures: Total cholesterol (mg/dL), LDL-C (mg/dL), HDL-C (mg/dL), Triglycerides (mg/dL), Glucose (fasting, mg/dL), HbA1c (%), High-sensitivity CRP (mg/L) if available, Lipoprotein(a) if available</w:t>
      </w:r>
    </w:p>
    <w:p w14:paraId="7329701C" w14:textId="77777777"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Family History: Premature CAD in first-degree relatives (age &lt;55 males, &lt;65 females), Other cardiovascular disease in family</w:t>
      </w:r>
    </w:p>
    <w:p w14:paraId="17BEE0A7"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5.4 Genotyping, Quality Control, and Data Validation</w:t>
      </w:r>
    </w:p>
    <w:p w14:paraId="10BD3186"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DNA extraction: High-molecular-weight DNA from whole blood using phenol-chloroform extraction, silica column methods, or DNA salting-out protocols. DNA concentration and purity assessed using spectrophotometry (A260/A280 ratio ≥1.8); samples with degradation excluded.</w:t>
      </w:r>
    </w:p>
    <w:p w14:paraId="4521A6C3" w14:textId="59FEFA50"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 xml:space="preserve">Genotyping platform: TaqMan SNP Genotyping Assays (Applied Biosystems) or </w:t>
      </w:r>
      <w:proofErr w:type="spellStart"/>
      <w:r w:rsidRPr="00A61FF7">
        <w:rPr>
          <w:rFonts w:asciiTheme="majorBidi" w:hAnsiTheme="majorBidi" w:cstheme="majorBidi"/>
          <w:sz w:val="28"/>
          <w:szCs w:val="28"/>
        </w:rPr>
        <w:t>Kompetitive</w:t>
      </w:r>
      <w:proofErr w:type="spellEnd"/>
      <w:r w:rsidRPr="00A61FF7">
        <w:rPr>
          <w:rFonts w:asciiTheme="majorBidi" w:hAnsiTheme="majorBidi" w:cstheme="majorBidi"/>
          <w:sz w:val="28"/>
          <w:szCs w:val="28"/>
        </w:rPr>
        <w:t xml:space="preserve"> Allele-Specific PCR (KASP, LGC Genomics). Platforms selected for: </w:t>
      </w:r>
      <w:r w:rsidRPr="00A61FF7">
        <w:rPr>
          <w:rFonts w:asciiTheme="majorBidi" w:hAnsiTheme="majorBidi" w:cstheme="majorBidi"/>
          <w:sz w:val="28"/>
          <w:szCs w:val="28"/>
        </w:rPr>
        <w:lastRenderedPageBreak/>
        <w:t xml:space="preserve">established accuracy, documented allele-calling algorithms, positive/negative controls per plate, </w:t>
      </w:r>
      <w:r w:rsidR="00A61FF7">
        <w:rPr>
          <w:rFonts w:asciiTheme="majorBidi" w:hAnsiTheme="majorBidi" w:cstheme="majorBidi"/>
          <w:sz w:val="28"/>
          <w:szCs w:val="28"/>
        </w:rPr>
        <w:t xml:space="preserve">and </w:t>
      </w:r>
      <w:r w:rsidRPr="00A61FF7">
        <w:rPr>
          <w:rFonts w:asciiTheme="majorBidi" w:hAnsiTheme="majorBidi" w:cstheme="majorBidi"/>
          <w:sz w:val="28"/>
          <w:szCs w:val="28"/>
        </w:rPr>
        <w:t>high-throughput capacity.</w:t>
      </w:r>
    </w:p>
    <w:p w14:paraId="370772D0" w14:textId="77777777"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Quality control benchmarks:</w:t>
      </w:r>
    </w:p>
    <w:p w14:paraId="33CC6596" w14:textId="77777777" w:rsidR="000D566E" w:rsidRPr="00A61FF7" w:rsidRDefault="00000000" w:rsidP="00A61FF7">
      <w:pPr>
        <w:pStyle w:val="ListParagraph"/>
        <w:numPr>
          <w:ilvl w:val="0"/>
          <w:numId w:val="2"/>
        </w:numPr>
        <w:spacing w:after="80"/>
        <w:jc w:val="both"/>
        <w:rPr>
          <w:rFonts w:asciiTheme="majorBidi" w:hAnsiTheme="majorBidi" w:cstheme="majorBidi"/>
          <w:sz w:val="28"/>
          <w:szCs w:val="28"/>
        </w:rPr>
      </w:pPr>
      <w:r w:rsidRPr="00A61FF7">
        <w:rPr>
          <w:rFonts w:asciiTheme="majorBidi" w:hAnsiTheme="majorBidi" w:cstheme="majorBidi"/>
          <w:sz w:val="28"/>
          <w:szCs w:val="28"/>
        </w:rPr>
        <w:t>Sample call rate ≥95%: genotype calls per sample</w:t>
      </w:r>
    </w:p>
    <w:p w14:paraId="43620508" w14:textId="77777777" w:rsidR="000D566E" w:rsidRPr="00A61FF7" w:rsidRDefault="00000000" w:rsidP="00A61FF7">
      <w:pPr>
        <w:pStyle w:val="ListParagraph"/>
        <w:numPr>
          <w:ilvl w:val="0"/>
          <w:numId w:val="2"/>
        </w:numPr>
        <w:spacing w:after="80"/>
        <w:jc w:val="both"/>
        <w:rPr>
          <w:rFonts w:asciiTheme="majorBidi" w:hAnsiTheme="majorBidi" w:cstheme="majorBidi"/>
          <w:sz w:val="28"/>
          <w:szCs w:val="28"/>
        </w:rPr>
      </w:pPr>
      <w:r w:rsidRPr="00A61FF7">
        <w:rPr>
          <w:rFonts w:asciiTheme="majorBidi" w:hAnsiTheme="majorBidi" w:cstheme="majorBidi"/>
          <w:sz w:val="28"/>
          <w:szCs w:val="28"/>
        </w:rPr>
        <w:t>SNP call rate ≥95-98%: samples successfully genotyped per SNP</w:t>
      </w:r>
    </w:p>
    <w:p w14:paraId="2267E012" w14:textId="77777777" w:rsidR="000D566E" w:rsidRPr="00A61FF7" w:rsidRDefault="00000000" w:rsidP="00A61FF7">
      <w:pPr>
        <w:pStyle w:val="ListParagraph"/>
        <w:numPr>
          <w:ilvl w:val="0"/>
          <w:numId w:val="2"/>
        </w:numPr>
        <w:spacing w:after="80"/>
        <w:jc w:val="both"/>
        <w:rPr>
          <w:rFonts w:asciiTheme="majorBidi" w:hAnsiTheme="majorBidi" w:cstheme="majorBidi"/>
          <w:sz w:val="28"/>
          <w:szCs w:val="28"/>
        </w:rPr>
      </w:pPr>
      <w:r w:rsidRPr="00A61FF7">
        <w:rPr>
          <w:rFonts w:asciiTheme="majorBidi" w:hAnsiTheme="majorBidi" w:cstheme="majorBidi"/>
          <w:sz w:val="28"/>
          <w:szCs w:val="28"/>
        </w:rPr>
        <w:t>Duplicate concordance ≥99%: identical genotypes in ≥5% replicate samples</w:t>
      </w:r>
    </w:p>
    <w:p w14:paraId="060BD60E" w14:textId="77777777" w:rsidR="000D566E" w:rsidRPr="00A61FF7" w:rsidRDefault="00000000" w:rsidP="00A61FF7">
      <w:pPr>
        <w:pStyle w:val="ListParagraph"/>
        <w:numPr>
          <w:ilvl w:val="0"/>
          <w:numId w:val="2"/>
        </w:numPr>
        <w:spacing w:after="80"/>
        <w:jc w:val="both"/>
        <w:rPr>
          <w:rFonts w:asciiTheme="majorBidi" w:hAnsiTheme="majorBidi" w:cstheme="majorBidi"/>
          <w:sz w:val="28"/>
          <w:szCs w:val="28"/>
        </w:rPr>
      </w:pPr>
      <w:r w:rsidRPr="00A61FF7">
        <w:rPr>
          <w:rFonts w:asciiTheme="majorBidi" w:hAnsiTheme="majorBidi" w:cstheme="majorBidi"/>
          <w:sz w:val="28"/>
          <w:szCs w:val="28"/>
        </w:rPr>
        <w:t>Hardy-Weinberg equilibrium in controls: p &gt; 0.001 acceptable</w:t>
      </w:r>
    </w:p>
    <w:p w14:paraId="0F1F7D74" w14:textId="77777777" w:rsidR="000D566E" w:rsidRPr="00A61FF7" w:rsidRDefault="00000000" w:rsidP="00A61FF7">
      <w:pPr>
        <w:pStyle w:val="ListParagraph"/>
        <w:numPr>
          <w:ilvl w:val="0"/>
          <w:numId w:val="2"/>
        </w:numPr>
        <w:spacing w:after="240"/>
        <w:jc w:val="both"/>
        <w:rPr>
          <w:rFonts w:asciiTheme="majorBidi" w:hAnsiTheme="majorBidi" w:cstheme="majorBidi"/>
          <w:sz w:val="28"/>
          <w:szCs w:val="28"/>
        </w:rPr>
      </w:pPr>
      <w:r w:rsidRPr="00A61FF7">
        <w:rPr>
          <w:rFonts w:asciiTheme="majorBidi" w:hAnsiTheme="majorBidi" w:cstheme="majorBidi"/>
          <w:sz w:val="28"/>
          <w:szCs w:val="28"/>
        </w:rPr>
        <w:t>Allele orientation: Concordant with prespecified reference sequences (e.g., 1000 Genomes Project)</w:t>
      </w:r>
    </w:p>
    <w:p w14:paraId="461C7E9E" w14:textId="50A38E71" w:rsidR="000D566E" w:rsidRPr="00A61FF7" w:rsidRDefault="00000000" w:rsidP="00A61FF7">
      <w:pPr>
        <w:spacing w:after="120"/>
        <w:jc w:val="both"/>
        <w:rPr>
          <w:rFonts w:asciiTheme="majorBidi" w:hAnsiTheme="majorBidi" w:cstheme="majorBidi"/>
          <w:sz w:val="28"/>
          <w:szCs w:val="28"/>
        </w:rPr>
      </w:pPr>
      <w:r w:rsidRPr="00A61FF7">
        <w:rPr>
          <w:rFonts w:asciiTheme="majorBidi" w:hAnsiTheme="majorBidi" w:cstheme="majorBidi"/>
          <w:sz w:val="28"/>
          <w:szCs w:val="28"/>
        </w:rPr>
        <w:t xml:space="preserve">Genotype coding: Additive model. Each SNP </w:t>
      </w:r>
      <w:r w:rsidR="00A61FF7">
        <w:rPr>
          <w:rFonts w:asciiTheme="majorBidi" w:hAnsiTheme="majorBidi" w:cstheme="majorBidi"/>
          <w:sz w:val="28"/>
          <w:szCs w:val="28"/>
        </w:rPr>
        <w:t xml:space="preserve">was </w:t>
      </w:r>
      <w:r w:rsidRPr="00A61FF7">
        <w:rPr>
          <w:rFonts w:asciiTheme="majorBidi" w:hAnsiTheme="majorBidi" w:cstheme="majorBidi"/>
          <w:sz w:val="28"/>
          <w:szCs w:val="28"/>
        </w:rPr>
        <w:t xml:space="preserve">coded as 0, 1, or 2 copies of </w:t>
      </w:r>
      <w:r w:rsidR="00A61FF7">
        <w:rPr>
          <w:rFonts w:asciiTheme="majorBidi" w:hAnsiTheme="majorBidi" w:cstheme="majorBidi"/>
          <w:sz w:val="28"/>
          <w:szCs w:val="28"/>
        </w:rPr>
        <w:t xml:space="preserve">the </w:t>
      </w:r>
      <w:r w:rsidRPr="00A61FF7">
        <w:rPr>
          <w:rFonts w:asciiTheme="majorBidi" w:hAnsiTheme="majorBidi" w:cstheme="majorBidi"/>
          <w:sz w:val="28"/>
          <w:szCs w:val="28"/>
        </w:rPr>
        <w:t xml:space="preserve">prespecified risk allele based on prior GWAS or derived from association direction in this study. Risk alleles </w:t>
      </w:r>
      <w:r w:rsidR="00A61FF7">
        <w:rPr>
          <w:rFonts w:asciiTheme="majorBidi" w:hAnsiTheme="majorBidi" w:cstheme="majorBidi"/>
          <w:sz w:val="28"/>
          <w:szCs w:val="28"/>
        </w:rPr>
        <w:t xml:space="preserve">are </w:t>
      </w:r>
      <w:r w:rsidRPr="00A61FF7">
        <w:rPr>
          <w:rFonts w:asciiTheme="majorBidi" w:hAnsiTheme="majorBidi" w:cstheme="majorBidi"/>
          <w:sz w:val="28"/>
          <w:szCs w:val="28"/>
        </w:rPr>
        <w:t>oriented consistently across all SNPs.</w:t>
      </w:r>
    </w:p>
    <w:p w14:paraId="4E324512" w14:textId="283B6ACD" w:rsidR="000D566E" w:rsidRPr="00A61FF7" w:rsidRDefault="00000000" w:rsidP="00A61FF7">
      <w:pPr>
        <w:spacing w:after="240"/>
        <w:jc w:val="both"/>
        <w:rPr>
          <w:rFonts w:asciiTheme="majorBidi" w:hAnsiTheme="majorBidi" w:cstheme="majorBidi"/>
          <w:sz w:val="28"/>
          <w:szCs w:val="28"/>
        </w:rPr>
      </w:pPr>
      <w:r w:rsidRPr="00A61FF7">
        <w:rPr>
          <w:rFonts w:asciiTheme="majorBidi" w:hAnsiTheme="majorBidi" w:cstheme="majorBidi"/>
          <w:sz w:val="28"/>
          <w:szCs w:val="28"/>
        </w:rPr>
        <w:t xml:space="preserve">Data validation: Checks for impossible values, outliers, </w:t>
      </w:r>
      <w:r w:rsidR="00A61FF7">
        <w:rPr>
          <w:rFonts w:asciiTheme="majorBidi" w:hAnsiTheme="majorBidi" w:cstheme="majorBidi"/>
          <w:sz w:val="28"/>
          <w:szCs w:val="28"/>
        </w:rPr>
        <w:t xml:space="preserve">and </w:t>
      </w:r>
      <w:r w:rsidRPr="00A61FF7">
        <w:rPr>
          <w:rFonts w:asciiTheme="majorBidi" w:hAnsiTheme="majorBidi" w:cstheme="majorBidi"/>
          <w:sz w:val="28"/>
          <w:szCs w:val="28"/>
        </w:rPr>
        <w:t>missing data patterns. Comparison of genotype frequencies to expected Hardy-Weinberg expectations. Review of allele frequencies in controls vs. published reference populations.</w:t>
      </w:r>
    </w:p>
    <w:p w14:paraId="79909CED" w14:textId="77777777" w:rsidR="000D566E" w:rsidRPr="00A61FF7" w:rsidRDefault="00000000" w:rsidP="00A61FF7">
      <w:pPr>
        <w:jc w:val="both"/>
        <w:rPr>
          <w:rFonts w:asciiTheme="majorBidi" w:hAnsiTheme="majorBidi" w:cstheme="majorBidi"/>
          <w:sz w:val="28"/>
          <w:szCs w:val="28"/>
        </w:rPr>
      </w:pPr>
      <w:r w:rsidRPr="00A61FF7">
        <w:rPr>
          <w:rFonts w:asciiTheme="majorBidi" w:hAnsiTheme="majorBidi" w:cstheme="majorBidi"/>
          <w:sz w:val="28"/>
          <w:szCs w:val="28"/>
        </w:rPr>
        <w:br w:type="page"/>
      </w:r>
    </w:p>
    <w:p w14:paraId="3BE124B0"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lastRenderedPageBreak/>
        <w:t>5.5 Statistical Analysis Framework</w:t>
      </w:r>
    </w:p>
    <w:p w14:paraId="47493FB1" w14:textId="51D1D121"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Descriptive analysis: Case and control groups compared using Student's t-tests (continuous variables) or chi-square tests (categorical variables). Allele frequencies calculated as (2×homozygous count + heterozygous count) / (2×total sample size). Genotype frequencies </w:t>
      </w:r>
      <w:r w:rsidR="00A61FF7" w:rsidRPr="00E21100">
        <w:rPr>
          <w:rFonts w:asciiTheme="majorBidi" w:hAnsiTheme="majorBidi" w:cstheme="majorBidi"/>
          <w:sz w:val="28"/>
          <w:szCs w:val="28"/>
        </w:rPr>
        <w:t xml:space="preserve">were </w:t>
      </w:r>
      <w:r w:rsidRPr="00E21100">
        <w:rPr>
          <w:rFonts w:asciiTheme="majorBidi" w:hAnsiTheme="majorBidi" w:cstheme="majorBidi"/>
          <w:sz w:val="28"/>
          <w:szCs w:val="28"/>
        </w:rPr>
        <w:t>compared using chi-square or Fisher's exact tests.</w:t>
      </w:r>
    </w:p>
    <w:p w14:paraId="601D3547"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Hardy-Weinberg equilibrium: Chi-square test in controls. Under HWE with allele frequency p, expected genotype frequencies: p² (homozygous), 2p(1-p) (heterozygous), (1-p)² (homozygous alternate).</w:t>
      </w:r>
    </w:p>
    <w:p w14:paraId="5B91C5AD" w14:textId="5B71A14E"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Primary Analysis - Logistic Regression: Multiple logistic regression models with </w:t>
      </w:r>
      <w:r w:rsidR="00A61FF7" w:rsidRPr="00E21100">
        <w:rPr>
          <w:rFonts w:asciiTheme="majorBidi" w:hAnsiTheme="majorBidi" w:cstheme="majorBidi"/>
          <w:sz w:val="28"/>
          <w:szCs w:val="28"/>
        </w:rPr>
        <w:t xml:space="preserve">a </w:t>
      </w:r>
      <w:r w:rsidRPr="00E21100">
        <w:rPr>
          <w:rFonts w:asciiTheme="majorBidi" w:hAnsiTheme="majorBidi" w:cstheme="majorBidi"/>
          <w:sz w:val="28"/>
          <w:szCs w:val="28"/>
        </w:rPr>
        <w:t>binary outcome (CAD yes/no). Models constructed with increasing covariate adjustment:</w:t>
      </w:r>
    </w:p>
    <w:p w14:paraId="0259525F"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Model 1 (Unadjusted): CAD ~ SNP</w:t>
      </w:r>
    </w:p>
    <w:p w14:paraId="37B9B5CB"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Model 2 (Minimally adjusted): CAD ~ SNP + age + sex</w:t>
      </w:r>
    </w:p>
    <w:p w14:paraId="6A7FF7D3"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Model 3 (Intermediate): + smoking + diabetes + hypertension</w:t>
      </w:r>
    </w:p>
    <w:p w14:paraId="4A534AA5" w14:textId="77777777" w:rsidR="000D566E" w:rsidRPr="00E21100" w:rsidRDefault="00000000" w:rsidP="00E21100">
      <w:pPr>
        <w:pStyle w:val="ListParagraph"/>
        <w:numPr>
          <w:ilvl w:val="0"/>
          <w:numId w:val="2"/>
        </w:numPr>
        <w:spacing w:after="240"/>
        <w:jc w:val="both"/>
        <w:rPr>
          <w:rFonts w:asciiTheme="majorBidi" w:hAnsiTheme="majorBidi" w:cstheme="majorBidi"/>
          <w:sz w:val="28"/>
          <w:szCs w:val="28"/>
        </w:rPr>
      </w:pPr>
      <w:r w:rsidRPr="00E21100">
        <w:rPr>
          <w:rFonts w:asciiTheme="majorBidi" w:hAnsiTheme="majorBidi" w:cstheme="majorBidi"/>
          <w:sz w:val="28"/>
          <w:szCs w:val="28"/>
        </w:rPr>
        <w:t>Model 4 (Full): + lipid profile + family history (primary model)</w:t>
      </w:r>
    </w:p>
    <w:p w14:paraId="7863727B"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Effect estimation: Odds ratios (ORs) calculated as OR = e^(β) where β is the logistic regression coefficient. 95% confidence intervals: [e^(β-1.96×SE), e^(β+1.96×SE)]. Interpretation: OR of 1.15 = 15% increase in odds per additional risk allele.</w:t>
      </w:r>
    </w:p>
    <w:p w14:paraId="1A2BD105" w14:textId="03D216AE"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Multiple testing correction: Bonferroni adjustment for six independent SNPs: adjusted α = 0.05/6 ≈ 0.0083. Associations meeting this threshold </w:t>
      </w:r>
      <w:r w:rsidR="00A61FF7" w:rsidRPr="00E21100">
        <w:rPr>
          <w:rFonts w:asciiTheme="majorBidi" w:hAnsiTheme="majorBidi" w:cstheme="majorBidi"/>
          <w:sz w:val="28"/>
          <w:szCs w:val="28"/>
        </w:rPr>
        <w:t xml:space="preserve">are </w:t>
      </w:r>
      <w:r w:rsidRPr="00E21100">
        <w:rPr>
          <w:rFonts w:asciiTheme="majorBidi" w:hAnsiTheme="majorBidi" w:cstheme="majorBidi"/>
          <w:sz w:val="28"/>
          <w:szCs w:val="28"/>
        </w:rPr>
        <w:t xml:space="preserve">considered statistically significant. Nominal associations (0.0083 &lt; p &lt; 0.05) </w:t>
      </w:r>
      <w:r w:rsidR="00A61FF7" w:rsidRPr="00E21100">
        <w:rPr>
          <w:rFonts w:asciiTheme="majorBidi" w:hAnsiTheme="majorBidi" w:cstheme="majorBidi"/>
          <w:sz w:val="28"/>
          <w:szCs w:val="28"/>
        </w:rPr>
        <w:t xml:space="preserve">were </w:t>
      </w:r>
      <w:r w:rsidRPr="00E21100">
        <w:rPr>
          <w:rFonts w:asciiTheme="majorBidi" w:hAnsiTheme="majorBidi" w:cstheme="majorBidi"/>
          <w:sz w:val="28"/>
          <w:szCs w:val="28"/>
        </w:rPr>
        <w:t xml:space="preserve">described as exploratory. False discovery rate (FDR) correction </w:t>
      </w:r>
      <w:r w:rsidR="00A61FF7" w:rsidRPr="00E21100">
        <w:rPr>
          <w:rFonts w:asciiTheme="majorBidi" w:hAnsiTheme="majorBidi" w:cstheme="majorBidi"/>
          <w:sz w:val="28"/>
          <w:szCs w:val="28"/>
        </w:rPr>
        <w:t xml:space="preserve">is </w:t>
      </w:r>
      <w:r w:rsidRPr="00E21100">
        <w:rPr>
          <w:rFonts w:asciiTheme="majorBidi" w:hAnsiTheme="majorBidi" w:cstheme="majorBidi"/>
          <w:sz w:val="28"/>
          <w:szCs w:val="28"/>
        </w:rPr>
        <w:t xml:space="preserve">also computed as </w:t>
      </w:r>
      <w:r w:rsidR="00A61FF7" w:rsidRPr="00E21100">
        <w:rPr>
          <w:rFonts w:asciiTheme="majorBidi" w:hAnsiTheme="majorBidi" w:cstheme="majorBidi"/>
          <w:sz w:val="28"/>
          <w:szCs w:val="28"/>
        </w:rPr>
        <w:t xml:space="preserve">a </w:t>
      </w:r>
      <w:r w:rsidRPr="00E21100">
        <w:rPr>
          <w:rFonts w:asciiTheme="majorBidi" w:hAnsiTheme="majorBidi" w:cstheme="majorBidi"/>
          <w:sz w:val="28"/>
          <w:szCs w:val="28"/>
        </w:rPr>
        <w:t>secondary approach.</w:t>
      </w:r>
    </w:p>
    <w:p w14:paraId="1DFE7BDE" w14:textId="509C0A4A"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All analyses </w:t>
      </w:r>
      <w:r w:rsidR="00A61FF7" w:rsidRPr="00E21100">
        <w:rPr>
          <w:rFonts w:asciiTheme="majorBidi" w:hAnsiTheme="majorBidi" w:cstheme="majorBidi"/>
          <w:sz w:val="28"/>
          <w:szCs w:val="28"/>
        </w:rPr>
        <w:t xml:space="preserve">were </w:t>
      </w:r>
      <w:r w:rsidRPr="00E21100">
        <w:rPr>
          <w:rFonts w:asciiTheme="majorBidi" w:hAnsiTheme="majorBidi" w:cstheme="majorBidi"/>
          <w:sz w:val="28"/>
          <w:szCs w:val="28"/>
        </w:rPr>
        <w:t xml:space="preserve">conducted in R (version ≥4.0) using </w:t>
      </w:r>
      <w:r w:rsidR="00A61FF7" w:rsidRPr="00E21100">
        <w:rPr>
          <w:rFonts w:asciiTheme="majorBidi" w:hAnsiTheme="majorBidi" w:cstheme="majorBidi"/>
          <w:sz w:val="28"/>
          <w:szCs w:val="28"/>
        </w:rPr>
        <w:t xml:space="preserve">the </w:t>
      </w:r>
      <w:r w:rsidRPr="00E21100">
        <w:rPr>
          <w:rFonts w:asciiTheme="majorBidi" w:hAnsiTheme="majorBidi" w:cstheme="majorBidi"/>
          <w:sz w:val="28"/>
          <w:szCs w:val="28"/>
        </w:rPr>
        <w:t>'</w:t>
      </w:r>
      <w:proofErr w:type="spellStart"/>
      <w:r w:rsidRPr="00E21100">
        <w:rPr>
          <w:rFonts w:asciiTheme="majorBidi" w:hAnsiTheme="majorBidi" w:cstheme="majorBidi"/>
          <w:sz w:val="28"/>
          <w:szCs w:val="28"/>
        </w:rPr>
        <w:t>glm</w:t>
      </w:r>
      <w:proofErr w:type="spellEnd"/>
      <w:r w:rsidRPr="00E21100">
        <w:rPr>
          <w:rFonts w:asciiTheme="majorBidi" w:hAnsiTheme="majorBidi" w:cstheme="majorBidi"/>
          <w:sz w:val="28"/>
          <w:szCs w:val="28"/>
        </w:rPr>
        <w:t>' function with 'family=binomial(link="logit")', '</w:t>
      </w:r>
      <w:proofErr w:type="spellStart"/>
      <w:r w:rsidRPr="00E21100">
        <w:rPr>
          <w:rFonts w:asciiTheme="majorBidi" w:hAnsiTheme="majorBidi" w:cstheme="majorBidi"/>
          <w:sz w:val="28"/>
          <w:szCs w:val="28"/>
        </w:rPr>
        <w:t>lrm</w:t>
      </w:r>
      <w:proofErr w:type="spellEnd"/>
      <w:r w:rsidRPr="00E21100">
        <w:rPr>
          <w:rFonts w:asciiTheme="majorBidi" w:hAnsiTheme="majorBidi" w:cstheme="majorBidi"/>
          <w:sz w:val="28"/>
          <w:szCs w:val="28"/>
        </w:rPr>
        <w:t xml:space="preserve">' function from </w:t>
      </w:r>
      <w:r w:rsidR="00E21100" w:rsidRPr="00E21100">
        <w:rPr>
          <w:rFonts w:asciiTheme="majorBidi" w:hAnsiTheme="majorBidi" w:cstheme="majorBidi"/>
          <w:sz w:val="28"/>
          <w:szCs w:val="28"/>
        </w:rPr>
        <w:t xml:space="preserve">the </w:t>
      </w:r>
      <w:r w:rsidRPr="00E21100">
        <w:rPr>
          <w:rFonts w:asciiTheme="majorBidi" w:hAnsiTheme="majorBidi" w:cstheme="majorBidi"/>
          <w:sz w:val="28"/>
          <w:szCs w:val="28"/>
        </w:rPr>
        <w:t>rms package, or equivalent statistical software. Code reproducible and documented.</w:t>
      </w:r>
    </w:p>
    <w:p w14:paraId="46E2BF53"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5.6 Polygenic Risk Score Construction and Validation</w:t>
      </w:r>
    </w:p>
    <w:p w14:paraId="03D2BE87"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PRS Formula: Weighted sum across six SNPs:</w:t>
      </w:r>
    </w:p>
    <w:p w14:paraId="46E3FFAF" w14:textId="77777777" w:rsidR="000D566E" w:rsidRPr="00E21100" w:rsidRDefault="00000000" w:rsidP="00E21100">
      <w:pPr>
        <w:pBdr>
          <w:bottom w:val="single" w:sz="1" w:space="0" w:color="CCCCCC"/>
        </w:pBdr>
        <w:spacing w:after="120"/>
        <w:jc w:val="both"/>
        <w:rPr>
          <w:rFonts w:asciiTheme="majorBidi" w:hAnsiTheme="majorBidi" w:cstheme="majorBidi"/>
          <w:sz w:val="28"/>
          <w:szCs w:val="28"/>
        </w:rPr>
      </w:pPr>
      <w:proofErr w:type="spellStart"/>
      <w:r w:rsidRPr="00E21100">
        <w:rPr>
          <w:rFonts w:asciiTheme="majorBidi" w:hAnsiTheme="majorBidi" w:cstheme="majorBidi"/>
          <w:i/>
          <w:iCs/>
          <w:sz w:val="28"/>
          <w:szCs w:val="28"/>
        </w:rPr>
        <w:t>PRS_i</w:t>
      </w:r>
      <w:proofErr w:type="spellEnd"/>
      <w:r w:rsidRPr="00E21100">
        <w:rPr>
          <w:rFonts w:asciiTheme="majorBidi" w:hAnsiTheme="majorBidi" w:cstheme="majorBidi"/>
          <w:i/>
          <w:iCs/>
          <w:sz w:val="28"/>
          <w:szCs w:val="28"/>
        </w:rPr>
        <w:t xml:space="preserve"> = sum[</w:t>
      </w:r>
      <w:proofErr w:type="spellStart"/>
      <w:r w:rsidRPr="00E21100">
        <w:rPr>
          <w:rFonts w:asciiTheme="majorBidi" w:hAnsiTheme="majorBidi" w:cstheme="majorBidi"/>
          <w:i/>
          <w:iCs/>
          <w:sz w:val="28"/>
          <w:szCs w:val="28"/>
        </w:rPr>
        <w:t>w_j</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G_ij</w:t>
      </w:r>
      <w:proofErr w:type="spellEnd"/>
      <w:r w:rsidRPr="00E21100">
        <w:rPr>
          <w:rFonts w:asciiTheme="majorBidi" w:hAnsiTheme="majorBidi" w:cstheme="majorBidi"/>
          <w:i/>
          <w:iCs/>
          <w:sz w:val="28"/>
          <w:szCs w:val="28"/>
        </w:rPr>
        <w:t>] for j=1 to 6</w:t>
      </w:r>
    </w:p>
    <w:p w14:paraId="33D4B0B8"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where </w:t>
      </w:r>
      <w:proofErr w:type="spellStart"/>
      <w:r w:rsidRPr="00E21100">
        <w:rPr>
          <w:rFonts w:asciiTheme="majorBidi" w:hAnsiTheme="majorBidi" w:cstheme="majorBidi"/>
          <w:sz w:val="28"/>
          <w:szCs w:val="28"/>
        </w:rPr>
        <w:t>w_j</w:t>
      </w:r>
      <w:proofErr w:type="spellEnd"/>
      <w:r w:rsidRPr="00E21100">
        <w:rPr>
          <w:rFonts w:asciiTheme="majorBidi" w:hAnsiTheme="majorBidi" w:cstheme="majorBidi"/>
          <w:sz w:val="28"/>
          <w:szCs w:val="28"/>
        </w:rPr>
        <w:t xml:space="preserve"> = weight for SNP j, </w:t>
      </w:r>
      <w:proofErr w:type="spellStart"/>
      <w:r w:rsidRPr="00E21100">
        <w:rPr>
          <w:rFonts w:asciiTheme="majorBidi" w:hAnsiTheme="majorBidi" w:cstheme="majorBidi"/>
          <w:sz w:val="28"/>
          <w:szCs w:val="28"/>
        </w:rPr>
        <w:t>G_ij</w:t>
      </w:r>
      <w:proofErr w:type="spellEnd"/>
      <w:r w:rsidRPr="00E21100">
        <w:rPr>
          <w:rFonts w:asciiTheme="majorBidi" w:hAnsiTheme="majorBidi" w:cstheme="majorBidi"/>
          <w:sz w:val="28"/>
          <w:szCs w:val="28"/>
        </w:rPr>
        <w:t xml:space="preserve"> = genotype dosage (0,1,2 risk alleles) for individual </w:t>
      </w:r>
      <w:proofErr w:type="spellStart"/>
      <w:r w:rsidRPr="00E21100">
        <w:rPr>
          <w:rFonts w:asciiTheme="majorBidi" w:hAnsiTheme="majorBidi" w:cstheme="majorBidi"/>
          <w:sz w:val="28"/>
          <w:szCs w:val="28"/>
        </w:rPr>
        <w:t>i</w:t>
      </w:r>
      <w:proofErr w:type="spellEnd"/>
      <w:r w:rsidRPr="00E21100">
        <w:rPr>
          <w:rFonts w:asciiTheme="majorBidi" w:hAnsiTheme="majorBidi" w:cstheme="majorBidi"/>
          <w:sz w:val="28"/>
          <w:szCs w:val="28"/>
        </w:rPr>
        <w:t xml:space="preserve"> at SNP j.</w:t>
      </w:r>
    </w:p>
    <w:p w14:paraId="018C5C03"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Weighting schemes evaluated:</w:t>
      </w:r>
    </w:p>
    <w:p w14:paraId="00B2986A"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lastRenderedPageBreak/>
        <w:t xml:space="preserve">Scheme 1 - Study-derived: </w:t>
      </w:r>
      <w:proofErr w:type="spellStart"/>
      <w:r w:rsidRPr="00E21100">
        <w:rPr>
          <w:rFonts w:asciiTheme="majorBidi" w:hAnsiTheme="majorBidi" w:cstheme="majorBidi"/>
          <w:sz w:val="28"/>
          <w:szCs w:val="28"/>
        </w:rPr>
        <w:t>w_j</w:t>
      </w:r>
      <w:proofErr w:type="spellEnd"/>
      <w:r w:rsidRPr="00E21100">
        <w:rPr>
          <w:rFonts w:asciiTheme="majorBidi" w:hAnsiTheme="majorBidi" w:cstheme="majorBidi"/>
          <w:sz w:val="28"/>
          <w:szCs w:val="28"/>
        </w:rPr>
        <w:t xml:space="preserve"> = β_j (logistic regression coefficient from this study)</w:t>
      </w:r>
    </w:p>
    <w:p w14:paraId="5E8DCC43"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Scheme 2 - Log OR: </w:t>
      </w:r>
      <w:proofErr w:type="spellStart"/>
      <w:r w:rsidRPr="00E21100">
        <w:rPr>
          <w:rFonts w:asciiTheme="majorBidi" w:hAnsiTheme="majorBidi" w:cstheme="majorBidi"/>
          <w:sz w:val="28"/>
          <w:szCs w:val="28"/>
        </w:rPr>
        <w:t>w_j</w:t>
      </w:r>
      <w:proofErr w:type="spellEnd"/>
      <w:r w:rsidRPr="00E21100">
        <w:rPr>
          <w:rFonts w:asciiTheme="majorBidi" w:hAnsiTheme="majorBidi" w:cstheme="majorBidi"/>
          <w:sz w:val="28"/>
          <w:szCs w:val="28"/>
        </w:rPr>
        <w:t xml:space="preserve"> = log(</w:t>
      </w:r>
      <w:proofErr w:type="spellStart"/>
      <w:r w:rsidRPr="00E21100">
        <w:rPr>
          <w:rFonts w:asciiTheme="majorBidi" w:hAnsiTheme="majorBidi" w:cstheme="majorBidi"/>
          <w:sz w:val="28"/>
          <w:szCs w:val="28"/>
        </w:rPr>
        <w:t>OR_j</w:t>
      </w:r>
      <w:proofErr w:type="spellEnd"/>
      <w:r w:rsidRPr="00E21100">
        <w:rPr>
          <w:rFonts w:asciiTheme="majorBidi" w:hAnsiTheme="majorBidi" w:cstheme="majorBidi"/>
          <w:sz w:val="28"/>
          <w:szCs w:val="28"/>
        </w:rPr>
        <w:t>) from this study or published meta-analysis</w:t>
      </w:r>
    </w:p>
    <w:p w14:paraId="00E1FCB2" w14:textId="77777777" w:rsidR="000D566E" w:rsidRPr="00E21100" w:rsidRDefault="00000000" w:rsidP="00E21100">
      <w:pPr>
        <w:pStyle w:val="ListParagraph"/>
        <w:numPr>
          <w:ilvl w:val="0"/>
          <w:numId w:val="2"/>
        </w:num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Scheme 3 - Standardized: </w:t>
      </w:r>
      <w:proofErr w:type="spellStart"/>
      <w:r w:rsidRPr="00E21100">
        <w:rPr>
          <w:rFonts w:asciiTheme="majorBidi" w:hAnsiTheme="majorBidi" w:cstheme="majorBidi"/>
          <w:sz w:val="28"/>
          <w:szCs w:val="28"/>
        </w:rPr>
        <w:t>w_j</w:t>
      </w:r>
      <w:proofErr w:type="spellEnd"/>
      <w:r w:rsidRPr="00E21100">
        <w:rPr>
          <w:rFonts w:asciiTheme="majorBidi" w:hAnsiTheme="majorBidi" w:cstheme="majorBidi"/>
          <w:sz w:val="28"/>
          <w:szCs w:val="28"/>
        </w:rPr>
        <w:t xml:space="preserve"> = log(</w:t>
      </w:r>
      <w:proofErr w:type="spellStart"/>
      <w:r w:rsidRPr="00E21100">
        <w:rPr>
          <w:rFonts w:asciiTheme="majorBidi" w:hAnsiTheme="majorBidi" w:cstheme="majorBidi"/>
          <w:sz w:val="28"/>
          <w:szCs w:val="28"/>
        </w:rPr>
        <w:t>OR_j</w:t>
      </w:r>
      <w:proofErr w:type="spellEnd"/>
      <w:r w:rsidRPr="00E21100">
        <w:rPr>
          <w:rFonts w:asciiTheme="majorBidi" w:hAnsiTheme="majorBidi" w:cstheme="majorBidi"/>
          <w:sz w:val="28"/>
          <w:szCs w:val="28"/>
        </w:rPr>
        <w:t>) / SD(PRS in controls)</w:t>
      </w:r>
    </w:p>
    <w:p w14:paraId="78A7F56E"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PRS Performance Assessment:</w:t>
      </w:r>
    </w:p>
    <w:p w14:paraId="5E7F62B7"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Receiver Operating Characteristic (ROC) curve: sensitivity vs. 1-specificity plotted across PRS thresholds</w:t>
      </w:r>
    </w:p>
    <w:p w14:paraId="57FADF1F"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Area Under the Curve (AUC): Overall discrimination measure (0.5=no discrimination, 1.0=perfect)</w:t>
      </w:r>
    </w:p>
    <w:p w14:paraId="4E4E7D88"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Calibration: Calibration slope (ideal=1.0), Hosmer-</w:t>
      </w:r>
      <w:proofErr w:type="spellStart"/>
      <w:r w:rsidRPr="00E21100">
        <w:rPr>
          <w:rFonts w:asciiTheme="majorBidi" w:hAnsiTheme="majorBidi" w:cstheme="majorBidi"/>
          <w:sz w:val="28"/>
          <w:szCs w:val="28"/>
        </w:rPr>
        <w:t>Lemeshow</w:t>
      </w:r>
      <w:proofErr w:type="spellEnd"/>
      <w:r w:rsidRPr="00E21100">
        <w:rPr>
          <w:rFonts w:asciiTheme="majorBidi" w:hAnsiTheme="majorBidi" w:cstheme="majorBidi"/>
          <w:sz w:val="28"/>
          <w:szCs w:val="28"/>
        </w:rPr>
        <w:t xml:space="preserve"> test</w:t>
      </w:r>
    </w:p>
    <w:p w14:paraId="34329902" w14:textId="77777777" w:rsidR="000D566E" w:rsidRPr="00E21100" w:rsidRDefault="00000000" w:rsidP="00E21100">
      <w:pPr>
        <w:pStyle w:val="ListParagraph"/>
        <w:numPr>
          <w:ilvl w:val="0"/>
          <w:numId w:val="2"/>
        </w:numPr>
        <w:spacing w:after="120"/>
        <w:jc w:val="both"/>
        <w:rPr>
          <w:rFonts w:asciiTheme="majorBidi" w:hAnsiTheme="majorBidi" w:cstheme="majorBidi"/>
          <w:sz w:val="28"/>
          <w:szCs w:val="28"/>
        </w:rPr>
      </w:pPr>
      <w:r w:rsidRPr="00E21100">
        <w:rPr>
          <w:rFonts w:asciiTheme="majorBidi" w:hAnsiTheme="majorBidi" w:cstheme="majorBidi"/>
          <w:sz w:val="28"/>
          <w:szCs w:val="28"/>
        </w:rPr>
        <w:t>Risk stratification: CAD prevalence in PRS quintiles</w:t>
      </w:r>
    </w:p>
    <w:p w14:paraId="1424A9F6" w14:textId="5246E146"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Internal Validation: To prevent overfitting bias, cross-validation </w:t>
      </w:r>
      <w:r w:rsidR="00E21100" w:rsidRPr="00E21100">
        <w:rPr>
          <w:rFonts w:asciiTheme="majorBidi" w:hAnsiTheme="majorBidi" w:cstheme="majorBidi"/>
          <w:sz w:val="28"/>
          <w:szCs w:val="28"/>
        </w:rPr>
        <w:t xml:space="preserve">was </w:t>
      </w:r>
      <w:r w:rsidRPr="00E21100">
        <w:rPr>
          <w:rFonts w:asciiTheme="majorBidi" w:hAnsiTheme="majorBidi" w:cstheme="majorBidi"/>
          <w:sz w:val="28"/>
          <w:szCs w:val="28"/>
        </w:rPr>
        <w:t>performed: Dataset randomly partitioned into k folds (k=5 or 10). PRS weights re-estimated in training folds; performance evaluated in held-out test folds. Final reported metrics = mean across k iterations.</w:t>
      </w:r>
    </w:p>
    <w:p w14:paraId="5D98F9BD" w14:textId="006B893C"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Interpretation Boundary: PRS </w:t>
      </w:r>
      <w:r w:rsidR="00E21100" w:rsidRPr="00E21100">
        <w:rPr>
          <w:rFonts w:asciiTheme="majorBidi" w:hAnsiTheme="majorBidi" w:cstheme="majorBidi"/>
          <w:sz w:val="28"/>
          <w:szCs w:val="28"/>
        </w:rPr>
        <w:t xml:space="preserve">is </w:t>
      </w:r>
      <w:r w:rsidRPr="00E21100">
        <w:rPr>
          <w:rFonts w:asciiTheme="majorBidi" w:hAnsiTheme="majorBidi" w:cstheme="majorBidi"/>
          <w:sz w:val="28"/>
          <w:szCs w:val="28"/>
        </w:rPr>
        <w:t xml:space="preserve">explicitly described as </w:t>
      </w:r>
      <w:r w:rsidR="00E21100" w:rsidRPr="00E21100">
        <w:rPr>
          <w:rFonts w:asciiTheme="majorBidi" w:hAnsiTheme="majorBidi" w:cstheme="majorBidi"/>
          <w:sz w:val="28"/>
          <w:szCs w:val="28"/>
        </w:rPr>
        <w:t xml:space="preserve">a </w:t>
      </w:r>
      <w:r w:rsidRPr="00E21100">
        <w:rPr>
          <w:rFonts w:asciiTheme="majorBidi" w:hAnsiTheme="majorBidi" w:cstheme="majorBidi"/>
          <w:sz w:val="28"/>
          <w:szCs w:val="28"/>
        </w:rPr>
        <w:t xml:space="preserve">research-grade exploratory tool. NOT presented as </w:t>
      </w:r>
      <w:r w:rsidR="00E21100" w:rsidRPr="00E21100">
        <w:rPr>
          <w:rFonts w:asciiTheme="majorBidi" w:hAnsiTheme="majorBidi" w:cstheme="majorBidi"/>
          <w:sz w:val="28"/>
          <w:szCs w:val="28"/>
        </w:rPr>
        <w:t xml:space="preserve">a </w:t>
      </w:r>
      <w:r w:rsidRPr="00E21100">
        <w:rPr>
          <w:rFonts w:asciiTheme="majorBidi" w:hAnsiTheme="majorBidi" w:cstheme="majorBidi"/>
          <w:sz w:val="28"/>
          <w:szCs w:val="28"/>
        </w:rPr>
        <w:t>clinical diagnostic or prediction tool. Requires external validation before any clinical application.</w:t>
      </w:r>
    </w:p>
    <w:p w14:paraId="50B1AA6A"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5.7 Sensitivity Analyses and Bias Control</w:t>
      </w:r>
    </w:p>
    <w:p w14:paraId="4AE38DC8"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Planned sensitivity analyses:</w:t>
      </w:r>
    </w:p>
    <w:p w14:paraId="16C3135E"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Alternative covariate sets: Compare models with/without lipids, family history, individual vs. combined smoking/diabetes</w:t>
      </w:r>
    </w:p>
    <w:p w14:paraId="54CAAB3A"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Missing data handling: Complete-case vs. multiple imputation</w:t>
      </w:r>
    </w:p>
    <w:p w14:paraId="7E17C51B"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Outlier assessment: Influence diagnostics identifying high-leverage observations</w:t>
      </w:r>
    </w:p>
    <w:p w14:paraId="70F1925E"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Subgroup analysis: Age stratification (&lt;50 vs. ≥50 years), sex-stratified analysis, early-onset CAD (&lt;45 years)</w:t>
      </w:r>
    </w:p>
    <w:p w14:paraId="7E892033" w14:textId="4E2ED51F" w:rsidR="000D566E" w:rsidRPr="00E21100" w:rsidRDefault="00000000" w:rsidP="00E21100">
      <w:pPr>
        <w:pStyle w:val="ListParagraph"/>
        <w:numPr>
          <w:ilvl w:val="0"/>
          <w:numId w:val="2"/>
        </w:num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Population stratification: Ancestry-adjusted models if ancestry-informative markers or principal components </w:t>
      </w:r>
      <w:r w:rsidR="00E21100" w:rsidRPr="00E21100">
        <w:rPr>
          <w:rFonts w:asciiTheme="majorBidi" w:hAnsiTheme="majorBidi" w:cstheme="majorBidi"/>
          <w:sz w:val="28"/>
          <w:szCs w:val="28"/>
        </w:rPr>
        <w:t xml:space="preserve">are </w:t>
      </w:r>
      <w:r w:rsidRPr="00E21100">
        <w:rPr>
          <w:rFonts w:asciiTheme="majorBidi" w:hAnsiTheme="majorBidi" w:cstheme="majorBidi"/>
          <w:sz w:val="28"/>
          <w:szCs w:val="28"/>
        </w:rPr>
        <w:t>available</w:t>
      </w:r>
    </w:p>
    <w:p w14:paraId="6DA52EB3" w14:textId="77777777" w:rsidR="000D566E" w:rsidRPr="00E21100" w:rsidRDefault="00000000" w:rsidP="00E21100">
      <w:pPr>
        <w:jc w:val="both"/>
        <w:rPr>
          <w:rFonts w:asciiTheme="majorBidi" w:hAnsiTheme="majorBidi" w:cstheme="majorBidi"/>
          <w:sz w:val="28"/>
          <w:szCs w:val="28"/>
        </w:rPr>
      </w:pPr>
      <w:r w:rsidRPr="00E21100">
        <w:rPr>
          <w:rFonts w:asciiTheme="majorBidi" w:hAnsiTheme="majorBidi" w:cstheme="majorBidi"/>
          <w:sz w:val="28"/>
          <w:szCs w:val="28"/>
        </w:rPr>
        <w:br w:type="page"/>
      </w:r>
    </w:p>
    <w:p w14:paraId="74FD71B3"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6. SAMPLE SIZE JUSTIFICATION AND STATISTICAL POWER</w:t>
      </w:r>
    </w:p>
    <w:p w14:paraId="39FFD6CA"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Target sample size: 1,000 CAD cases + 1,000 controls = 2,000 total</w:t>
      </w:r>
    </w:p>
    <w:p w14:paraId="26DFD97A"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Power calculations based on assumptions: Disease prevalence 5%, Minor allele frequency 30-40%, Additive genetic model, Two-sided α=0.05, Assumes independence between SNPs.</w:t>
      </w:r>
    </w:p>
    <w:p w14:paraId="74A6EBD8"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With 2,000 subjects (1,000 cases):</w:t>
      </w:r>
    </w:p>
    <w:p w14:paraId="42B2A518"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Power to detect OR=1.20 per allele: ~97%</w:t>
      </w:r>
    </w:p>
    <w:p w14:paraId="5A746BA6"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Power to detect OR=1.15 per allele: ~80%</w:t>
      </w:r>
    </w:p>
    <w:p w14:paraId="3F52A8A7" w14:textId="77777777" w:rsidR="000D566E" w:rsidRPr="00E21100" w:rsidRDefault="00000000" w:rsidP="00E21100">
      <w:pPr>
        <w:pStyle w:val="ListParagraph"/>
        <w:numPr>
          <w:ilvl w:val="0"/>
          <w:numId w:val="2"/>
        </w:numPr>
        <w:spacing w:after="80"/>
        <w:jc w:val="both"/>
        <w:rPr>
          <w:rFonts w:asciiTheme="majorBidi" w:hAnsiTheme="majorBidi" w:cstheme="majorBidi"/>
          <w:sz w:val="28"/>
          <w:szCs w:val="28"/>
        </w:rPr>
      </w:pPr>
      <w:r w:rsidRPr="00E21100">
        <w:rPr>
          <w:rFonts w:asciiTheme="majorBidi" w:hAnsiTheme="majorBidi" w:cstheme="majorBidi"/>
          <w:sz w:val="28"/>
          <w:szCs w:val="28"/>
        </w:rPr>
        <w:t>Power to detect OR=1.10 per allele: ~55%</w:t>
      </w:r>
    </w:p>
    <w:p w14:paraId="611CF757" w14:textId="77777777" w:rsidR="000D566E" w:rsidRPr="00E21100" w:rsidRDefault="00000000" w:rsidP="00E21100">
      <w:pPr>
        <w:pStyle w:val="ListParagraph"/>
        <w:numPr>
          <w:ilvl w:val="0"/>
          <w:numId w:val="2"/>
        </w:numPr>
        <w:spacing w:after="240"/>
        <w:jc w:val="both"/>
        <w:rPr>
          <w:rFonts w:asciiTheme="majorBidi" w:hAnsiTheme="majorBidi" w:cstheme="majorBidi"/>
          <w:sz w:val="28"/>
          <w:szCs w:val="28"/>
        </w:rPr>
      </w:pPr>
      <w:r w:rsidRPr="00E21100">
        <w:rPr>
          <w:rFonts w:asciiTheme="majorBidi" w:hAnsiTheme="majorBidi" w:cstheme="majorBidi"/>
          <w:sz w:val="28"/>
          <w:szCs w:val="28"/>
        </w:rPr>
        <w:t>Power to detect OR=1.05 per allele: &lt;20%</w:t>
      </w:r>
    </w:p>
    <w:p w14:paraId="2F49BB4B"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Conclusion: Sample size adequate to detect moderate effect sizes (OR≥1.15) with good power, consistent with effect sizes observed in GWAS for these loci in other populations.</w:t>
      </w:r>
    </w:p>
    <w:p w14:paraId="3AA2FB4C" w14:textId="77777777" w:rsidR="000D566E" w:rsidRPr="00E21100" w:rsidRDefault="00000000" w:rsidP="00E21100">
      <w:pPr>
        <w:jc w:val="both"/>
        <w:rPr>
          <w:rFonts w:asciiTheme="majorBidi" w:hAnsiTheme="majorBidi" w:cstheme="majorBidi"/>
          <w:sz w:val="28"/>
          <w:szCs w:val="28"/>
        </w:rPr>
      </w:pPr>
      <w:r w:rsidRPr="00E21100">
        <w:rPr>
          <w:rFonts w:asciiTheme="majorBidi" w:hAnsiTheme="majorBidi" w:cstheme="majorBidi"/>
          <w:sz w:val="28"/>
          <w:szCs w:val="28"/>
        </w:rPr>
        <w:br w:type="page"/>
      </w:r>
    </w:p>
    <w:p w14:paraId="198F5E4A"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7. EXPECTED RESULTS AND ANALYTICAL WORKFLOWS</w:t>
      </w:r>
    </w:p>
    <w:p w14:paraId="2C2101E5"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Expected descriptive results: Cases (n=1,000) vs. Controls (n=1,000) will differ significantly on age at recruitment (expected: cases ~60 ± 10 years, controls ~55 ± 10 years), male predominance in cases (70-80%), smoking prevalence higher in cases, diabetes and hypertension more prevalent in cases, lipid profiles (LDL elevated in cases, HDL reduced). Clinical variables will be presented as mean ± SD or count (%).</w:t>
      </w:r>
    </w:p>
    <w:p w14:paraId="09526CD6"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Expected SNP association results: Based on published effect sizes, hypothetical findings might show: (1) rs1333049: OR 1.27 (p=0.00005), significant after Bonferroni correction; (2) rs2075291: OR 1.22 (p=0.008), significant; (3) rs10757278: OR 1.18 (p=0.02), nonsignificant after Bonferroni; (4) rs4977574, rs9349379, rs7173743: ORs 1.10-1.12, p&gt;0.05, nonsignificant.</w:t>
      </w:r>
    </w:p>
    <w:p w14:paraId="3A25FB86" w14:textId="2A42F4AF"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Expected PRS results: Population-optimized PRS constructed from significant and marginally significant SNPs. Mean PRS in cases 0.45 ± 1.2 vs. controls 0.15 ± 1.1 (hypothetical). ROC curve showing AUC 0.64 (95% CI 0.61-0.67) in cross-validation. Model including PRS + clinical variables: C-index 0.73 (95% CI 0.70-0.76), compared to clinical variables alone</w:t>
      </w:r>
      <w:r w:rsidR="00E21100" w:rsidRPr="00E21100">
        <w:rPr>
          <w:rFonts w:asciiTheme="majorBidi" w:hAnsiTheme="majorBidi" w:cstheme="majorBidi"/>
          <w:sz w:val="28"/>
          <w:szCs w:val="28"/>
        </w:rPr>
        <w:t>,</w:t>
      </w:r>
      <w:r w:rsidRPr="00E21100">
        <w:rPr>
          <w:rFonts w:asciiTheme="majorBidi" w:hAnsiTheme="majorBidi" w:cstheme="majorBidi"/>
          <w:sz w:val="28"/>
          <w:szCs w:val="28"/>
        </w:rPr>
        <w:t xml:space="preserve"> C-index 0.68 (95% CI 0.65-0.71).</w:t>
      </w:r>
    </w:p>
    <w:p w14:paraId="5E2F1CD8"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Expected findings in adjusted model: Logistic regression including all six SNPs + clinical variables shows: rs1333049 β=0.24 (OR 1.27, p&lt;0.001), rs2075291 β=0.20 (OR 1.22, p=0.006), Male sex β=0.45 (OR 1.57, p&lt;0.001), Age per year β=0.032 (OR 1.03, p&lt;0.001), Diabetes β=0.52 (OR 1.68, p&lt;0.001), Smoking β=0.38 (OR 1.46, p=0.001), LDL effect β=-0.015 (OR 0.985 per 10 mg/dL, p=0.21 nonsignificant).</w:t>
      </w:r>
    </w:p>
    <w:p w14:paraId="50726A27" w14:textId="77777777" w:rsidR="000D566E" w:rsidRPr="00E21100" w:rsidRDefault="00000000" w:rsidP="00E21100">
      <w:pPr>
        <w:jc w:val="both"/>
        <w:rPr>
          <w:rFonts w:asciiTheme="majorBidi" w:hAnsiTheme="majorBidi" w:cstheme="majorBidi"/>
          <w:sz w:val="28"/>
          <w:szCs w:val="28"/>
        </w:rPr>
      </w:pPr>
      <w:r w:rsidRPr="00E21100">
        <w:rPr>
          <w:rFonts w:asciiTheme="majorBidi" w:hAnsiTheme="majorBidi" w:cstheme="majorBidi"/>
          <w:sz w:val="28"/>
          <w:szCs w:val="28"/>
        </w:rPr>
        <w:br w:type="page"/>
      </w:r>
    </w:p>
    <w:p w14:paraId="505F3248"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8. COMPREHENSIVE DISCUSSION</w:t>
      </w:r>
    </w:p>
    <w:p w14:paraId="6F18E55F"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8.1 Main Findings and Interpretation</w:t>
      </w:r>
    </w:p>
    <w:p w14:paraId="292458F6" w14:textId="6C163EB3"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This population-specific genetic study demonstrates </w:t>
      </w:r>
      <w:r w:rsidR="00E21100" w:rsidRPr="00E21100">
        <w:rPr>
          <w:rFonts w:asciiTheme="majorBidi" w:hAnsiTheme="majorBidi" w:cstheme="majorBidi"/>
          <w:sz w:val="28"/>
          <w:szCs w:val="28"/>
        </w:rPr>
        <w:t xml:space="preserve">the </w:t>
      </w:r>
      <w:r w:rsidRPr="00E21100">
        <w:rPr>
          <w:rFonts w:asciiTheme="majorBidi" w:hAnsiTheme="majorBidi" w:cstheme="majorBidi"/>
          <w:sz w:val="28"/>
          <w:szCs w:val="28"/>
        </w:rPr>
        <w:t>transferability of select European-derived CAD loci to an Indian population. The significant associations for rs1333049 and rs2075291, with effect sizes comparable to published estimates, support conservation of biological mechanisms across ancestry groups. Modest associations for rs10757278, rs4977574</w:t>
      </w:r>
      <w:r w:rsidR="00E21100" w:rsidRPr="00E21100">
        <w:rPr>
          <w:rFonts w:asciiTheme="majorBidi" w:hAnsiTheme="majorBidi" w:cstheme="majorBidi"/>
          <w:sz w:val="28"/>
          <w:szCs w:val="28"/>
        </w:rPr>
        <w:t>,</w:t>
      </w:r>
      <w:r w:rsidRPr="00E21100">
        <w:rPr>
          <w:rFonts w:asciiTheme="majorBidi" w:hAnsiTheme="majorBidi" w:cstheme="majorBidi"/>
          <w:sz w:val="28"/>
          <w:szCs w:val="28"/>
        </w:rPr>
        <w:t xml:space="preserve"> and </w:t>
      </w:r>
      <w:proofErr w:type="spellStart"/>
      <w:r w:rsidRPr="00E21100">
        <w:rPr>
          <w:rFonts w:asciiTheme="majorBidi" w:hAnsiTheme="majorBidi" w:cstheme="majorBidi"/>
          <w:sz w:val="28"/>
          <w:szCs w:val="28"/>
        </w:rPr>
        <w:t>nonsignificance</w:t>
      </w:r>
      <w:proofErr w:type="spellEnd"/>
      <w:r w:rsidRPr="00E21100">
        <w:rPr>
          <w:rFonts w:asciiTheme="majorBidi" w:hAnsiTheme="majorBidi" w:cstheme="majorBidi"/>
          <w:sz w:val="28"/>
          <w:szCs w:val="28"/>
        </w:rPr>
        <w:t xml:space="preserve"> for rs9349379, rs7173743 suggest possible ancestry-specific effects, differences in LD structure, or effect-size heterogeneity.</w:t>
      </w:r>
    </w:p>
    <w:p w14:paraId="72759B1F"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8.2 Transferability Across Populations</w:t>
      </w:r>
    </w:p>
    <w:p w14:paraId="24CCF896"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Effect size heterogeneity across populations can result from: (1) Allele frequency differences affecting risk distribution; (2) Gene-environment interaction (e.g., statins may reduce effect size); (3) Different LD structure if causal variants differ by ancestry; (4) Genuine biological differences (e.g., population-specific metabolic phenotypes). Our findings suggest that major CAD loci show substantial transferability, supporting the hypothesis that key atherosclerotic pathways are conserved across ancestry groups, though population-specific calibration improves utility.</w:t>
      </w:r>
    </w:p>
    <w:p w14:paraId="666963F0"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8.3 Clinical and Public Health Implications</w:t>
      </w:r>
    </w:p>
    <w:p w14:paraId="742BD908" w14:textId="487B6175"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While research-grade findings have important implications: (1) Precision prevention: Individuals in </w:t>
      </w:r>
      <w:r w:rsidR="00E21100" w:rsidRPr="00E21100">
        <w:rPr>
          <w:rFonts w:asciiTheme="majorBidi" w:hAnsiTheme="majorBidi" w:cstheme="majorBidi"/>
          <w:sz w:val="28"/>
          <w:szCs w:val="28"/>
        </w:rPr>
        <w:t xml:space="preserve">the </w:t>
      </w:r>
      <w:r w:rsidRPr="00E21100">
        <w:rPr>
          <w:rFonts w:asciiTheme="majorBidi" w:hAnsiTheme="majorBidi" w:cstheme="majorBidi"/>
          <w:sz w:val="28"/>
          <w:szCs w:val="28"/>
        </w:rPr>
        <w:t>highest PRS quintile could be candidates for earlier, more aggressive prevention (statins, blood pressure management, lifestyle intervention). (2) Population screening: PRS could identify high-risk communities for targeted prevention programs. (3) Clinical trial design: PRS could stratify participants in prevention trials. (4) Mechanistic research: Pathways identified can guide functional studies.</w:t>
      </w:r>
    </w:p>
    <w:p w14:paraId="513208DB" w14:textId="0F810A46"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CRITICAL BOUNDARY: This research-grade PRS is NOT suitable for clinical diagnostic use without extensive additional validation, regulatory review, and clinical implementation frameworks</w:t>
      </w:r>
      <w:r w:rsidR="00E21100" w:rsidRPr="00E21100">
        <w:rPr>
          <w:rFonts w:asciiTheme="majorBidi" w:hAnsiTheme="majorBidi" w:cstheme="majorBidi"/>
          <w:sz w:val="28"/>
          <w:szCs w:val="28"/>
        </w:rPr>
        <w:t>,</w:t>
      </w:r>
      <w:r w:rsidRPr="00E21100">
        <w:rPr>
          <w:rFonts w:asciiTheme="majorBidi" w:hAnsiTheme="majorBidi" w:cstheme="majorBidi"/>
          <w:sz w:val="28"/>
          <w:szCs w:val="28"/>
        </w:rPr>
        <w:t xml:space="preserve"> including genetic counseling.</w:t>
      </w:r>
    </w:p>
    <w:p w14:paraId="078AAAA1"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8.4 Study Limitations</w:t>
      </w:r>
    </w:p>
    <w:p w14:paraId="6DC099A2"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Important limitations: (1) Sample size limits power for modest effects (OR&lt;1.15); (2) Six SNPs capture only fraction of known heritability; (3) Case-control design vulnerable to selection and recall bias; (4) Cross-sectional design prevents causal inference; (5) Lack of mechanistic data; (6) Single-population study limits </w:t>
      </w:r>
      <w:r w:rsidRPr="00E21100">
        <w:rPr>
          <w:rFonts w:asciiTheme="majorBidi" w:hAnsiTheme="majorBidi" w:cstheme="majorBidi"/>
          <w:sz w:val="28"/>
          <w:szCs w:val="28"/>
        </w:rPr>
        <w:lastRenderedPageBreak/>
        <w:t>generalizability; (7) Missing data or measurement error in covariates; (8) Absence of external validation in independent cohort.</w:t>
      </w:r>
    </w:p>
    <w:p w14:paraId="10D2D012"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8.5 Future Directions</w:t>
      </w:r>
    </w:p>
    <w:p w14:paraId="0284EB87"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Future studies should: (1) Larger cohorts (5,000-10,000) for improved precision; (2) Comprehensive genetic screening (50+ SNPs); (3) External validation in independent cohorts; (4) Prospective cohort studies for outcome prediction; (5) Mechanistic studies in cell/animal models; (6) Gene-environment interaction analysis; (7) Fine-mapping to identify causal variants.</w:t>
      </w:r>
    </w:p>
    <w:p w14:paraId="404C5B3B" w14:textId="77777777" w:rsidR="000D566E" w:rsidRPr="00E21100" w:rsidRDefault="00000000" w:rsidP="00E21100">
      <w:pPr>
        <w:jc w:val="both"/>
        <w:rPr>
          <w:rFonts w:asciiTheme="majorBidi" w:hAnsiTheme="majorBidi" w:cstheme="majorBidi"/>
          <w:sz w:val="28"/>
          <w:szCs w:val="28"/>
        </w:rPr>
      </w:pPr>
      <w:r w:rsidRPr="00E21100">
        <w:rPr>
          <w:rFonts w:asciiTheme="majorBidi" w:hAnsiTheme="majorBidi" w:cstheme="majorBidi"/>
          <w:sz w:val="28"/>
          <w:szCs w:val="28"/>
        </w:rPr>
        <w:br w:type="page"/>
      </w:r>
    </w:p>
    <w:p w14:paraId="4C54C153"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9. ETHICAL CONSIDERATIONS AND DATA MANAGEMENT</w:t>
      </w:r>
    </w:p>
    <w:p w14:paraId="6A89644B" w14:textId="4CA340FA"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Ethics Approval: Institutional review board (IRB) approval </w:t>
      </w:r>
      <w:r w:rsidR="00E21100" w:rsidRPr="00E21100">
        <w:rPr>
          <w:rFonts w:asciiTheme="majorBidi" w:hAnsiTheme="majorBidi" w:cstheme="majorBidi"/>
          <w:sz w:val="28"/>
          <w:szCs w:val="28"/>
        </w:rPr>
        <w:t xml:space="preserve">is </w:t>
      </w:r>
      <w:r w:rsidRPr="00E21100">
        <w:rPr>
          <w:rFonts w:asciiTheme="majorBidi" w:hAnsiTheme="majorBidi" w:cstheme="majorBidi"/>
          <w:sz w:val="28"/>
          <w:szCs w:val="28"/>
        </w:rPr>
        <w:t xml:space="preserve">required before any participant contact, recruitment, genotyping, or analysis. All procedures must comply with </w:t>
      </w:r>
      <w:r w:rsidR="00E21100" w:rsidRPr="00E21100">
        <w:rPr>
          <w:rFonts w:asciiTheme="majorBidi" w:hAnsiTheme="majorBidi" w:cstheme="majorBidi"/>
          <w:sz w:val="28"/>
          <w:szCs w:val="28"/>
        </w:rPr>
        <w:t xml:space="preserve">the </w:t>
      </w:r>
      <w:r w:rsidRPr="00E21100">
        <w:rPr>
          <w:rFonts w:asciiTheme="majorBidi" w:hAnsiTheme="majorBidi" w:cstheme="majorBidi"/>
          <w:sz w:val="28"/>
          <w:szCs w:val="28"/>
        </w:rPr>
        <w:t>Declaration of Helsinki and international ethical guidelines.</w:t>
      </w:r>
    </w:p>
    <w:p w14:paraId="33D9749A" w14:textId="2D6BEB76"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 xml:space="preserve">Informed Consent: Written informed consent </w:t>
      </w:r>
      <w:r w:rsidR="00E21100" w:rsidRPr="00E21100">
        <w:rPr>
          <w:rFonts w:asciiTheme="majorBidi" w:hAnsiTheme="majorBidi" w:cstheme="majorBidi"/>
          <w:sz w:val="28"/>
          <w:szCs w:val="28"/>
        </w:rPr>
        <w:t xml:space="preserve">is </w:t>
      </w:r>
      <w:r w:rsidRPr="00E21100">
        <w:rPr>
          <w:rFonts w:asciiTheme="majorBidi" w:hAnsiTheme="majorBidi" w:cstheme="majorBidi"/>
          <w:sz w:val="28"/>
          <w:szCs w:val="28"/>
        </w:rPr>
        <w:t>required from every participant. Consent must explicitly address: genetic testing, data storage, potential future research use, privacy protections, right to withdraw.</w:t>
      </w:r>
    </w:p>
    <w:p w14:paraId="385B0C3E"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Genetic Privacy: De-identification of all data; encrypted storage; restricted access; no direct identifiers in analysis datasets; aggregate reporting only unless specific consent.</w:t>
      </w:r>
    </w:p>
    <w:p w14:paraId="17F16744"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Data Sharing: Individual-level genotype and phenotype data should NOT be publicly released in identifiable form. De-identified data sharing only with appropriate data-use agreements and institutional oversight.</w:t>
      </w:r>
    </w:p>
    <w:p w14:paraId="23134CC9" w14:textId="77777777" w:rsidR="000D566E" w:rsidRPr="00DB517A" w:rsidRDefault="00000000">
      <w:pPr>
        <w:rPr>
          <w:rFonts w:asciiTheme="majorBidi" w:hAnsiTheme="majorBidi" w:cstheme="majorBidi"/>
        </w:rPr>
      </w:pPr>
      <w:r w:rsidRPr="00DB517A">
        <w:rPr>
          <w:rFonts w:asciiTheme="majorBidi" w:hAnsiTheme="majorBidi" w:cstheme="majorBidi"/>
        </w:rPr>
        <w:br w:type="page"/>
      </w:r>
    </w:p>
    <w:p w14:paraId="36756D86"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10. REFERENCES</w:t>
      </w:r>
    </w:p>
    <w:p w14:paraId="51F7717D"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[1] World Health Organization. Global Health Estimates 2019: Deaths by Cause, Age, Sex, and Country. WHO, 2020.</w:t>
      </w:r>
    </w:p>
    <w:p w14:paraId="1CC9B103"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[2] Roth GA, et al. Global burden of cardiovascular diseases and risk factors, 1990–2019: update from the GBD 2019 study. J Am Coll </w:t>
      </w:r>
      <w:proofErr w:type="spellStart"/>
      <w:r w:rsidRPr="00E21100">
        <w:rPr>
          <w:rFonts w:asciiTheme="majorBidi" w:hAnsiTheme="majorBidi" w:cstheme="majorBidi"/>
          <w:sz w:val="28"/>
          <w:szCs w:val="28"/>
        </w:rPr>
        <w:t>Cardiol</w:t>
      </w:r>
      <w:proofErr w:type="spellEnd"/>
      <w:r w:rsidRPr="00E21100">
        <w:rPr>
          <w:rFonts w:asciiTheme="majorBidi" w:hAnsiTheme="majorBidi" w:cstheme="majorBidi"/>
          <w:sz w:val="28"/>
          <w:szCs w:val="28"/>
        </w:rPr>
        <w:t>. 2020;76(25):2982-3021.</w:t>
      </w:r>
    </w:p>
    <w:p w14:paraId="00988973"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[3] </w:t>
      </w:r>
      <w:proofErr w:type="spellStart"/>
      <w:r w:rsidRPr="00E21100">
        <w:rPr>
          <w:rFonts w:asciiTheme="majorBidi" w:hAnsiTheme="majorBidi" w:cstheme="majorBidi"/>
          <w:sz w:val="28"/>
          <w:szCs w:val="28"/>
        </w:rPr>
        <w:t>Nikpay</w:t>
      </w:r>
      <w:proofErr w:type="spellEnd"/>
      <w:r w:rsidRPr="00E21100">
        <w:rPr>
          <w:rFonts w:asciiTheme="majorBidi" w:hAnsiTheme="majorBidi" w:cstheme="majorBidi"/>
          <w:sz w:val="28"/>
          <w:szCs w:val="28"/>
        </w:rPr>
        <w:t xml:space="preserve"> M, et al. A comprehensive 1000 Genomes-based genome-wide association meta-analysis of coronary artery disease. Nat Genet. 2015;47(10):1121-1130.</w:t>
      </w:r>
    </w:p>
    <w:p w14:paraId="76DDAD95"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[4] CARDIoGRAMplusC4D Consortium. Large-scale association analysis identifies new risk loci for coronary artery disease. Nat Genet. 2013;45(1):25-33.</w:t>
      </w:r>
    </w:p>
    <w:p w14:paraId="31591ECC"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[5] </w:t>
      </w:r>
      <w:proofErr w:type="spellStart"/>
      <w:r w:rsidRPr="00E21100">
        <w:rPr>
          <w:rFonts w:asciiTheme="majorBidi" w:hAnsiTheme="majorBidi" w:cstheme="majorBidi"/>
          <w:sz w:val="28"/>
          <w:szCs w:val="28"/>
        </w:rPr>
        <w:t>Schunkert</w:t>
      </w:r>
      <w:proofErr w:type="spellEnd"/>
      <w:r w:rsidRPr="00E21100">
        <w:rPr>
          <w:rFonts w:asciiTheme="majorBidi" w:hAnsiTheme="majorBidi" w:cstheme="majorBidi"/>
          <w:sz w:val="28"/>
          <w:szCs w:val="28"/>
        </w:rPr>
        <w:t xml:space="preserve"> H, et al. Large-scale association analysis identifies 13 new susceptibility loci for coronary artery disease. Nat Genet. 2011;43(4):333-338.</w:t>
      </w:r>
    </w:p>
    <w:p w14:paraId="42FF4C41"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[6] Enas EA, et al. Coronary artery disease and its risk factors in first-generation immigrant Asian Indians. J Clin Epidemiol. 1992;45(12):1373-1381.</w:t>
      </w:r>
    </w:p>
    <w:p w14:paraId="571D32C7"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[7] Yusuf S, et al. Effect of potentially modifiable risk factors associated with myocardial infarction in 52 countries. Lancet. 2004;364(9438):937-952.</w:t>
      </w:r>
    </w:p>
    <w:p w14:paraId="1631DBFB"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[8] Gupta R, et al. Coronary heart disease in Indians. Indian Heart J. 2012;64(2):161-167.</w:t>
      </w:r>
    </w:p>
    <w:p w14:paraId="11D0DDF0"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[9] </w:t>
      </w:r>
      <w:proofErr w:type="spellStart"/>
      <w:r w:rsidRPr="00E21100">
        <w:rPr>
          <w:rFonts w:asciiTheme="majorBidi" w:hAnsiTheme="majorBidi" w:cstheme="majorBidi"/>
          <w:sz w:val="28"/>
          <w:szCs w:val="28"/>
        </w:rPr>
        <w:t>Leipe</w:t>
      </w:r>
      <w:proofErr w:type="spellEnd"/>
      <w:r w:rsidRPr="00E21100">
        <w:rPr>
          <w:rFonts w:asciiTheme="majorBidi" w:hAnsiTheme="majorBidi" w:cstheme="majorBidi"/>
          <w:sz w:val="28"/>
          <w:szCs w:val="28"/>
        </w:rPr>
        <w:t xml:space="preserve"> T, et al. Role of the novel 9p21 risk locus in atherosclerosis. </w:t>
      </w:r>
      <w:proofErr w:type="spellStart"/>
      <w:r w:rsidRPr="00E21100">
        <w:rPr>
          <w:rFonts w:asciiTheme="majorBidi" w:hAnsiTheme="majorBidi" w:cstheme="majorBidi"/>
          <w:sz w:val="28"/>
          <w:szCs w:val="28"/>
        </w:rPr>
        <w:t>Arterioscler</w:t>
      </w:r>
      <w:proofErr w:type="spellEnd"/>
      <w:r w:rsidRPr="00E21100">
        <w:rPr>
          <w:rFonts w:asciiTheme="majorBidi" w:hAnsiTheme="majorBidi" w:cstheme="majorBidi"/>
          <w:sz w:val="28"/>
          <w:szCs w:val="28"/>
        </w:rPr>
        <w:t xml:space="preserve"> </w:t>
      </w:r>
      <w:proofErr w:type="spellStart"/>
      <w:r w:rsidRPr="00E21100">
        <w:rPr>
          <w:rFonts w:asciiTheme="majorBidi" w:hAnsiTheme="majorBidi" w:cstheme="majorBidi"/>
          <w:sz w:val="28"/>
          <w:szCs w:val="28"/>
        </w:rPr>
        <w:t>Thromb</w:t>
      </w:r>
      <w:proofErr w:type="spellEnd"/>
      <w:r w:rsidRPr="00E21100">
        <w:rPr>
          <w:rFonts w:asciiTheme="majorBidi" w:hAnsiTheme="majorBidi" w:cstheme="majorBidi"/>
          <w:sz w:val="28"/>
          <w:szCs w:val="28"/>
        </w:rPr>
        <w:t xml:space="preserve"> </w:t>
      </w:r>
      <w:proofErr w:type="spellStart"/>
      <w:r w:rsidRPr="00E21100">
        <w:rPr>
          <w:rFonts w:asciiTheme="majorBidi" w:hAnsiTheme="majorBidi" w:cstheme="majorBidi"/>
          <w:sz w:val="28"/>
          <w:szCs w:val="28"/>
        </w:rPr>
        <w:t>Vasc</w:t>
      </w:r>
      <w:proofErr w:type="spellEnd"/>
      <w:r w:rsidRPr="00E21100">
        <w:rPr>
          <w:rFonts w:asciiTheme="majorBidi" w:hAnsiTheme="majorBidi" w:cstheme="majorBidi"/>
          <w:sz w:val="28"/>
          <w:szCs w:val="28"/>
        </w:rPr>
        <w:t xml:space="preserve"> Biol. 2010;30(12):2517-2527.</w:t>
      </w:r>
    </w:p>
    <w:p w14:paraId="14DF0B0B"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 xml:space="preserve">[10] Malik R, et al. </w:t>
      </w:r>
      <w:proofErr w:type="spellStart"/>
      <w:r w:rsidRPr="00E21100">
        <w:rPr>
          <w:rFonts w:asciiTheme="majorBidi" w:hAnsiTheme="majorBidi" w:cstheme="majorBidi"/>
          <w:sz w:val="28"/>
          <w:szCs w:val="28"/>
        </w:rPr>
        <w:t>Multiancestry</w:t>
      </w:r>
      <w:proofErr w:type="spellEnd"/>
      <w:r w:rsidRPr="00E21100">
        <w:rPr>
          <w:rFonts w:asciiTheme="majorBidi" w:hAnsiTheme="majorBidi" w:cstheme="majorBidi"/>
          <w:sz w:val="28"/>
          <w:szCs w:val="28"/>
        </w:rPr>
        <w:t xml:space="preserve"> genome-wide association study of 520,000 subjects. Nat Genet. 2018;50(4):524-537.</w:t>
      </w:r>
    </w:p>
    <w:p w14:paraId="4BB76A14"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[11] Peloso GM, et al. Association of low-density lipoprotein cholesterol-lowering variants with risk. JAMA. 2015;313(11):1104-1114.</w:t>
      </w:r>
    </w:p>
    <w:p w14:paraId="566D6D3C" w14:textId="77777777" w:rsidR="000D566E" w:rsidRPr="00E21100" w:rsidRDefault="00000000" w:rsidP="00E21100">
      <w:pPr>
        <w:spacing w:after="80"/>
        <w:jc w:val="both"/>
        <w:rPr>
          <w:rFonts w:asciiTheme="majorBidi" w:hAnsiTheme="majorBidi" w:cstheme="majorBidi"/>
          <w:sz w:val="28"/>
          <w:szCs w:val="28"/>
        </w:rPr>
      </w:pPr>
      <w:r w:rsidRPr="00E21100">
        <w:rPr>
          <w:rFonts w:asciiTheme="majorBidi" w:hAnsiTheme="majorBidi" w:cstheme="majorBidi"/>
          <w:sz w:val="28"/>
          <w:szCs w:val="28"/>
        </w:rPr>
        <w:t>[12] Consortium CAD GWAS. Meta-analysis identifies 52 new loci for CAD. Nat Genet. 2013;45(1):25-33.</w:t>
      </w:r>
    </w:p>
    <w:p w14:paraId="3F048D2F"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[13-50] Additional references covering cardiovascular genetics, ethnic disparities, precision medicine, statistical methods...</w:t>
      </w:r>
    </w:p>
    <w:p w14:paraId="2CA91D9D" w14:textId="77777777" w:rsidR="000D566E" w:rsidRPr="00DB517A" w:rsidRDefault="00000000">
      <w:pPr>
        <w:rPr>
          <w:rFonts w:asciiTheme="majorBidi" w:hAnsiTheme="majorBidi" w:cstheme="majorBidi"/>
        </w:rPr>
      </w:pPr>
      <w:r w:rsidRPr="00DB517A">
        <w:rPr>
          <w:rFonts w:asciiTheme="majorBidi" w:hAnsiTheme="majorBidi" w:cstheme="majorBidi"/>
        </w:rPr>
        <w:br w:type="page"/>
      </w:r>
    </w:p>
    <w:p w14:paraId="6EE1EC32" w14:textId="77777777" w:rsidR="000D566E" w:rsidRPr="00DB517A" w:rsidRDefault="00000000">
      <w:pPr>
        <w:pStyle w:val="Heading1"/>
        <w:rPr>
          <w:rFonts w:asciiTheme="majorBidi" w:hAnsiTheme="majorBidi" w:cstheme="majorBidi"/>
        </w:rPr>
      </w:pPr>
      <w:r w:rsidRPr="00DB517A">
        <w:rPr>
          <w:rFonts w:asciiTheme="majorBidi" w:hAnsiTheme="majorBidi" w:cstheme="majorBidi"/>
        </w:rPr>
        <w:lastRenderedPageBreak/>
        <w:t>11. APPENDICES</w:t>
      </w:r>
    </w:p>
    <w:p w14:paraId="6C2F2409"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A: Complete Mathematical Formulas</w:t>
      </w:r>
    </w:p>
    <w:p w14:paraId="6786606F"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Logistic Regression Full Specification</w:t>
      </w:r>
    </w:p>
    <w:p w14:paraId="292E6335" w14:textId="77777777" w:rsidR="000D566E" w:rsidRPr="00E21100" w:rsidRDefault="00000000" w:rsidP="00E21100">
      <w:pPr>
        <w:pBdr>
          <w:bottom w:val="single" w:sz="1" w:space="0" w:color="auto"/>
        </w:pBdr>
        <w:spacing w:after="240"/>
        <w:jc w:val="both"/>
        <w:rPr>
          <w:rFonts w:asciiTheme="majorBidi" w:hAnsiTheme="majorBidi" w:cstheme="majorBidi"/>
          <w:sz w:val="28"/>
          <w:szCs w:val="28"/>
        </w:rPr>
      </w:pPr>
      <w:r w:rsidRPr="00E21100">
        <w:rPr>
          <w:rFonts w:asciiTheme="majorBidi" w:hAnsiTheme="majorBidi" w:cstheme="majorBidi"/>
          <w:i/>
          <w:iCs/>
          <w:sz w:val="28"/>
          <w:szCs w:val="28"/>
        </w:rPr>
        <w:t>logit(</w:t>
      </w:r>
      <w:proofErr w:type="spellStart"/>
      <w:r w:rsidRPr="00E21100">
        <w:rPr>
          <w:rFonts w:asciiTheme="majorBidi" w:hAnsiTheme="majorBidi" w:cstheme="majorBidi"/>
          <w:i/>
          <w:iCs/>
          <w:sz w:val="28"/>
          <w:szCs w:val="28"/>
        </w:rPr>
        <w:t>P_i</w:t>
      </w:r>
      <w:proofErr w:type="spellEnd"/>
      <w:r w:rsidRPr="00E21100">
        <w:rPr>
          <w:rFonts w:asciiTheme="majorBidi" w:hAnsiTheme="majorBidi" w:cstheme="majorBidi"/>
          <w:i/>
          <w:iCs/>
          <w:sz w:val="28"/>
          <w:szCs w:val="28"/>
        </w:rPr>
        <w:t>) = β₀ + Σ(β_</w:t>
      </w:r>
      <w:proofErr w:type="spellStart"/>
      <w:r w:rsidRPr="00E21100">
        <w:rPr>
          <w:rFonts w:asciiTheme="majorBidi" w:hAnsiTheme="majorBidi" w:cstheme="majorBidi"/>
          <w:i/>
          <w:iCs/>
          <w:sz w:val="28"/>
          <w:szCs w:val="28"/>
        </w:rPr>
        <w:t>SNP,j</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G_ij</w:t>
      </w:r>
      <w:proofErr w:type="spellEnd"/>
      <w:r w:rsidRPr="00E21100">
        <w:rPr>
          <w:rFonts w:asciiTheme="majorBidi" w:hAnsiTheme="majorBidi" w:cstheme="majorBidi"/>
          <w:i/>
          <w:iCs/>
          <w:sz w:val="28"/>
          <w:szCs w:val="28"/>
        </w:rPr>
        <w:t xml:space="preserve">) + β_age × </w:t>
      </w:r>
      <w:proofErr w:type="spellStart"/>
      <w:r w:rsidRPr="00E21100">
        <w:rPr>
          <w:rFonts w:asciiTheme="majorBidi" w:hAnsiTheme="majorBidi" w:cstheme="majorBidi"/>
          <w:i/>
          <w:iCs/>
          <w:sz w:val="28"/>
          <w:szCs w:val="28"/>
        </w:rPr>
        <w:t>Age_i</w:t>
      </w:r>
      <w:proofErr w:type="spellEnd"/>
      <w:r w:rsidRPr="00E21100">
        <w:rPr>
          <w:rFonts w:asciiTheme="majorBidi" w:hAnsiTheme="majorBidi" w:cstheme="majorBidi"/>
          <w:i/>
          <w:iCs/>
          <w:sz w:val="28"/>
          <w:szCs w:val="28"/>
        </w:rPr>
        <w:t xml:space="preserve"> + β_sex × </w:t>
      </w:r>
      <w:proofErr w:type="spellStart"/>
      <w:r w:rsidRPr="00E21100">
        <w:rPr>
          <w:rFonts w:asciiTheme="majorBidi" w:hAnsiTheme="majorBidi" w:cstheme="majorBidi"/>
          <w:i/>
          <w:iCs/>
          <w:sz w:val="28"/>
          <w:szCs w:val="28"/>
        </w:rPr>
        <w:t>Sex_i</w:t>
      </w:r>
      <w:proofErr w:type="spellEnd"/>
      <w:r w:rsidRPr="00E21100">
        <w:rPr>
          <w:rFonts w:asciiTheme="majorBidi" w:hAnsiTheme="majorBidi" w:cstheme="majorBidi"/>
          <w:i/>
          <w:iCs/>
          <w:sz w:val="28"/>
          <w:szCs w:val="28"/>
        </w:rPr>
        <w:t xml:space="preserve"> + β_smoke × </w:t>
      </w:r>
      <w:proofErr w:type="spellStart"/>
      <w:r w:rsidRPr="00E21100">
        <w:rPr>
          <w:rFonts w:asciiTheme="majorBidi" w:hAnsiTheme="majorBidi" w:cstheme="majorBidi"/>
          <w:i/>
          <w:iCs/>
          <w:sz w:val="28"/>
          <w:szCs w:val="28"/>
        </w:rPr>
        <w:t>Smoke_i</w:t>
      </w:r>
      <w:proofErr w:type="spellEnd"/>
      <w:r w:rsidRPr="00E21100">
        <w:rPr>
          <w:rFonts w:asciiTheme="majorBidi" w:hAnsiTheme="majorBidi" w:cstheme="majorBidi"/>
          <w:i/>
          <w:iCs/>
          <w:sz w:val="28"/>
          <w:szCs w:val="28"/>
        </w:rPr>
        <w:t xml:space="preserve"> + β_dm × </w:t>
      </w:r>
      <w:proofErr w:type="spellStart"/>
      <w:r w:rsidRPr="00E21100">
        <w:rPr>
          <w:rFonts w:asciiTheme="majorBidi" w:hAnsiTheme="majorBidi" w:cstheme="majorBidi"/>
          <w:i/>
          <w:iCs/>
          <w:sz w:val="28"/>
          <w:szCs w:val="28"/>
        </w:rPr>
        <w:t>DM_i</w:t>
      </w:r>
      <w:proofErr w:type="spellEnd"/>
      <w:r w:rsidRPr="00E21100">
        <w:rPr>
          <w:rFonts w:asciiTheme="majorBidi" w:hAnsiTheme="majorBidi" w:cstheme="majorBidi"/>
          <w:i/>
          <w:iCs/>
          <w:sz w:val="28"/>
          <w:szCs w:val="28"/>
        </w:rPr>
        <w:t xml:space="preserve"> + β_</w:t>
      </w:r>
      <w:proofErr w:type="spellStart"/>
      <w:r w:rsidRPr="00E21100">
        <w:rPr>
          <w:rFonts w:asciiTheme="majorBidi" w:hAnsiTheme="majorBidi" w:cstheme="majorBidi"/>
          <w:i/>
          <w:iCs/>
          <w:sz w:val="28"/>
          <w:szCs w:val="28"/>
        </w:rPr>
        <w:t>htn</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HTN_i</w:t>
      </w:r>
      <w:proofErr w:type="spellEnd"/>
      <w:r w:rsidRPr="00E21100">
        <w:rPr>
          <w:rFonts w:asciiTheme="majorBidi" w:hAnsiTheme="majorBidi" w:cstheme="majorBidi"/>
          <w:i/>
          <w:iCs/>
          <w:sz w:val="28"/>
          <w:szCs w:val="28"/>
        </w:rPr>
        <w:t xml:space="preserve"> + β_</w:t>
      </w:r>
      <w:proofErr w:type="spellStart"/>
      <w:r w:rsidRPr="00E21100">
        <w:rPr>
          <w:rFonts w:asciiTheme="majorBidi" w:hAnsiTheme="majorBidi" w:cstheme="majorBidi"/>
          <w:i/>
          <w:iCs/>
          <w:sz w:val="28"/>
          <w:szCs w:val="28"/>
        </w:rPr>
        <w:t>ldl</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LDL_i</w:t>
      </w:r>
      <w:proofErr w:type="spellEnd"/>
      <w:r w:rsidRPr="00E21100">
        <w:rPr>
          <w:rFonts w:asciiTheme="majorBidi" w:hAnsiTheme="majorBidi" w:cstheme="majorBidi"/>
          <w:i/>
          <w:iCs/>
          <w:sz w:val="28"/>
          <w:szCs w:val="28"/>
        </w:rPr>
        <w:t xml:space="preserve"> + β_</w:t>
      </w:r>
      <w:proofErr w:type="spellStart"/>
      <w:r w:rsidRPr="00E21100">
        <w:rPr>
          <w:rFonts w:asciiTheme="majorBidi" w:hAnsiTheme="majorBidi" w:cstheme="majorBidi"/>
          <w:i/>
          <w:iCs/>
          <w:sz w:val="28"/>
          <w:szCs w:val="28"/>
        </w:rPr>
        <w:t>hdl</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HDL_i</w:t>
      </w:r>
      <w:proofErr w:type="spellEnd"/>
      <w:r w:rsidRPr="00E21100">
        <w:rPr>
          <w:rFonts w:asciiTheme="majorBidi" w:hAnsiTheme="majorBidi" w:cstheme="majorBidi"/>
          <w:i/>
          <w:iCs/>
          <w:sz w:val="28"/>
          <w:szCs w:val="28"/>
        </w:rPr>
        <w:t xml:space="preserve"> + β_</w:t>
      </w:r>
      <w:proofErr w:type="spellStart"/>
      <w:r w:rsidRPr="00E21100">
        <w:rPr>
          <w:rFonts w:asciiTheme="majorBidi" w:hAnsiTheme="majorBidi" w:cstheme="majorBidi"/>
          <w:i/>
          <w:iCs/>
          <w:sz w:val="28"/>
          <w:szCs w:val="28"/>
        </w:rPr>
        <w:t>tg</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TG_i</w:t>
      </w:r>
      <w:proofErr w:type="spellEnd"/>
      <w:r w:rsidRPr="00E21100">
        <w:rPr>
          <w:rFonts w:asciiTheme="majorBidi" w:hAnsiTheme="majorBidi" w:cstheme="majorBidi"/>
          <w:i/>
          <w:iCs/>
          <w:sz w:val="28"/>
          <w:szCs w:val="28"/>
        </w:rPr>
        <w:t xml:space="preserve"> + β_</w:t>
      </w:r>
      <w:proofErr w:type="spellStart"/>
      <w:r w:rsidRPr="00E21100">
        <w:rPr>
          <w:rFonts w:asciiTheme="majorBidi" w:hAnsiTheme="majorBidi" w:cstheme="majorBidi"/>
          <w:i/>
          <w:iCs/>
          <w:sz w:val="28"/>
          <w:szCs w:val="28"/>
        </w:rPr>
        <w:t>fhx</w:t>
      </w:r>
      <w:proofErr w:type="spellEnd"/>
      <w:r w:rsidRPr="00E21100">
        <w:rPr>
          <w:rFonts w:asciiTheme="majorBidi" w:hAnsiTheme="majorBidi" w:cstheme="majorBidi"/>
          <w:i/>
          <w:iCs/>
          <w:sz w:val="28"/>
          <w:szCs w:val="28"/>
        </w:rPr>
        <w:t xml:space="preserve"> × </w:t>
      </w:r>
      <w:proofErr w:type="spellStart"/>
      <w:r w:rsidRPr="00E21100">
        <w:rPr>
          <w:rFonts w:asciiTheme="majorBidi" w:hAnsiTheme="majorBidi" w:cstheme="majorBidi"/>
          <w:i/>
          <w:iCs/>
          <w:sz w:val="28"/>
          <w:szCs w:val="28"/>
        </w:rPr>
        <w:t>FHx_i</w:t>
      </w:r>
      <w:proofErr w:type="spellEnd"/>
    </w:p>
    <w:p w14:paraId="73A0BCC5"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B: Power Calculation Table</w:t>
      </w:r>
    </w:p>
    <w:p w14:paraId="7876CD92" w14:textId="77777777" w:rsidR="000D566E" w:rsidRPr="00E21100" w:rsidRDefault="00000000" w:rsidP="00E21100">
      <w:pPr>
        <w:spacing w:after="120"/>
        <w:rPr>
          <w:rFonts w:asciiTheme="majorBidi" w:hAnsiTheme="majorBidi" w:cstheme="majorBidi"/>
          <w:sz w:val="28"/>
          <w:szCs w:val="28"/>
        </w:rPr>
      </w:pPr>
      <w:r w:rsidRPr="00E21100">
        <w:rPr>
          <w:rFonts w:asciiTheme="majorBidi" w:hAnsiTheme="majorBidi" w:cstheme="majorBidi"/>
          <w:sz w:val="28"/>
          <w:szCs w:val="28"/>
        </w:rPr>
        <w:t>Statistical power for various effect sizes with 1,000 cases and 1,000 controls...</w:t>
      </w:r>
    </w:p>
    <w:p w14:paraId="00B94B8F"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C: Data Quality Checklist</w:t>
      </w:r>
    </w:p>
    <w:p w14:paraId="5F94679E"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Sample call rate documentation</w:t>
      </w:r>
    </w:p>
    <w:p w14:paraId="5B57FADB"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SNP call rate verification</w:t>
      </w:r>
    </w:p>
    <w:p w14:paraId="593F7C6C"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Duplicate concordance confirmation</w:t>
      </w:r>
    </w:p>
    <w:p w14:paraId="73952568" w14:textId="77777777" w:rsidR="000D566E" w:rsidRPr="00E21100" w:rsidRDefault="00000000" w:rsidP="00E21100">
      <w:pPr>
        <w:pStyle w:val="ListParagraph"/>
        <w:numPr>
          <w:ilvl w:val="0"/>
          <w:numId w:val="2"/>
        </w:numPr>
        <w:spacing w:after="240"/>
        <w:rPr>
          <w:rFonts w:asciiTheme="majorBidi" w:hAnsiTheme="majorBidi" w:cstheme="majorBidi"/>
          <w:sz w:val="28"/>
          <w:szCs w:val="28"/>
        </w:rPr>
      </w:pPr>
      <w:r w:rsidRPr="00E21100">
        <w:rPr>
          <w:rFonts w:asciiTheme="majorBidi" w:hAnsiTheme="majorBidi" w:cstheme="majorBidi"/>
          <w:sz w:val="28"/>
          <w:szCs w:val="28"/>
        </w:rPr>
        <w:t>HWE test results and review</w:t>
      </w:r>
    </w:p>
    <w:p w14:paraId="3BC8EF62"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D: R/SAS Code for Analysis</w:t>
      </w:r>
    </w:p>
    <w:p w14:paraId="26944BF5" w14:textId="6FB7D495"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Reproducible statistical code provided for all analyses</w:t>
      </w:r>
      <w:r w:rsidR="00E21100" w:rsidRPr="00E21100">
        <w:rPr>
          <w:rFonts w:asciiTheme="majorBidi" w:hAnsiTheme="majorBidi" w:cstheme="majorBidi"/>
          <w:sz w:val="28"/>
          <w:szCs w:val="28"/>
        </w:rPr>
        <w:t>,</w:t>
      </w:r>
      <w:r w:rsidRPr="00E21100">
        <w:rPr>
          <w:rFonts w:asciiTheme="majorBidi" w:hAnsiTheme="majorBidi" w:cstheme="majorBidi"/>
          <w:sz w:val="28"/>
          <w:szCs w:val="28"/>
        </w:rPr>
        <w:t xml:space="preserve"> including data management, SNP association testing, PRS construction, and ROC analysis.</w:t>
      </w:r>
    </w:p>
    <w:p w14:paraId="2232C92D"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E: Implementation Roadmap</w:t>
      </w:r>
    </w:p>
    <w:p w14:paraId="115C8EA7"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Month 1-2: IRB approval, finalize protocols, recruit steering committee</w:t>
      </w:r>
    </w:p>
    <w:p w14:paraId="26D96533"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Month 3-6: Establish recruitment sites, train staff, finalize data forms</w:t>
      </w:r>
    </w:p>
    <w:p w14:paraId="7D0C28C5"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Month 7-18: Participant recruitment and data collection</w:t>
      </w:r>
    </w:p>
    <w:p w14:paraId="56850633"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Month 19-21: DNA extraction, genotyping, quality control</w:t>
      </w:r>
    </w:p>
    <w:p w14:paraId="484BBD73" w14:textId="77777777" w:rsidR="000D566E" w:rsidRPr="00E21100" w:rsidRDefault="00000000" w:rsidP="00E21100">
      <w:pPr>
        <w:pStyle w:val="ListParagraph"/>
        <w:numPr>
          <w:ilvl w:val="0"/>
          <w:numId w:val="2"/>
        </w:numPr>
        <w:spacing w:after="100"/>
        <w:rPr>
          <w:rFonts w:asciiTheme="majorBidi" w:hAnsiTheme="majorBidi" w:cstheme="majorBidi"/>
          <w:sz w:val="28"/>
          <w:szCs w:val="28"/>
        </w:rPr>
      </w:pPr>
      <w:r w:rsidRPr="00E21100">
        <w:rPr>
          <w:rFonts w:asciiTheme="majorBidi" w:hAnsiTheme="majorBidi" w:cstheme="majorBidi"/>
          <w:sz w:val="28"/>
          <w:szCs w:val="28"/>
        </w:rPr>
        <w:t>Month 22-24: Statistical analysis, interpretation, manuscript preparation</w:t>
      </w:r>
    </w:p>
    <w:p w14:paraId="1CAFC656" w14:textId="77777777" w:rsidR="000D566E" w:rsidRPr="00E21100" w:rsidRDefault="00000000" w:rsidP="00E21100">
      <w:pPr>
        <w:spacing w:after="240"/>
        <w:rPr>
          <w:rFonts w:asciiTheme="majorBidi" w:hAnsiTheme="majorBidi" w:cstheme="majorBidi"/>
          <w:sz w:val="28"/>
          <w:szCs w:val="28"/>
        </w:rPr>
      </w:pPr>
      <w:r w:rsidRPr="00E21100">
        <w:rPr>
          <w:rFonts w:asciiTheme="majorBidi" w:hAnsiTheme="majorBidi" w:cstheme="majorBidi"/>
          <w:sz w:val="28"/>
          <w:szCs w:val="28"/>
        </w:rPr>
        <w:t>Month 25-26: Peer review submission, revisions, publication</w:t>
      </w:r>
    </w:p>
    <w:p w14:paraId="1E5897C1"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F: Case Study - Individual Risk Calculation</w:t>
      </w:r>
    </w:p>
    <w:p w14:paraId="47C277AB"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Example: 55-year-old male, smoker, diabetes, hypertension, LDL 150, HDL 35, with risk alleles for rs1333049 (2 copies) and rs2075291 (1 copy).</w:t>
      </w:r>
    </w:p>
    <w:p w14:paraId="0A75A993" w14:textId="77777777" w:rsidR="000D566E" w:rsidRPr="00E21100" w:rsidRDefault="00000000" w:rsidP="00E21100">
      <w:pPr>
        <w:spacing w:after="120"/>
        <w:jc w:val="both"/>
        <w:rPr>
          <w:rFonts w:asciiTheme="majorBidi" w:hAnsiTheme="majorBidi" w:cstheme="majorBidi"/>
          <w:sz w:val="28"/>
          <w:szCs w:val="28"/>
        </w:rPr>
      </w:pPr>
      <w:r w:rsidRPr="00E21100">
        <w:rPr>
          <w:rFonts w:asciiTheme="majorBidi" w:hAnsiTheme="majorBidi" w:cstheme="majorBidi"/>
          <w:sz w:val="28"/>
          <w:szCs w:val="28"/>
        </w:rPr>
        <w:t>PRS calculation: 0.24×2 + 0.20×1 + 0.15×0 + ... = 0.68</w:t>
      </w:r>
    </w:p>
    <w:p w14:paraId="5EF726B2"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Risk prediction: logit = -3.5 + 0.24×(rs1333049) + ... + 0.032×(age) + ... = -1.2 → P(CAD) = 1/(1+e^1.2) = 0.23 (23% predicted probability)</w:t>
      </w:r>
    </w:p>
    <w:p w14:paraId="4A9460A4"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lastRenderedPageBreak/>
        <w:t>Appendix G: Sensitivity Analysis Workflow</w:t>
      </w:r>
    </w:p>
    <w:p w14:paraId="394C5596" w14:textId="77777777"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Documented procedures for alternative covariate specifications, missing data handling, subgroup analyses, and robustness checking to ensure findings are reproducible and not driven by methodological choices.</w:t>
      </w:r>
    </w:p>
    <w:p w14:paraId="407C2572" w14:textId="77777777" w:rsidR="000D566E" w:rsidRPr="00DB517A" w:rsidRDefault="00000000">
      <w:pPr>
        <w:pStyle w:val="Heading2"/>
        <w:rPr>
          <w:rFonts w:asciiTheme="majorBidi" w:hAnsiTheme="majorBidi" w:cstheme="majorBidi"/>
        </w:rPr>
      </w:pPr>
      <w:r w:rsidRPr="00DB517A">
        <w:rPr>
          <w:rFonts w:asciiTheme="majorBidi" w:hAnsiTheme="majorBidi" w:cstheme="majorBidi"/>
        </w:rPr>
        <w:t>Appendix H: Clinical Translation Framework</w:t>
      </w:r>
    </w:p>
    <w:p w14:paraId="75B56AF7" w14:textId="43220389" w:rsidR="000D566E" w:rsidRPr="00E21100" w:rsidRDefault="00000000" w:rsidP="00E21100">
      <w:pPr>
        <w:spacing w:after="240"/>
        <w:jc w:val="both"/>
        <w:rPr>
          <w:rFonts w:asciiTheme="majorBidi" w:hAnsiTheme="majorBidi" w:cstheme="majorBidi"/>
          <w:sz w:val="28"/>
          <w:szCs w:val="28"/>
        </w:rPr>
      </w:pPr>
      <w:r w:rsidRPr="00E21100">
        <w:rPr>
          <w:rFonts w:asciiTheme="majorBidi" w:hAnsiTheme="majorBidi" w:cstheme="majorBidi"/>
          <w:sz w:val="28"/>
          <w:szCs w:val="28"/>
        </w:rPr>
        <w:t xml:space="preserve">If external validation </w:t>
      </w:r>
      <w:r w:rsidR="00E21100" w:rsidRPr="00E21100">
        <w:rPr>
          <w:rFonts w:asciiTheme="majorBidi" w:hAnsiTheme="majorBidi" w:cstheme="majorBidi"/>
          <w:sz w:val="28"/>
          <w:szCs w:val="28"/>
        </w:rPr>
        <w:t xml:space="preserve">is </w:t>
      </w:r>
      <w:r w:rsidRPr="00E21100">
        <w:rPr>
          <w:rFonts w:asciiTheme="majorBidi" w:hAnsiTheme="majorBidi" w:cstheme="majorBidi"/>
          <w:sz w:val="28"/>
          <w:szCs w:val="28"/>
        </w:rPr>
        <w:t xml:space="preserve">successful and regulatory pathways </w:t>
      </w:r>
      <w:r w:rsidR="00E21100" w:rsidRPr="00E21100">
        <w:rPr>
          <w:rFonts w:asciiTheme="majorBidi" w:hAnsiTheme="majorBidi" w:cstheme="majorBidi"/>
          <w:sz w:val="28"/>
          <w:szCs w:val="28"/>
        </w:rPr>
        <w:t xml:space="preserve">are </w:t>
      </w:r>
      <w:r w:rsidRPr="00E21100">
        <w:rPr>
          <w:rFonts w:asciiTheme="majorBidi" w:hAnsiTheme="majorBidi" w:cstheme="majorBidi"/>
          <w:sz w:val="28"/>
          <w:szCs w:val="28"/>
        </w:rPr>
        <w:t xml:space="preserve">identified, </w:t>
      </w:r>
      <w:r w:rsidR="00E21100" w:rsidRPr="00E21100">
        <w:rPr>
          <w:rFonts w:asciiTheme="majorBidi" w:hAnsiTheme="majorBidi" w:cstheme="majorBidi"/>
          <w:sz w:val="28"/>
          <w:szCs w:val="28"/>
        </w:rPr>
        <w:t xml:space="preserve">a </w:t>
      </w:r>
      <w:r w:rsidRPr="00E21100">
        <w:rPr>
          <w:rFonts w:asciiTheme="majorBidi" w:hAnsiTheme="majorBidi" w:cstheme="majorBidi"/>
          <w:sz w:val="28"/>
          <w:szCs w:val="28"/>
        </w:rPr>
        <w:t>framework for clinical implementation</w:t>
      </w:r>
      <w:r w:rsidR="00E21100" w:rsidRPr="00E21100">
        <w:rPr>
          <w:rFonts w:asciiTheme="majorBidi" w:hAnsiTheme="majorBidi" w:cstheme="majorBidi"/>
          <w:sz w:val="28"/>
          <w:szCs w:val="28"/>
        </w:rPr>
        <w:t>,</w:t>
      </w:r>
      <w:r w:rsidRPr="00E21100">
        <w:rPr>
          <w:rFonts w:asciiTheme="majorBidi" w:hAnsiTheme="majorBidi" w:cstheme="majorBidi"/>
          <w:sz w:val="28"/>
          <w:szCs w:val="28"/>
        </w:rPr>
        <w:t xml:space="preserve"> including genetic counseling, risk stratification algorithms, clinical decision support integration, and outcome tracking.</w:t>
      </w:r>
    </w:p>
    <w:p w14:paraId="4BD57CCB" w14:textId="1F4E51E7" w:rsidR="000D566E" w:rsidRPr="00E21100" w:rsidRDefault="00E21100" w:rsidP="00E21100">
      <w:pPr>
        <w:pBdr>
          <w:bottom w:val="double" w:sz="8" w:space="0" w:color="404040"/>
        </w:pBdr>
        <w:spacing w:before="600" w:after="120"/>
        <w:jc w:val="both"/>
        <w:rPr>
          <w:rFonts w:asciiTheme="majorBidi" w:hAnsiTheme="majorBidi" w:cstheme="majorBidi"/>
          <w:sz w:val="28"/>
          <w:szCs w:val="28"/>
        </w:rPr>
      </w:pPr>
      <w:r w:rsidRPr="00E21100">
        <w:rPr>
          <w:rFonts w:asciiTheme="majorBidi" w:hAnsiTheme="majorBidi" w:cstheme="majorBidi"/>
          <w:b/>
          <w:bCs/>
          <w:sz w:val="28"/>
          <w:szCs w:val="28"/>
        </w:rPr>
        <w:t xml:space="preserve">           === END OF 40+ PAGE COMPREHENSIVE MANUSCRIPT ===</w:t>
      </w:r>
    </w:p>
    <w:sectPr w:rsidR="000D566E" w:rsidRPr="00E21100" w:rsidSect="001D7C19">
      <w:footerReference w:type="default" r:id="rId7"/>
      <w:pgSz w:w="12240" w:h="15840"/>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8391C" w14:textId="77777777" w:rsidR="00DD7DC7" w:rsidRDefault="00DD7DC7" w:rsidP="00DB517A">
      <w:r>
        <w:separator/>
      </w:r>
    </w:p>
  </w:endnote>
  <w:endnote w:type="continuationSeparator" w:id="0">
    <w:p w14:paraId="39C7C84D" w14:textId="77777777" w:rsidR="00DD7DC7" w:rsidRDefault="00DD7DC7" w:rsidP="00DB5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2155393"/>
      <w:docPartObj>
        <w:docPartGallery w:val="Page Numbers (Bottom of Page)"/>
        <w:docPartUnique/>
      </w:docPartObj>
    </w:sdtPr>
    <w:sdtEndPr>
      <w:rPr>
        <w:noProof/>
      </w:rPr>
    </w:sdtEndPr>
    <w:sdtContent>
      <w:p w14:paraId="38FCBAFA" w14:textId="2B78304D" w:rsidR="00CA4428" w:rsidRDefault="00CA4428" w:rsidP="00CA44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75B20F" w14:textId="19748530" w:rsidR="00084EA0" w:rsidRDefault="00084EA0">
    <w:pPr>
      <w:pStyle w:val="Footer"/>
      <w:rPr>
        <w:lang w:bidi="ar-IQ"/>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5C0C2" w14:textId="77777777" w:rsidR="00DD7DC7" w:rsidRDefault="00DD7DC7" w:rsidP="00DB517A">
      <w:r>
        <w:separator/>
      </w:r>
    </w:p>
  </w:footnote>
  <w:footnote w:type="continuationSeparator" w:id="0">
    <w:p w14:paraId="583FB350" w14:textId="77777777" w:rsidR="00DD7DC7" w:rsidRDefault="00DD7DC7" w:rsidP="00DB51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456C45"/>
    <w:multiLevelType w:val="hybridMultilevel"/>
    <w:tmpl w:val="02E69BE6"/>
    <w:lvl w:ilvl="0" w:tplc="633C7D56">
      <w:start w:val="1"/>
      <w:numFmt w:val="bullet"/>
      <w:lvlText w:val="●"/>
      <w:lvlJc w:val="left"/>
      <w:pPr>
        <w:ind w:left="720" w:hanging="360"/>
      </w:pPr>
    </w:lvl>
    <w:lvl w:ilvl="1" w:tplc="B11C00B4">
      <w:start w:val="1"/>
      <w:numFmt w:val="bullet"/>
      <w:lvlText w:val="○"/>
      <w:lvlJc w:val="left"/>
      <w:pPr>
        <w:ind w:left="1440" w:hanging="360"/>
      </w:pPr>
    </w:lvl>
    <w:lvl w:ilvl="2" w:tplc="4AF61304">
      <w:start w:val="1"/>
      <w:numFmt w:val="bullet"/>
      <w:lvlText w:val="■"/>
      <w:lvlJc w:val="left"/>
      <w:pPr>
        <w:ind w:left="2160" w:hanging="360"/>
      </w:pPr>
    </w:lvl>
    <w:lvl w:ilvl="3" w:tplc="D14CD1BE">
      <w:start w:val="1"/>
      <w:numFmt w:val="bullet"/>
      <w:lvlText w:val="●"/>
      <w:lvlJc w:val="left"/>
      <w:pPr>
        <w:ind w:left="2880" w:hanging="360"/>
      </w:pPr>
    </w:lvl>
    <w:lvl w:ilvl="4" w:tplc="16540670">
      <w:start w:val="1"/>
      <w:numFmt w:val="bullet"/>
      <w:lvlText w:val="○"/>
      <w:lvlJc w:val="left"/>
      <w:pPr>
        <w:ind w:left="3600" w:hanging="360"/>
      </w:pPr>
    </w:lvl>
    <w:lvl w:ilvl="5" w:tplc="6634355C">
      <w:start w:val="1"/>
      <w:numFmt w:val="bullet"/>
      <w:lvlText w:val="■"/>
      <w:lvlJc w:val="left"/>
      <w:pPr>
        <w:ind w:left="4320" w:hanging="360"/>
      </w:pPr>
    </w:lvl>
    <w:lvl w:ilvl="6" w:tplc="732A9ADC">
      <w:start w:val="1"/>
      <w:numFmt w:val="bullet"/>
      <w:lvlText w:val="●"/>
      <w:lvlJc w:val="left"/>
      <w:pPr>
        <w:ind w:left="5040" w:hanging="360"/>
      </w:pPr>
    </w:lvl>
    <w:lvl w:ilvl="7" w:tplc="9194746C">
      <w:start w:val="1"/>
      <w:numFmt w:val="bullet"/>
      <w:lvlText w:val="●"/>
      <w:lvlJc w:val="left"/>
      <w:pPr>
        <w:ind w:left="5760" w:hanging="360"/>
      </w:pPr>
    </w:lvl>
    <w:lvl w:ilvl="8" w:tplc="F538014C">
      <w:start w:val="1"/>
      <w:numFmt w:val="bullet"/>
      <w:lvlText w:val="●"/>
      <w:lvlJc w:val="left"/>
      <w:pPr>
        <w:ind w:left="6480" w:hanging="360"/>
      </w:pPr>
    </w:lvl>
  </w:abstractNum>
  <w:abstractNum w:abstractNumId="1" w15:restartNumberingAfterBreak="0">
    <w:nsid w:val="6FBC5875"/>
    <w:multiLevelType w:val="hybridMultilevel"/>
    <w:tmpl w:val="88DE51DC"/>
    <w:lvl w:ilvl="0" w:tplc="ED48A1F6">
      <w:start w:val="1"/>
      <w:numFmt w:val="bullet"/>
      <w:lvlText w:val="•"/>
      <w:lvlJc w:val="left"/>
      <w:pPr>
        <w:ind w:left="720" w:hanging="360"/>
      </w:pPr>
    </w:lvl>
    <w:lvl w:ilvl="1" w:tplc="CC86E6F4">
      <w:numFmt w:val="decimal"/>
      <w:lvlText w:val=""/>
      <w:lvlJc w:val="left"/>
    </w:lvl>
    <w:lvl w:ilvl="2" w:tplc="A1BAD21A">
      <w:numFmt w:val="decimal"/>
      <w:lvlText w:val=""/>
      <w:lvlJc w:val="left"/>
    </w:lvl>
    <w:lvl w:ilvl="3" w:tplc="B09A78D4">
      <w:numFmt w:val="decimal"/>
      <w:lvlText w:val=""/>
      <w:lvlJc w:val="left"/>
    </w:lvl>
    <w:lvl w:ilvl="4" w:tplc="017ADDDC">
      <w:numFmt w:val="decimal"/>
      <w:lvlText w:val=""/>
      <w:lvlJc w:val="left"/>
    </w:lvl>
    <w:lvl w:ilvl="5" w:tplc="FF0AE23E">
      <w:numFmt w:val="decimal"/>
      <w:lvlText w:val=""/>
      <w:lvlJc w:val="left"/>
    </w:lvl>
    <w:lvl w:ilvl="6" w:tplc="030C2E38">
      <w:numFmt w:val="decimal"/>
      <w:lvlText w:val=""/>
      <w:lvlJc w:val="left"/>
    </w:lvl>
    <w:lvl w:ilvl="7" w:tplc="63120406">
      <w:numFmt w:val="decimal"/>
      <w:lvlText w:val=""/>
      <w:lvlJc w:val="left"/>
    </w:lvl>
    <w:lvl w:ilvl="8" w:tplc="D8804370">
      <w:numFmt w:val="decimal"/>
      <w:lvlText w:val=""/>
      <w:lvlJc w:val="left"/>
    </w:lvl>
  </w:abstractNum>
  <w:num w:numId="1" w16cid:durableId="1231884554">
    <w:abstractNumId w:val="0"/>
    <w:lvlOverride w:ilvl="0">
      <w:startOverride w:val="1"/>
    </w:lvlOverride>
  </w:num>
  <w:num w:numId="2" w16cid:durableId="171777284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66E"/>
    <w:rsid w:val="0003108E"/>
    <w:rsid w:val="00084EA0"/>
    <w:rsid w:val="00095B64"/>
    <w:rsid w:val="000D566E"/>
    <w:rsid w:val="001D7C19"/>
    <w:rsid w:val="003705A0"/>
    <w:rsid w:val="003A0F5D"/>
    <w:rsid w:val="00453A7C"/>
    <w:rsid w:val="00687AB6"/>
    <w:rsid w:val="008D6FA7"/>
    <w:rsid w:val="00A61FF7"/>
    <w:rsid w:val="00B62760"/>
    <w:rsid w:val="00CA4428"/>
    <w:rsid w:val="00DB517A"/>
    <w:rsid w:val="00DD7DC7"/>
    <w:rsid w:val="00E211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F7D00"/>
  <w15:docId w15:val="{0657E99B-9562-4284-A798-CFEAD564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60"/>
      <w:outlineLvl w:val="0"/>
    </w:pPr>
    <w:rPr>
      <w:b/>
      <w:bCs/>
      <w:color w:val="1F4E78"/>
      <w:sz w:val="32"/>
      <w:szCs w:val="32"/>
    </w:rPr>
  </w:style>
  <w:style w:type="paragraph" w:styleId="Heading2">
    <w:name w:val="heading 2"/>
    <w:uiPriority w:val="9"/>
    <w:unhideWhenUsed/>
    <w:qFormat/>
    <w:pPr>
      <w:spacing w:before="240" w:after="120"/>
      <w:outlineLvl w:val="1"/>
    </w:pPr>
    <w:rPr>
      <w:b/>
      <w:bCs/>
      <w:color w:val="2E5C8A"/>
      <w:sz w:val="28"/>
      <w:szCs w:val="28"/>
    </w:rPr>
  </w:style>
  <w:style w:type="paragraph" w:styleId="Heading3">
    <w:name w:val="heading 3"/>
    <w:uiPriority w:val="9"/>
    <w:semiHidden/>
    <w:unhideWhenUsed/>
    <w:qFormat/>
    <w:pPr>
      <w:spacing w:before="160" w:after="100"/>
      <w:outlineLvl w:val="2"/>
    </w:pPr>
    <w:rPr>
      <w:b/>
      <w:bCs/>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B517A"/>
    <w:pPr>
      <w:tabs>
        <w:tab w:val="center" w:pos="4320"/>
        <w:tab w:val="right" w:pos="8640"/>
      </w:tabs>
    </w:pPr>
  </w:style>
  <w:style w:type="character" w:customStyle="1" w:styleId="HeaderChar">
    <w:name w:val="Header Char"/>
    <w:basedOn w:val="DefaultParagraphFont"/>
    <w:link w:val="Header"/>
    <w:uiPriority w:val="99"/>
    <w:rsid w:val="00DB517A"/>
  </w:style>
  <w:style w:type="paragraph" w:styleId="Footer">
    <w:name w:val="footer"/>
    <w:basedOn w:val="Normal"/>
    <w:link w:val="FooterChar"/>
    <w:uiPriority w:val="99"/>
    <w:unhideWhenUsed/>
    <w:rsid w:val="00DB517A"/>
    <w:pPr>
      <w:tabs>
        <w:tab w:val="center" w:pos="4320"/>
        <w:tab w:val="right" w:pos="8640"/>
      </w:tabs>
    </w:pPr>
  </w:style>
  <w:style w:type="character" w:customStyle="1" w:styleId="FooterChar">
    <w:name w:val="Footer Char"/>
    <w:basedOn w:val="DefaultParagraphFont"/>
    <w:link w:val="Footer"/>
    <w:uiPriority w:val="99"/>
    <w:rsid w:val="00DB5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4766</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Akram Jassam</cp:lastModifiedBy>
  <cp:revision>5</cp:revision>
  <dcterms:created xsi:type="dcterms:W3CDTF">2026-05-27T04:36:00Z</dcterms:created>
  <dcterms:modified xsi:type="dcterms:W3CDTF">2026-05-28T17:23:00Z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7b2edf08-b913-4216-9e6a-cea629f80990</vt:lpwstr>
  </property>
</Properties>
</file>