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rPr>
          <w:rFonts w:ascii="Liberation Sans" w:hAnsi="Liberation Sans"/>
          <w:b/>
          <w:color w:val="174A7E"/>
          <w:sz w:val="34"/>
        </w:rPr>
        <w:t>THE WESTERN NORTH CAROLINA</w:t>
      </w:r>
    </w:p>
    <w:p>
      <w:pPr>
        <w:spacing w:after="160"/>
        <w:jc w:val="center"/>
      </w:pPr>
      <w:r>
        <w:rPr>
          <w:rFonts w:ascii="Liberation Sans" w:hAnsi="Liberation Sans"/>
          <w:b/>
          <w:color w:val="123451"/>
          <w:sz w:val="62"/>
        </w:rPr>
        <w:t>HOMEBUYER’S GUIDE</w:t>
      </w:r>
    </w:p>
    <w:tbl>
      <w:tblPr>
        <w:tblW w:type="auto" w:w="0"/>
        <w:jc w:val="center"/>
        <w:tblLayout w:type="fixed"/>
        <w:tblLook w:firstColumn="1" w:firstRow="1" w:lastColumn="0" w:lastRow="0" w:noHBand="0" w:noVBand="1" w:val="04A0"/>
      </w:tblPr>
      <w:tblGrid>
        <w:gridCol w:w="3312"/>
        <w:gridCol w:w="2304"/>
        <w:gridCol w:w="3312"/>
      </w:tblGrid>
      <w:tr>
        <w:trPr>
          <w:cantSplit/>
        </w:trPr>
        <w:tc>
          <w:tcPr>
            <w:tcW w:type="dxa" w:w="3293"/>
            <w:shd w:fill="D71920"/>
            <w:tcMar>
              <w:top w:w="0" w:type="dxa"/>
              <w:start w:w="0" w:type="dxa"/>
              <w:bottom w:w="0" w:type="dxa"/>
              <w:end w:w="0" w:type="dxa"/>
            </w:tcMar>
          </w:tcPr>
          <w:p/>
        </w:tc>
        <w:tc>
          <w:tcPr>
            <w:tcW w:type="dxa" w:w="3293"/>
            <w:shd w:fill="174A7E"/>
            <w:tcMar>
              <w:top w:w="0" w:type="dxa"/>
              <w:start w:w="0" w:type="dxa"/>
              <w:bottom w:w="0" w:type="dxa"/>
              <w:end w:w="0" w:type="dxa"/>
            </w:tcMar>
          </w:tcPr>
          <w:p/>
        </w:tc>
        <w:tc>
          <w:tcPr>
            <w:tcW w:type="dxa" w:w="3293"/>
            <w:shd w:fill="D71920"/>
            <w:tcMar>
              <w:top w:w="0" w:type="dxa"/>
              <w:start w:w="0" w:type="dxa"/>
              <w:bottom w:w="0" w:type="dxa"/>
              <w:end w:w="0" w:type="dxa"/>
            </w:tcMar>
          </w:tcPr>
          <w:p/>
        </w:tc>
      </w:tr>
    </w:tbl>
    <w:p>
      <w:pPr>
        <w:spacing w:before="360"/>
        <w:jc w:val="center"/>
      </w:pPr>
      <w:r>
        <w:rPr>
          <w:rFonts w:ascii="Liberation Sans" w:hAnsi="Liberation Sans"/>
          <w:i/>
          <w:color w:val="1F2937"/>
          <w:sz w:val="30"/>
        </w:rPr>
        <w:t>A Step-by-Step Guide to Buying a Home</w:t>
        <w:br/>
        <w:t>in Western North Carolina</w:t>
      </w:r>
    </w:p>
    <w:p>
      <w:pPr>
        <w:spacing w:before="500"/>
        <w:jc w:val="center"/>
      </w:pPr>
      <w:r>
        <w:rPr>
          <w:rFonts w:ascii="Liberation Sans" w:hAnsi="Liberation Sans"/>
          <w:b/>
          <w:color w:val="D71920"/>
          <w:sz w:val="22"/>
        </w:rPr>
        <w:t>Buying  •  Financing  •  Inspections  •  Closing</w:t>
      </w:r>
    </w:p>
    <w:p>
      <w:pPr>
        <w:jc w:val="center"/>
      </w:pPr>
      <w:r>
        <w:rPr>
          <w:rFonts w:ascii="Liberation Sans" w:hAnsi="Liberation Sans"/>
          <w:b/>
          <w:color w:val="174A7E"/>
          <w:sz w:val="21"/>
        </w:rPr>
        <w:t>English and Spanish Resources Included</w:t>
      </w:r>
    </w:p>
    <w:p>
      <w:pPr>
        <w:spacing w:before="1440"/>
        <w:jc w:val="center"/>
      </w:pPr>
      <w:r>
        <w:rPr>
          <w:rFonts w:ascii="Liberation Sans" w:hAnsi="Liberation Sans"/>
          <w:b/>
          <w:color w:val="123451"/>
          <w:sz w:val="34"/>
        </w:rPr>
        <w:t>Francine Mira</w:t>
      </w:r>
    </w:p>
    <w:p>
      <w:pPr>
        <w:jc w:val="center"/>
      </w:pPr>
      <w:r>
        <w:rPr>
          <w:rFonts w:ascii="Liberation Sans" w:hAnsi="Liberation Sans"/>
          <w:color w:val="1F2937"/>
          <w:sz w:val="21"/>
        </w:rPr>
        <w:t>NC REALTOR®  |  Mortgage Loan Originator</w:t>
      </w:r>
    </w:p>
    <w:p>
      <w:pPr>
        <w:jc w:val="center"/>
      </w:pPr>
      <w:r>
        <w:rPr>
          <w:rFonts w:ascii="Liberation Sans" w:hAnsi="Liberation Sans"/>
          <w:color w:val="1F2937"/>
          <w:sz w:val="21"/>
        </w:rPr>
        <w:t>RE/MAX Journey  |  NMLS #2603041</w:t>
      </w:r>
    </w:p>
    <w:p>
      <w:pPr>
        <w:spacing w:before="900"/>
        <w:jc w:val="center"/>
      </w:pPr>
      <w:r>
        <w:rPr>
          <w:rFonts w:ascii="Liberation Sans" w:hAnsi="Liberation Sans"/>
          <w:b/>
          <w:color w:val="6B7280"/>
          <w:sz w:val="17"/>
        </w:rPr>
        <w:t>FIRST MANUSCRIPT • JUNE 2026</w:t>
      </w:r>
    </w:p>
    <w:p>
      <w:r>
        <w:br w:type="page"/>
      </w:r>
    </w:p>
    <w:p>
      <w:pPr>
        <w:pStyle w:val="Heading2"/>
        <w:spacing w:before="200" w:after="100"/>
      </w:pPr>
      <w:r>
        <w:rPr>
          <w:rFonts w:ascii="Liberation Sans" w:hAnsi="Liberation Sans"/>
          <w:b/>
          <w:color w:val="174A7E"/>
          <w:sz w:val="28"/>
        </w:rPr>
        <w:t>Copyright and Important Information</w:t>
      </w:r>
    </w:p>
    <w:p>
      <w:pPr>
        <w:pStyle w:val="BodyText"/>
        <w:keepLines w:val="0"/>
        <w:spacing w:after="120"/>
      </w:pPr>
      <w:r>
        <w:rPr>
          <w:rFonts w:ascii="Liberation Sans" w:hAnsi="Liberation Sans"/>
          <w:i w:val="0"/>
          <w:color w:val="1F2937"/>
          <w:sz w:val="21"/>
        </w:rPr>
        <w:t>Copyright © 2026 Francine Mira. All rights reserved. No part of this publication may be reproduced, stored, or distributed for commercial use without written permission from the author, except for brief quotations used in reviews or educational references.</w:t>
      </w:r>
    </w:p>
    <w:p>
      <w:pPr>
        <w:pStyle w:val="BodyText"/>
        <w:keepLines w:val="0"/>
        <w:spacing w:after="120"/>
      </w:pPr>
      <w:r>
        <w:rPr>
          <w:rFonts w:ascii="Liberation Sans" w:hAnsi="Liberation Sans"/>
          <w:i w:val="0"/>
          <w:color w:val="1F2937"/>
          <w:sz w:val="21"/>
        </w:rPr>
        <w:t>This guide is educational. It is not legal, tax, accounting, credit-repair, immigration, appraisal, engineering, inspection, or financial advice. Real estate contracts create legal obligations. Mortgage programs, interest rates, fees, underwriting standards, property requirements, income limits, and down payment assistance can change. Always confirm current requirements with the appropriate licensed professional and official program source.</w:t>
      </w:r>
    </w:p>
    <w:p>
      <w:pPr>
        <w:pStyle w:val="BodyText"/>
        <w:keepLines w:val="0"/>
        <w:spacing w:after="120"/>
      </w:pPr>
      <w:r>
        <w:rPr>
          <w:rFonts w:ascii="Liberation Sans" w:hAnsi="Liberation Sans"/>
          <w:i w:val="0"/>
          <w:color w:val="1F2937"/>
          <w:sz w:val="21"/>
        </w:rPr>
        <w:t>A mortgage pre-approval is not a guarantee of final loan approval. Final approval depends on the borrower, property, appraisal, title, insurance, documentation, and lender requirements. All loans are subject to credit approval and program eligibility. This publication is not a commitment to lend.</w:t>
      </w:r>
    </w:p>
    <w:p>
      <w:pPr>
        <w:pStyle w:val="BodyText"/>
        <w:keepLines w:val="0"/>
        <w:spacing w:after="120"/>
      </w:pPr>
      <w:r>
        <w:rPr>
          <w:rFonts w:ascii="Liberation Sans" w:hAnsi="Liberation Sans"/>
          <w:i w:val="0"/>
          <w:color w:val="1F2937"/>
          <w:sz w:val="21"/>
        </w:rPr>
        <w:t>Real estate brokerage and mortgage lending are separate professional services governed by separate disclosures and agreements. A consumer may choose their own real estate broker, lender, attorney, inspector, insurance provider, and other service professionals.</w:t>
      </w:r>
    </w:p>
    <w:tbl>
      <w:tblPr>
        <w:tblW w:type="auto" w:w="0"/>
        <w:jc w:val="center"/>
        <w:tblLayout w:type="fixed"/>
        <w:tblLook w:firstColumn="1" w:firstRow="1" w:lastColumn="0" w:lastRow="0" w:noHBand="0" w:noVBand="1" w:val="04A0"/>
      </w:tblPr>
      <w:tblGrid>
        <w:gridCol w:w="9360"/>
      </w:tblGrid>
      <w:tr>
        <w:trPr>
          <w:cantSplit/>
        </w:trPr>
        <w:tc>
          <w:tcPr>
            <w:tcW w:type="dxa" w:w="9878"/>
            <w:shd w:fill="EAF5EF"/>
            <w:tcMar>
              <w:top w:w="130" w:type="dxa"/>
              <w:start w:w="180" w:type="dxa"/>
              <w:bottom w:w="130" w:type="dxa"/>
              <w:end w:w="180" w:type="dxa"/>
            </w:tcMar>
            <w:tcBorders>
              <w:top w:val="nil"/>
              <w:left w:val="single" w:sz="18" w:color="2E6B4F"/>
              <w:bottom w:val="nil"/>
              <w:right w:val="nil"/>
            </w:tcBorders>
          </w:tcPr>
          <w:p>
            <w:pPr>
              <w:spacing w:after="60"/>
            </w:pPr>
            <w:r>
              <w:rPr>
                <w:rFonts w:ascii="Liberation Sans" w:hAnsi="Liberation Sans"/>
                <w:b/>
                <w:color w:val="2E6B4F"/>
                <w:sz w:val="21"/>
              </w:rPr>
              <w:t>Fair Housing Commitment</w:t>
            </w:r>
          </w:p>
          <w:p>
            <w:pPr>
              <w:spacing w:after="0"/>
            </w:pPr>
            <w:r>
              <w:rPr>
                <w:rFonts w:ascii="Liberation Sans" w:hAnsi="Liberation Sans"/>
                <w:color w:val="1F2937"/>
                <w:sz w:val="20"/>
              </w:rPr>
              <w:t>Homeownership opportunities should be provided without discrimination based on protected characteristics under federal, state, and local law. Every buyer deserves accurate information, professional service, and respect.</w:t>
            </w:r>
          </w:p>
        </w:tc>
      </w:tr>
    </w:tbl>
    <w:p>
      <w:pPr>
        <w:spacing w:after="20"/>
      </w:pPr>
    </w:p>
    <w:p>
      <w:pPr>
        <w:pStyle w:val="BodyText"/>
        <w:keepLines w:val="0"/>
        <w:spacing w:after="120"/>
      </w:pPr>
      <w:r>
        <w:rPr>
          <w:rFonts w:ascii="Liberation Sans" w:hAnsi="Liberation Sans"/>
          <w:i w:val="0"/>
          <w:color w:val="1F2937"/>
          <w:sz w:val="21"/>
        </w:rPr>
        <w:t>Information in this first manuscript was reviewed against official consumer and government resources available through June 14, 2026. Readers should verify current rules before relying on a specific dollar amount, deadline, eligibility standard, or loan feature.</w:t>
      </w:r>
    </w:p>
    <w:p>
      <w:pPr>
        <w:pStyle w:val="Heading2"/>
        <w:spacing w:before="200" w:after="100"/>
      </w:pPr>
      <w:r>
        <w:rPr>
          <w:rFonts w:ascii="Liberation Sans" w:hAnsi="Liberation Sans"/>
          <w:b/>
          <w:color w:val="174A7E"/>
          <w:sz w:val="28"/>
        </w:rPr>
        <w:t>How to Use This Guide</w:t>
      </w:r>
    </w:p>
    <w:p>
      <w:pPr>
        <w:pStyle w:val="BodyText"/>
        <w:keepLines w:val="0"/>
        <w:spacing w:after="120"/>
      </w:pPr>
      <w:r>
        <w:rPr>
          <w:rFonts w:ascii="Liberation Sans" w:hAnsi="Liberation Sans"/>
          <w:i w:val="0"/>
          <w:color w:val="1F2937"/>
          <w:sz w:val="21"/>
        </w:rPr>
        <w:t>You do not need to read this guide in one sitting. Start with the chapter that matches where you are today. If you are still deciding whether to buy, begin with Chapters 1 through 3. If you are ready for financing, focus on Chapters 4 and 5. Once you are shopping, Chapters 6 through 11 become your working roadmap.</w:t>
      </w:r>
    </w:p>
    <w:p>
      <w:pPr>
        <w:pStyle w:val="ListBullet"/>
        <w:spacing w:after="60"/>
        <w:ind w:left="360" w:hanging="259"/>
      </w:pPr>
      <w:r>
        <w:rPr>
          <w:rFonts w:ascii="Liberation Sans" w:hAnsi="Liberation Sans"/>
          <w:color w:val="1F2937"/>
          <w:sz w:val="20"/>
        </w:rPr>
        <w:t>Write directly in the checklists and note pages.</w:t>
      </w:r>
    </w:p>
    <w:p>
      <w:pPr>
        <w:pStyle w:val="ListBullet"/>
        <w:spacing w:after="60"/>
        <w:ind w:left="360" w:hanging="259"/>
      </w:pPr>
      <w:r>
        <w:rPr>
          <w:rFonts w:ascii="Liberation Sans" w:hAnsi="Liberation Sans"/>
          <w:color w:val="1F2937"/>
          <w:sz w:val="20"/>
        </w:rPr>
        <w:t>Use the questions in each chapter during conversations with your agent, lender, inspector, attorney, and insurance provider.</w:t>
      </w:r>
    </w:p>
    <w:p>
      <w:pPr>
        <w:pStyle w:val="ListBullet"/>
        <w:spacing w:after="60"/>
        <w:ind w:left="360" w:hanging="259"/>
      </w:pPr>
      <w:r>
        <w:rPr>
          <w:rFonts w:ascii="Liberation Sans" w:hAnsi="Liberation Sans"/>
          <w:color w:val="1F2937"/>
          <w:sz w:val="20"/>
        </w:rPr>
        <w:t>Keep copies of important documents in one secure folder, either digital or paper.</w:t>
      </w:r>
    </w:p>
    <w:p>
      <w:pPr>
        <w:pStyle w:val="ListBullet"/>
        <w:spacing w:after="60"/>
        <w:ind w:left="360" w:hanging="259"/>
      </w:pPr>
      <w:r>
        <w:rPr>
          <w:rFonts w:ascii="Liberation Sans" w:hAnsi="Liberation Sans"/>
          <w:color w:val="1F2937"/>
          <w:sz w:val="20"/>
        </w:rPr>
        <w:t>Do not send bank statements, tax returns, identification, or wiring instructions through unsecured messages.</w:t>
      </w:r>
    </w:p>
    <w:p>
      <w:pPr>
        <w:pStyle w:val="ListBullet"/>
        <w:spacing w:after="60"/>
        <w:ind w:left="360" w:hanging="259"/>
      </w:pPr>
      <w:r>
        <w:rPr>
          <w:rFonts w:ascii="Liberation Sans" w:hAnsi="Liberation Sans"/>
          <w:color w:val="1F2937"/>
          <w:sz w:val="20"/>
        </w:rPr>
        <w:t>Revisit the guide after closing. Chapter 12 and the maintenance calendar are designed for new homeowners.</w:t>
      </w:r>
    </w:p>
    <w:p>
      <w:r>
        <w:br w:type="page"/>
      </w:r>
    </w:p>
    <w:p>
      <w:r>
        <w:rPr>
          <w:rFonts w:ascii="Liberation Sans" w:hAnsi="Liberation Sans"/>
          <w:b/>
          <w:color w:val="123451"/>
          <w:sz w:val="44"/>
        </w:rPr>
        <w:t>TABLE OF CONTENTS</w:t>
      </w:r>
    </w:p>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Introduction</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The process, the purpose, and what makes Western North Carolina different</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Why I Wrote This Guide</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A practical resource for families who need clear answers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1</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Are You Ready to Buy a Home?</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2</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Understanding Credit Scores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3</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How Much House Can You Afford?</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4</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Loan Programs Explained</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5</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The Pre-Approval Process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6</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Finding the Right Home</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7</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Understanding Inspections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8</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Making an Offer</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9</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The North Carolina Due Diligence Period</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10</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Understanding Closing Costs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11</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Closing Day</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Chapter 12</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After You Move In</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D71920"/>
                <w:sz w:val="19"/>
              </w:rPr>
              <w:t>Special Chapter</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Guía de Compra de Vivienda para Familias Hispanas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Buyer Resources</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Document, inspection, moving, utility, and maintenance checklists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Frequently Asked Questions</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Answers to common homebuyer questions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Glossary</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Plain-language real estate and mortgage terms</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About Francine Mira</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Your bilingual homeownership resource</w:t>
            </w:r>
          </w:p>
        </w:tc>
      </w:tr>
    </w:tbl>
    <w:tbl>
      <w:tblPr>
        <w:tblW w:type="auto" w:w="0"/>
        <w:jc w:val="center"/>
        <w:tblLayout w:type="fixed"/>
        <w:tblLook w:firstColumn="1" w:firstRow="1" w:lastColumn="0" w:lastRow="0" w:noHBand="0" w:noVBand="1" w:val="04A0"/>
      </w:tblPr>
      <w:tblGrid>
        <w:gridCol w:w="1944"/>
        <w:gridCol w:w="7416"/>
      </w:tblGrid>
      <w:tr>
        <w:trPr>
          <w:cantSplit/>
        </w:trPr>
        <w:tc>
          <w:tcPr>
            <w:tcW w:type="dxa" w:w="4939"/>
            <w:tcMar>
              <w:top w:w="65" w:type="dxa"/>
              <w:start w:w="80" w:type="dxa"/>
              <w:bottom w:w="65" w:type="dxa"/>
              <w:end w:w="80" w:type="dxa"/>
            </w:tcMar>
            <w:tcBorders>
              <w:bottom w:val="single" w:sz="4" w:color="D7DCE1"/>
            </w:tcBorders>
          </w:tcPr>
          <w:p>
            <w:r>
              <w:rPr>
                <w:rFonts w:ascii="Liberation Sans" w:hAnsi="Liberation Sans"/>
                <w:b/>
                <w:color w:val="174A7E"/>
                <w:sz w:val="19"/>
              </w:rPr>
              <w:t>Official Resources</w:t>
            </w:r>
          </w:p>
        </w:tc>
        <w:tc>
          <w:tcPr>
            <w:tcW w:type="dxa" w:w="4939"/>
            <w:tcMar>
              <w:top w:w="65" w:type="dxa"/>
              <w:start w:w="80" w:type="dxa"/>
              <w:bottom w:w="65" w:type="dxa"/>
              <w:end w:w="80" w:type="dxa"/>
            </w:tcMar>
            <w:tcBorders>
              <w:bottom w:val="single" w:sz="4" w:color="D7DCE1"/>
            </w:tcBorders>
          </w:tcPr>
          <w:p>
            <w:r>
              <w:rPr>
                <w:rFonts w:ascii="Liberation Sans" w:hAnsi="Liberation Sans"/>
                <w:color w:val="1F2937"/>
                <w:sz w:val="19"/>
              </w:rPr>
              <w:t>Government and consumer references</w:t>
            </w:r>
          </w:p>
        </w:tc>
      </w:tr>
    </w:tbl>
    <w:p>
      <w:r>
        <w:br w:type="page"/>
      </w:r>
    </w:p>
    <w:p>
      <w:r>
        <w:rPr>
          <w:rFonts w:ascii="Liberation Sans" w:hAnsi="Liberation Sans"/>
          <w:b/>
          <w:color w:val="D71920"/>
          <w:sz w:val="20"/>
        </w:rPr>
        <w:t>INTRODUCTION</w:t>
      </w:r>
    </w:p>
    <w:p>
      <w:r>
        <w:rPr>
          <w:rFonts w:ascii="Liberation Sans" w:hAnsi="Liberation Sans"/>
          <w:b/>
          <w:color w:val="123451"/>
          <w:sz w:val="46"/>
        </w:rPr>
        <w:t>Homeownership Should Not Feel Like a Secret Language</w:t>
      </w:r>
    </w:p>
    <w:p>
      <w:pPr>
        <w:pStyle w:val="BodyText"/>
        <w:keepLines w:val="0"/>
        <w:spacing w:after="120"/>
      </w:pPr>
      <w:r>
        <w:rPr>
          <w:rFonts w:ascii="Liberation Sans" w:hAnsi="Liberation Sans"/>
          <w:i w:val="0"/>
          <w:color w:val="1F2937"/>
          <w:sz w:val="21"/>
        </w:rPr>
        <w:t>Buying a home can be exciting, but the process often arrives with a new vocabulary, strict deadlines, unfamiliar documents, and expensive decisions. You may hear words such as pre-approval, underwriting, due diligence, earnest money, appraisal, title, escrow, and cash to close, sometimes all in the same week. It is normal to feel overwhelmed.</w:t>
      </w:r>
    </w:p>
    <w:p>
      <w:pPr>
        <w:pStyle w:val="BodyText"/>
        <w:keepLines w:val="0"/>
        <w:spacing w:after="120"/>
      </w:pPr>
      <w:r>
        <w:rPr>
          <w:rFonts w:ascii="Liberation Sans" w:hAnsi="Liberation Sans"/>
          <w:i w:val="0"/>
          <w:color w:val="1F2937"/>
          <w:sz w:val="21"/>
        </w:rPr>
        <w:t>The purpose of this guide is to slow the process down and make it understandable. You do not need to become a real estate attorney or mortgage underwriter. You do need to know what questions to ask, which deadlines matter, where your money is going, and when a decision could create risk.</w:t>
      </w:r>
    </w:p>
    <w:p>
      <w:pPr>
        <w:pStyle w:val="BodyText"/>
        <w:keepLines w:val="0"/>
        <w:spacing w:after="120"/>
      </w:pPr>
      <w:r>
        <w:rPr>
          <w:rFonts w:ascii="Liberation Sans" w:hAnsi="Liberation Sans"/>
          <w:i w:val="0"/>
          <w:color w:val="1F2937"/>
          <w:sz w:val="21"/>
        </w:rPr>
        <w:t>Western North Carolina adds another layer. A home may sit on a private road, use a well and septic system, depend on propane, include a manufactured home, have steep acreage, share a driveway, or be located far from public utilities. Those features are not automatically problems. They simply require more investigation before you commit.</w:t>
      </w:r>
    </w:p>
    <w:tbl>
      <w:tblPr>
        <w:tblW w:type="auto" w:w="0"/>
        <w:jc w:val="center"/>
        <w:tblLayout w:type="fixed"/>
        <w:tblLook w:firstColumn="1" w:firstRow="1" w:lastColumn="0" w:lastRow="0" w:noHBand="0" w:noVBand="1" w:val="04A0"/>
      </w:tblPr>
      <w:tblGrid>
        <w:gridCol w:w="9360"/>
      </w:tblGrid>
      <w:tr>
        <w:trPr>
          <w:cantSplit/>
        </w:trPr>
        <w:tc>
          <w:tcPr>
            <w:tcW w:type="dxa" w:w="9878"/>
            <w:shd w:fill="EAF2F8"/>
            <w:tcMar>
              <w:top w:w="130" w:type="dxa"/>
              <w:start w:w="180" w:type="dxa"/>
              <w:bottom w:w="130" w:type="dxa"/>
              <w:end w:w="180" w:type="dxa"/>
            </w:tcMar>
            <w:tcBorders>
              <w:top w:val="nil"/>
              <w:left w:val="single" w:sz="18" w:color="174A7E"/>
              <w:bottom w:val="nil"/>
              <w:right w:val="nil"/>
            </w:tcBorders>
          </w:tcPr>
          <w:p>
            <w:pPr>
              <w:spacing w:after="60"/>
            </w:pPr>
            <w:r>
              <w:rPr>
                <w:rFonts w:ascii="Liberation Sans" w:hAnsi="Liberation Sans"/>
                <w:b/>
                <w:color w:val="174A7E"/>
                <w:sz w:val="21"/>
              </w:rPr>
              <w:t>The Goal</w:t>
            </w:r>
          </w:p>
          <w:p>
            <w:pPr>
              <w:spacing w:after="0"/>
            </w:pPr>
            <w:r>
              <w:rPr>
                <w:rFonts w:ascii="Liberation Sans" w:hAnsi="Liberation Sans"/>
                <w:color w:val="1F2937"/>
                <w:sz w:val="20"/>
              </w:rPr>
              <w:t>The goal is not merely to buy a house. The goal is to buy a home you understand, with a payment you can sustain and a process you can look back on without wondering what happened.</w:t>
            </w:r>
          </w:p>
        </w:tc>
      </w:tr>
    </w:tbl>
    <w:p>
      <w:pPr>
        <w:spacing w:after="20"/>
      </w:pPr>
    </w:p>
    <w:p>
      <w:pPr>
        <w:pStyle w:val="Heading2"/>
        <w:spacing w:before="200" w:after="100"/>
      </w:pPr>
      <w:r>
        <w:rPr>
          <w:rFonts w:ascii="Liberation Sans" w:hAnsi="Liberation Sans"/>
          <w:b/>
          <w:color w:val="174A7E"/>
          <w:sz w:val="28"/>
        </w:rPr>
        <w:t>The Homebuying Roadmap</w:t>
      </w:r>
    </w:p>
    <w:p>
      <w:pPr>
        <w:pStyle w:val="BodyText"/>
        <w:spacing w:after="80"/>
        <w:ind w:left="461" w:hanging="461"/>
      </w:pPr>
      <w:r>
        <w:rPr>
          <w:rFonts w:ascii="Liberation Sans" w:hAnsi="Liberation Sans"/>
          <w:b/>
          <w:color w:val="174A7E"/>
          <w:sz w:val="21"/>
        </w:rPr>
        <w:t xml:space="preserve">1. </w:t>
      </w:r>
      <w:r>
        <w:rPr>
          <w:rFonts w:ascii="Liberation Sans" w:hAnsi="Liberation Sans"/>
          <w:color w:val="1F2937"/>
          <w:sz w:val="21"/>
        </w:rPr>
        <w:t>Decide whether homeownership fits your life, finances, and near-term plans.</w:t>
      </w:r>
    </w:p>
    <w:p>
      <w:pPr>
        <w:pStyle w:val="BodyText"/>
        <w:spacing w:after="80"/>
        <w:ind w:left="461" w:hanging="461"/>
      </w:pPr>
      <w:r>
        <w:rPr>
          <w:rFonts w:ascii="Liberation Sans" w:hAnsi="Liberation Sans"/>
          <w:b/>
          <w:color w:val="174A7E"/>
          <w:sz w:val="21"/>
        </w:rPr>
        <w:t xml:space="preserve">2. </w:t>
      </w:r>
      <w:r>
        <w:rPr>
          <w:rFonts w:ascii="Liberation Sans" w:hAnsi="Liberation Sans"/>
          <w:color w:val="1F2937"/>
          <w:sz w:val="21"/>
        </w:rPr>
        <w:t>Review your credit, income, debts, savings, and monthly comfort level.</w:t>
      </w:r>
    </w:p>
    <w:p>
      <w:pPr>
        <w:pStyle w:val="BodyText"/>
        <w:spacing w:after="80"/>
        <w:ind w:left="461" w:hanging="461"/>
      </w:pPr>
      <w:r>
        <w:rPr>
          <w:rFonts w:ascii="Liberation Sans" w:hAnsi="Liberation Sans"/>
          <w:b/>
          <w:color w:val="174A7E"/>
          <w:sz w:val="21"/>
        </w:rPr>
        <w:t xml:space="preserve">3. </w:t>
      </w:r>
      <w:r>
        <w:rPr>
          <w:rFonts w:ascii="Liberation Sans" w:hAnsi="Liberation Sans"/>
          <w:color w:val="1F2937"/>
          <w:sz w:val="21"/>
        </w:rPr>
        <w:t>Compare mortgage options and obtain a documented pre-approval.</w:t>
      </w:r>
    </w:p>
    <w:p>
      <w:pPr>
        <w:pStyle w:val="BodyText"/>
        <w:spacing w:after="80"/>
        <w:ind w:left="461" w:hanging="461"/>
      </w:pPr>
      <w:r>
        <w:rPr>
          <w:rFonts w:ascii="Liberation Sans" w:hAnsi="Liberation Sans"/>
          <w:b/>
          <w:color w:val="174A7E"/>
          <w:sz w:val="21"/>
        </w:rPr>
        <w:t xml:space="preserve">4. </w:t>
      </w:r>
      <w:r>
        <w:rPr>
          <w:rFonts w:ascii="Liberation Sans" w:hAnsi="Liberation Sans"/>
          <w:color w:val="1F2937"/>
          <w:sz w:val="21"/>
        </w:rPr>
        <w:t>Choose professional representation and define your home search.</w:t>
      </w:r>
    </w:p>
    <w:p>
      <w:pPr>
        <w:pStyle w:val="BodyText"/>
        <w:spacing w:after="80"/>
        <w:ind w:left="461" w:hanging="461"/>
      </w:pPr>
      <w:r>
        <w:rPr>
          <w:rFonts w:ascii="Liberation Sans" w:hAnsi="Liberation Sans"/>
          <w:b/>
          <w:color w:val="174A7E"/>
          <w:sz w:val="21"/>
        </w:rPr>
        <w:t xml:space="preserve">5. </w:t>
      </w:r>
      <w:r>
        <w:rPr>
          <w:rFonts w:ascii="Liberation Sans" w:hAnsi="Liberation Sans"/>
          <w:color w:val="1F2937"/>
          <w:sz w:val="21"/>
        </w:rPr>
        <w:t>Evaluate properties, including rural systems and location-specific concerns.</w:t>
      </w:r>
    </w:p>
    <w:p>
      <w:pPr>
        <w:pStyle w:val="BodyText"/>
        <w:spacing w:after="80"/>
        <w:ind w:left="461" w:hanging="461"/>
      </w:pPr>
      <w:r>
        <w:rPr>
          <w:rFonts w:ascii="Liberation Sans" w:hAnsi="Liberation Sans"/>
          <w:b/>
          <w:color w:val="174A7E"/>
          <w:sz w:val="21"/>
        </w:rPr>
        <w:t xml:space="preserve">6. </w:t>
      </w:r>
      <w:r>
        <w:rPr>
          <w:rFonts w:ascii="Liberation Sans" w:hAnsi="Liberation Sans"/>
          <w:color w:val="1F2937"/>
          <w:sz w:val="21"/>
        </w:rPr>
        <w:t>Write and negotiate an offer with clear dates, deposits, and terms.</w:t>
      </w:r>
    </w:p>
    <w:p>
      <w:pPr>
        <w:pStyle w:val="BodyText"/>
        <w:spacing w:after="80"/>
        <w:ind w:left="461" w:hanging="461"/>
      </w:pPr>
      <w:r>
        <w:rPr>
          <w:rFonts w:ascii="Liberation Sans" w:hAnsi="Liberation Sans"/>
          <w:b/>
          <w:color w:val="174A7E"/>
          <w:sz w:val="21"/>
        </w:rPr>
        <w:t xml:space="preserve">7. </w:t>
      </w:r>
      <w:r>
        <w:rPr>
          <w:rFonts w:ascii="Liberation Sans" w:hAnsi="Liberation Sans"/>
          <w:color w:val="1F2937"/>
          <w:sz w:val="21"/>
        </w:rPr>
        <w:t>Complete inspections, appraisal, financing, title work, and insurance during due diligence.</w:t>
      </w:r>
    </w:p>
    <w:p>
      <w:pPr>
        <w:pStyle w:val="BodyText"/>
        <w:spacing w:after="80"/>
        <w:ind w:left="461" w:hanging="461"/>
      </w:pPr>
      <w:r>
        <w:rPr>
          <w:rFonts w:ascii="Liberation Sans" w:hAnsi="Liberation Sans"/>
          <w:b/>
          <w:color w:val="174A7E"/>
          <w:sz w:val="21"/>
        </w:rPr>
        <w:t xml:space="preserve">8. </w:t>
      </w:r>
      <w:r>
        <w:rPr>
          <w:rFonts w:ascii="Liberation Sans" w:hAnsi="Liberation Sans"/>
          <w:color w:val="1F2937"/>
          <w:sz w:val="21"/>
        </w:rPr>
        <w:t>Review closing figures, conduct the final walkthrough, and protect your funds from fraud.</w:t>
      </w:r>
    </w:p>
    <w:p>
      <w:pPr>
        <w:pStyle w:val="BodyText"/>
        <w:spacing w:after="80"/>
        <w:ind w:left="461" w:hanging="461"/>
      </w:pPr>
      <w:r>
        <w:rPr>
          <w:rFonts w:ascii="Liberation Sans" w:hAnsi="Liberation Sans"/>
          <w:b/>
          <w:color w:val="174A7E"/>
          <w:sz w:val="21"/>
        </w:rPr>
        <w:t xml:space="preserve">9. </w:t>
      </w:r>
      <w:r>
        <w:rPr>
          <w:rFonts w:ascii="Liberation Sans" w:hAnsi="Liberation Sans"/>
          <w:color w:val="1F2937"/>
          <w:sz w:val="21"/>
        </w:rPr>
        <w:t>Sign closing documents, wait for recording, receive possession, and begin caring for the home.</w:t>
      </w:r>
    </w:p>
    <w:p>
      <w:pPr>
        <w:pStyle w:val="Heading2"/>
        <w:spacing w:before="200" w:after="100"/>
      </w:pPr>
      <w:r>
        <w:rPr>
          <w:rFonts w:ascii="Liberation Sans" w:hAnsi="Liberation Sans"/>
          <w:b/>
          <w:color w:val="174A7E"/>
          <w:sz w:val="28"/>
        </w:rPr>
        <w:t>What Makes Western North Carolina Unique</w:t>
      </w:r>
    </w:p>
    <w:p>
      <w:pPr>
        <w:pStyle w:val="BodyText"/>
        <w:keepLines w:val="0"/>
        <w:spacing w:after="120"/>
      </w:pPr>
      <w:r>
        <w:rPr>
          <w:rFonts w:ascii="Liberation Sans" w:hAnsi="Liberation Sans"/>
          <w:i w:val="0"/>
          <w:color w:val="1F2937"/>
          <w:sz w:val="21"/>
        </w:rPr>
        <w:t>Western North Carolina includes mountain communities, small towns, rural acreage, growing suburban areas, and properties that may have been built or modified over many decades. Two homes that look similar online may have very different practical realities.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Area to investigate</w:t>
            </w:r>
          </w:p>
        </w:tc>
        <w:tc>
          <w:tcPr>
            <w:tcW w:type="dxa" w:w="4939"/>
            <w:shd w:fill="174A7E"/>
            <w:tcMar>
              <w:top w:w="100" w:type="dxa"/>
              <w:start w:w="120" w:type="dxa"/>
              <w:bottom w:w="100" w:type="dxa"/>
              <w:end w:w="120" w:type="dxa"/>
            </w:tcMar>
          </w:tcPr>
          <w:p>
            <w:r>
              <w:rPr>
                <w:rFonts w:ascii="Liberation Sans" w:hAnsi="Liberation Sans"/>
                <w:b/>
                <w:color w:val="FFFFFF"/>
                <w:sz w:val="19"/>
              </w:rPr>
              <w:t>Why it matters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Water and wastewater</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Many properties use private wells, community wells, springs, septic systems, or alternative wastewater systems instead of municipal services.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Access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Private roads, shared driveways, steep grades, gravel surfaces, gates, and road-maintenance agreements can affect financing, insurance, and daily living.</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Topography</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Slopes, drainage, retaining walls, erosion, creeks, flood zones, and landslide concerns may require specialized evaluation.</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Housing types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Manufactured, modular, log, historic, farm, and mixed-use properties may have different appraisal, insurance, title, and loan requirements.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Infrastructure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Internet availability, cell service, propane, electric capacity, generators, and distance to emergency services can matter as much as square footage.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Boundaries and acreage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Surveys, easements, encroachments, timber rights, outbuildings, and unpermitted improvements deserve careful review.</w:t>
            </w:r>
          </w:p>
        </w:tc>
      </w:tr>
    </w:tbl>
    <w:p>
      <w:pPr>
        <w:spacing w:after="40"/>
      </w:pPr>
    </w:p>
    <w:p>
      <w:pPr>
        <w:pStyle w:val="Heading2"/>
        <w:spacing w:before="200" w:after="100"/>
      </w:pPr>
      <w:r>
        <w:rPr>
          <w:rFonts w:ascii="Liberation Sans" w:hAnsi="Liberation Sans"/>
          <w:b/>
          <w:color w:val="174A7E"/>
          <w:sz w:val="28"/>
        </w:rPr>
        <w:t>Why I Wrote This Guide</w:t>
      </w:r>
    </w:p>
    <w:p>
      <w:pPr>
        <w:pStyle w:val="BodyText"/>
        <w:keepLines w:val="0"/>
        <w:spacing w:after="120"/>
      </w:pPr>
      <w:r>
        <w:rPr>
          <w:rFonts w:ascii="Liberation Sans" w:hAnsi="Liberation Sans"/>
          <w:i w:val="0"/>
          <w:color w:val="1F2937"/>
          <w:sz w:val="21"/>
        </w:rPr>
        <w:t>I wrote this guide because buyers ask the same honest questions every week: How much money do I really need? What credit score is required? What happens if the inspection is bad? Can I buy with an ITIN? What is due diligence money, and do I get it back? Can I purchase a manufactured home?</w:t>
      </w:r>
    </w:p>
    <w:p>
      <w:pPr>
        <w:pStyle w:val="BodyText"/>
        <w:keepLines w:val="0"/>
        <w:spacing w:after="120"/>
      </w:pPr>
      <w:r>
        <w:rPr>
          <w:rFonts w:ascii="Liberation Sans" w:hAnsi="Liberation Sans"/>
          <w:i w:val="0"/>
          <w:color w:val="1F2937"/>
          <w:sz w:val="21"/>
        </w:rPr>
        <w:t>Those questions are not small. They affect families, savings, credit, work schedules, school decisions, and sometimes immigration-related fears. Too often, people delay homeownership because they assume they will not qualify. Others move too quickly because nobody explained the risks in plain language.</w:t>
      </w:r>
    </w:p>
    <w:p>
      <w:pPr>
        <w:pStyle w:val="BodyText"/>
        <w:keepLines w:val="0"/>
        <w:spacing w:after="120"/>
      </w:pPr>
      <w:r>
        <w:rPr>
          <w:rFonts w:ascii="Liberation Sans" w:hAnsi="Liberation Sans"/>
          <w:i w:val="0"/>
          <w:color w:val="1F2937"/>
          <w:sz w:val="21"/>
        </w:rPr>
        <w:t>I wanted to create the resource I wish every buyer received before making an offer. Something practical. Something you can write in, bring to a consultation, and share with your family. Not a sales pitch and not a pile of technical terms.</w:t>
      </w:r>
    </w:p>
    <w:p>
      <w:pPr>
        <w:pStyle w:val="BodyText"/>
        <w:keepLines w:val="0"/>
        <w:spacing w:after="120"/>
      </w:pPr>
      <w:r>
        <w:rPr>
          <w:rFonts w:ascii="Liberation Sans" w:hAnsi="Liberation Sans"/>
          <w:i w:val="0"/>
          <w:color w:val="1F2937"/>
          <w:sz w:val="21"/>
        </w:rPr>
        <w:t>My work in both real estate and mortgage lending has allowed me to see the transaction from two sides. The house matters, but the financing matters too. The contract matters, but so does the family budget after the keys are handed over. My goal is to help connect those pieces.</w:t>
      </w:r>
    </w:p>
    <w:tbl>
      <w:tblPr>
        <w:tblW w:type="auto" w:w="0"/>
        <w:jc w:val="center"/>
        <w:tblLayout w:type="fixed"/>
        <w:tblLook w:firstColumn="1" w:firstRow="1" w:lastColumn="0" w:lastRow="0" w:noHBand="0" w:noVBand="1" w:val="04A0"/>
      </w:tblPr>
      <w:tblGrid>
        <w:gridCol w:w="9360"/>
      </w:tblGrid>
      <w:tr>
        <w:trPr>
          <w:cantSplit/>
        </w:trPr>
        <w:tc>
          <w:tcPr>
            <w:tcW w:type="dxa" w:w="9878"/>
            <w:shd w:fill="EAF5EF"/>
            <w:tcMar>
              <w:top w:w="130" w:type="dxa"/>
              <w:start w:w="180" w:type="dxa"/>
              <w:bottom w:w="130" w:type="dxa"/>
              <w:end w:w="180" w:type="dxa"/>
            </w:tcMar>
            <w:tcBorders>
              <w:top w:val="nil"/>
              <w:left w:val="single" w:sz="18" w:color="2E6B4F"/>
              <w:bottom w:val="nil"/>
              <w:right w:val="nil"/>
            </w:tcBorders>
          </w:tcPr>
          <w:p>
            <w:pPr>
              <w:spacing w:after="60"/>
            </w:pPr>
            <w:r>
              <w:rPr>
                <w:rFonts w:ascii="Liberation Sans" w:hAnsi="Liberation Sans"/>
                <w:b/>
                <w:color w:val="2E6B4F"/>
                <w:sz w:val="21"/>
              </w:rPr>
              <w:t>A Personal Promise</w:t>
            </w:r>
          </w:p>
          <w:p>
            <w:pPr>
              <w:spacing w:after="0"/>
            </w:pPr>
            <w:r>
              <w:rPr>
                <w:rFonts w:ascii="Liberation Sans" w:hAnsi="Liberation Sans"/>
                <w:color w:val="1F2937"/>
                <w:sz w:val="20"/>
              </w:rPr>
              <w:t>I believe people make better decisions when they are informed, not pressured. Ask questions. Ask twice when necessary. A professional should be able to explain the process without making you feel embarrassed for not already knowing it.</w:t>
            </w:r>
          </w:p>
        </w:tc>
      </w:tr>
    </w:tbl>
    <w:p>
      <w:pPr>
        <w:spacing w:after="20"/>
      </w:pPr>
    </w:p>
    <w:p>
      <w:pPr>
        <w:pageBreakBefore/>
        <w:spacing w:before="120" w:after="40"/>
      </w:pPr>
      <w:r>
        <w:rPr>
          <w:rFonts w:ascii="Liberation Sans" w:hAnsi="Liberation Sans"/>
          <w:b/>
          <w:color w:val="D71920"/>
          <w:sz w:val="20"/>
        </w:rPr>
        <w:t>CHAPTER 1</w:t>
      </w:r>
    </w:p>
    <w:p>
      <w:pPr>
        <w:pStyle w:val="TitleChapter"/>
        <w:spacing w:after="80"/>
      </w:pPr>
      <w:r>
        <w:rPr>
          <w:rFonts w:ascii="Liberation Sans" w:hAnsi="Liberation Sans"/>
          <w:b/>
          <w:color w:val="123451"/>
          <w:sz w:val="46"/>
        </w:rPr>
        <w:t>Are You Ready to Buy a Home?</w:t>
      </w:r>
    </w:p>
    <w:p>
      <w:pPr>
        <w:spacing w:after="280"/>
      </w:pPr>
      <w:r>
        <w:rPr>
          <w:rFonts w:ascii="Liberation Sans" w:hAnsi="Liberation Sans"/>
          <w:i/>
          <w:color w:val="6B7280"/>
          <w:sz w:val="22"/>
        </w:rPr>
        <w:t>Homeownership begins before the home search.</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Readiness is not defined by one credit score or one savings number. It is a combination of financial stability, lifestyle plans, responsibility, and the ability to handle both expected and unexpected costs.</w:t>
      </w:r>
    </w:p>
    <w:p>
      <w:pPr>
        <w:pStyle w:val="Heading2"/>
        <w:spacing w:before="200" w:after="100"/>
      </w:pPr>
      <w:r>
        <w:rPr>
          <w:rFonts w:ascii="Liberation Sans" w:hAnsi="Liberation Sans"/>
          <w:b/>
          <w:color w:val="174A7E"/>
          <w:sz w:val="28"/>
        </w:rPr>
        <w:t>Renting Versus Buying</w:t>
      </w:r>
    </w:p>
    <w:p>
      <w:pPr>
        <w:pStyle w:val="BodyText"/>
        <w:keepLines w:val="0"/>
        <w:spacing w:after="120"/>
      </w:pPr>
      <w:r>
        <w:rPr>
          <w:rFonts w:ascii="Liberation Sans" w:hAnsi="Liberation Sans"/>
          <w:i w:val="0"/>
          <w:color w:val="1F2937"/>
          <w:sz w:val="21"/>
        </w:rPr>
        <w:t>Renting is not automatically wasting money, and buying is not automatically the better choice. Renting may provide flexibility, predictable maintenance responsibilities, and a lower barrier to moving. Buying can provide stability, control over the property, potential equity growth, and long-term housing predictability, but it also transfers repair risk and ownership costs to you.</w:t>
      </w:r>
    </w:p>
    <w:tbl>
      <w:tblPr>
        <w:tblW w:type="auto" w:w="0"/>
        <w:jc w:val="center"/>
        <w:tblLayout w:type="fixed"/>
        <w:tblLook w:firstColumn="1" w:firstRow="1" w:lastColumn="0" w:lastRow="0" w:noHBand="0" w:noVBand="1" w:val="04A0"/>
      </w:tblPr>
      <w:tblGrid>
        <w:gridCol w:w="2232"/>
        <w:gridCol w:w="3240"/>
        <w:gridCol w:w="3888"/>
      </w:tblGrid>
      <w:tr>
        <w:trPr>
          <w:tblHeader w:val="true"/>
          <w:cantSplit/>
        </w:trPr>
        <w:tc>
          <w:tcPr>
            <w:tcW w:type="dxa" w:w="3293"/>
            <w:shd w:fill="174A7E"/>
            <w:tcMar>
              <w:top w:w="100" w:type="dxa"/>
              <w:start w:w="120" w:type="dxa"/>
              <w:bottom w:w="100" w:type="dxa"/>
              <w:end w:w="120" w:type="dxa"/>
            </w:tcMar>
          </w:tcPr>
          <w:p>
            <w:r>
              <w:rPr>
                <w:rFonts w:ascii="Liberation Sans" w:hAnsi="Liberation Sans"/>
                <w:b/>
                <w:color w:val="FFFFFF"/>
                <w:sz w:val="18"/>
              </w:rPr>
              <w:t>Consideration</w:t>
            </w:r>
          </w:p>
        </w:tc>
        <w:tc>
          <w:tcPr>
            <w:tcW w:type="dxa" w:w="3293"/>
            <w:shd w:fill="174A7E"/>
            <w:tcMar>
              <w:top w:w="100" w:type="dxa"/>
              <w:start w:w="120" w:type="dxa"/>
              <w:bottom w:w="100" w:type="dxa"/>
              <w:end w:w="120" w:type="dxa"/>
            </w:tcMar>
          </w:tcPr>
          <w:p>
            <w:r>
              <w:rPr>
                <w:rFonts w:ascii="Liberation Sans" w:hAnsi="Liberation Sans"/>
                <w:b/>
                <w:color w:val="FFFFFF"/>
                <w:sz w:val="18"/>
              </w:rPr>
              <w:t>Renting may fit when…</w:t>
            </w:r>
          </w:p>
        </w:tc>
        <w:tc>
          <w:tcPr>
            <w:tcW w:type="dxa" w:w="3293"/>
            <w:shd w:fill="174A7E"/>
            <w:tcMar>
              <w:top w:w="100" w:type="dxa"/>
              <w:start w:w="120" w:type="dxa"/>
              <w:bottom w:w="100" w:type="dxa"/>
              <w:end w:w="120" w:type="dxa"/>
            </w:tcMar>
          </w:tcPr>
          <w:p>
            <w:r>
              <w:rPr>
                <w:rFonts w:ascii="Liberation Sans" w:hAnsi="Liberation Sans"/>
                <w:b/>
                <w:color w:val="FFFFFF"/>
                <w:sz w:val="18"/>
              </w:rPr>
              <w:t>Buying may fit when…</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Time horizon</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You may move within the next few years.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You expect to remain in the area long enough to absorb buying and selling costs.</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Maintenance</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You prefer the landlord to handle major repairs.</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You are willing to budget, schedule, and pay for repairs.</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Cash reserves</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Your savings are limited or needed for another priority.</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You have funds for the transaction and still retain emergency savings.</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Lifestyle</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You value flexibility and fewer long-term commitments.</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You want stability, personalization, pets, land, or a specific community.</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Payment risk</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Rent increases are a concern, but ownership costs would stretch you.</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The full housing payment fits comfortably within your budget.</w:t>
            </w:r>
          </w:p>
        </w:tc>
      </w:tr>
    </w:tbl>
    <w:p>
      <w:pPr>
        <w:spacing w:after="40"/>
      </w:pPr>
    </w:p>
    <w:p>
      <w:pPr>
        <w:pStyle w:val="Heading2"/>
        <w:spacing w:before="200" w:after="100"/>
      </w:pPr>
      <w:r>
        <w:rPr>
          <w:rFonts w:ascii="Liberation Sans" w:hAnsi="Liberation Sans"/>
          <w:b/>
          <w:color w:val="174A7E"/>
          <w:sz w:val="28"/>
        </w:rPr>
        <w:t>Signs You May Be Ready</w:t>
      </w:r>
    </w:p>
    <w:p>
      <w:pPr>
        <w:pStyle w:val="Checklist"/>
        <w:spacing w:after="60"/>
        <w:ind w:left="360" w:hanging="259"/>
      </w:pPr>
      <w:r>
        <w:rPr>
          <w:rFonts w:ascii="Liberation Sans" w:hAnsi="Liberation Sans"/>
          <w:color w:val="1F2937"/>
          <w:sz w:val="20"/>
        </w:rPr>
        <w:t>☐ Your income is reasonably stable and documentable.</w:t>
      </w:r>
    </w:p>
    <w:p>
      <w:pPr>
        <w:pStyle w:val="Checklist"/>
        <w:spacing w:after="60"/>
        <w:ind w:left="360" w:hanging="259"/>
      </w:pPr>
      <w:r>
        <w:rPr>
          <w:rFonts w:ascii="Liberation Sans" w:hAnsi="Liberation Sans"/>
          <w:color w:val="1F2937"/>
          <w:sz w:val="20"/>
        </w:rPr>
        <w:t>☐ You pay bills on time and understand your monthly debt obligations.</w:t>
      </w:r>
    </w:p>
    <w:p>
      <w:pPr>
        <w:pStyle w:val="Checklist"/>
        <w:spacing w:after="60"/>
        <w:ind w:left="360" w:hanging="259"/>
      </w:pPr>
      <w:r>
        <w:rPr>
          <w:rFonts w:ascii="Liberation Sans" w:hAnsi="Liberation Sans"/>
          <w:color w:val="1F2937"/>
          <w:sz w:val="20"/>
        </w:rPr>
        <w:t>☐ You have reviewed your credit reports and addressed obvious errors.</w:t>
      </w:r>
    </w:p>
    <w:p>
      <w:pPr>
        <w:pStyle w:val="Checklist"/>
        <w:spacing w:after="60"/>
        <w:ind w:left="360" w:hanging="259"/>
      </w:pPr>
      <w:r>
        <w:rPr>
          <w:rFonts w:ascii="Liberation Sans" w:hAnsi="Liberation Sans"/>
          <w:color w:val="1F2937"/>
          <w:sz w:val="20"/>
        </w:rPr>
        <w:t>☐ You have money for inspections, deposits, closing costs, and moving expenses.</w:t>
      </w:r>
    </w:p>
    <w:p>
      <w:pPr>
        <w:pStyle w:val="Checklist"/>
        <w:spacing w:after="60"/>
        <w:ind w:left="360" w:hanging="259"/>
      </w:pPr>
      <w:r>
        <w:rPr>
          <w:rFonts w:ascii="Liberation Sans" w:hAnsi="Liberation Sans"/>
          <w:color w:val="1F2937"/>
          <w:sz w:val="20"/>
        </w:rPr>
        <w:t>☐ You can keep an emergency reserve after closing.</w:t>
      </w:r>
    </w:p>
    <w:p>
      <w:pPr>
        <w:pStyle w:val="Checklist"/>
        <w:spacing w:after="60"/>
        <w:ind w:left="360" w:hanging="259"/>
      </w:pPr>
      <w:r>
        <w:rPr>
          <w:rFonts w:ascii="Liberation Sans" w:hAnsi="Liberation Sans"/>
          <w:color w:val="1F2937"/>
          <w:sz w:val="20"/>
        </w:rPr>
        <w:t>☐ You understand that the lender’s maximum approval is not necessarily your comfortable budget.</w:t>
      </w:r>
    </w:p>
    <w:p>
      <w:pPr>
        <w:pStyle w:val="Checklist"/>
        <w:spacing w:after="60"/>
        <w:ind w:left="360" w:hanging="259"/>
      </w:pPr>
      <w:r>
        <w:rPr>
          <w:rFonts w:ascii="Liberation Sans" w:hAnsi="Liberation Sans"/>
          <w:color w:val="1F2937"/>
          <w:sz w:val="20"/>
        </w:rPr>
        <w:t>☐ You are willing to maintain the home and plan for future repairs.</w:t>
      </w:r>
    </w:p>
    <w:p>
      <w:pPr>
        <w:pStyle w:val="Checklist"/>
        <w:spacing w:after="60"/>
        <w:ind w:left="360" w:hanging="259"/>
      </w:pPr>
      <w:r>
        <w:rPr>
          <w:rFonts w:ascii="Liberation Sans" w:hAnsi="Liberation Sans"/>
          <w:color w:val="1F2937"/>
          <w:sz w:val="20"/>
        </w:rPr>
        <w:t>☐ You expect to remain in the area long enough for buying to make sense.</w:t>
      </w:r>
    </w:p>
    <w:p>
      <w:pPr>
        <w:pStyle w:val="Checklist"/>
        <w:spacing w:after="60"/>
        <w:ind w:left="360" w:hanging="259"/>
      </w:pPr>
      <w:r>
        <w:rPr>
          <w:rFonts w:ascii="Liberation Sans" w:hAnsi="Liberation Sans"/>
          <w:color w:val="1F2937"/>
          <w:sz w:val="20"/>
        </w:rPr>
        <w:t>☐ The people purchasing together have discussed ownership, payments, and responsibilities honestly.</w:t>
      </w:r>
    </w:p>
    <w:p>
      <w:pPr>
        <w:pStyle w:val="Heading2"/>
        <w:spacing w:before="200" w:after="100"/>
      </w:pPr>
      <w:r>
        <w:rPr>
          <w:rFonts w:ascii="Liberation Sans" w:hAnsi="Liberation Sans"/>
          <w:b/>
          <w:color w:val="174A7E"/>
          <w:sz w:val="28"/>
        </w:rPr>
        <w:t>Financial Readiness Checklist</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Category</w:t>
            </w:r>
          </w:p>
        </w:tc>
        <w:tc>
          <w:tcPr>
            <w:tcW w:type="dxa" w:w="4939"/>
            <w:shd w:fill="174A7E"/>
            <w:tcMar>
              <w:top w:w="100" w:type="dxa"/>
              <w:start w:w="120" w:type="dxa"/>
              <w:bottom w:w="100" w:type="dxa"/>
              <w:end w:w="120" w:type="dxa"/>
            </w:tcMar>
          </w:tcPr>
          <w:p>
            <w:r>
              <w:rPr>
                <w:rFonts w:ascii="Liberation Sans" w:hAnsi="Liberation Sans"/>
                <w:b/>
                <w:color w:val="FFFFFF"/>
                <w:sz w:val="19"/>
              </w:rPr>
              <w:t>What to review</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Income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List all regular income that may be used for qualification. Separate stable, recurring income from overtime, bonuses, commissions, seasonal work, or self-employment income that may require a longer history.</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Monthly debts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List minimum payments for credit cards, vehicles, student loans, personal loans, child support, alimony, and other obligations.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Savings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Separate funds for down payment, closing costs, inspections, appraisal, moving, repairs, and emergency reserves.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Credit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Review all three reports for late payments, collections, disputed accounts, incorrect balances, and identity errors.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Housing budget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Estimate the full payment, including principal, interest, taxes, insurance, mortgage insurance, association dues, and utilities.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Future changes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Consider job changes, childcare, tuition, vehicle replacement, health costs, travel, or family plans that could affect affordability.</w:t>
            </w:r>
          </w:p>
        </w:tc>
      </w:tr>
    </w:tbl>
    <w:p>
      <w:pPr>
        <w:spacing w:after="40"/>
      </w:pP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Do Not Empty the Bank Account</w:t>
            </w:r>
          </w:p>
          <w:p>
            <w:pPr>
              <w:spacing w:after="0"/>
            </w:pPr>
            <w:r>
              <w:rPr>
                <w:rFonts w:ascii="Liberation Sans" w:hAnsi="Liberation Sans"/>
                <w:color w:val="1F2937"/>
                <w:sz w:val="20"/>
              </w:rPr>
              <w:t>A buyer can technically have enough cash to close and still be financially unprepared. A broken water heater, insurance deductible, vehicle repair, or missed workday can arrive immediately after closing. Protect a reserve whenever possible.</w:t>
            </w:r>
          </w:p>
        </w:tc>
      </w:tr>
    </w:tbl>
    <w:p>
      <w:pPr>
        <w:spacing w:after="20"/>
      </w:pPr>
    </w:p>
    <w:p>
      <w:pPr>
        <w:pStyle w:val="Heading2"/>
        <w:spacing w:before="200" w:after="100"/>
      </w:pPr>
      <w:r>
        <w:rPr>
          <w:rFonts w:ascii="Liberation Sans" w:hAnsi="Liberation Sans"/>
          <w:b/>
          <w:color w:val="174A7E"/>
          <w:sz w:val="28"/>
        </w:rPr>
        <w:t>A Simple Readiness Exercise</w:t>
      </w:r>
    </w:p>
    <w:p>
      <w:pPr>
        <w:pStyle w:val="BodyText"/>
        <w:keepLines w:val="0"/>
        <w:spacing w:after="120"/>
      </w:pPr>
      <w:r>
        <w:rPr>
          <w:rFonts w:ascii="Liberation Sans" w:hAnsi="Liberation Sans"/>
          <w:i w:val="0"/>
          <w:color w:val="1F2937"/>
          <w:sz w:val="21"/>
        </w:rPr>
        <w:t>For the next three months, practice paying your estimated future housing cost. If your current rent is $1,200 and you expect the full homeownership cost to be $1,750, transfer the $550 difference into savings each month. This creates reserves and shows whether the payment feels sustainable in real life.</w:t>
      </w:r>
    </w:p>
    <w:p>
      <w:pPr>
        <w:pStyle w:val="Heading3"/>
        <w:spacing w:before="140" w:after="60"/>
      </w:pPr>
      <w:r>
        <w:rPr>
          <w:rFonts w:ascii="Liberation Sans" w:hAnsi="Liberation Sans"/>
          <w:b/>
          <w:color w:val="123451"/>
          <w:sz w:val="23"/>
        </w:rPr>
        <w:t>Your current housing cost</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pStyle w:val="Heading3"/>
        <w:spacing w:before="140" w:after="60"/>
      </w:pPr>
      <w:r>
        <w:rPr>
          <w:rFonts w:ascii="Liberation Sans" w:hAnsi="Liberation Sans"/>
          <w:b/>
          <w:color w:val="123451"/>
          <w:sz w:val="23"/>
        </w:rPr>
        <w:t>Your estimated future housing cost</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pStyle w:val="Heading3"/>
        <w:spacing w:before="140" w:after="60"/>
      </w:pPr>
      <w:r>
        <w:rPr>
          <w:rFonts w:ascii="Liberation Sans" w:hAnsi="Liberation Sans"/>
          <w:b/>
          <w:color w:val="123451"/>
          <w:sz w:val="23"/>
        </w:rPr>
        <w:t>The monthly difference you will practice saving</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pStyle w:val="Heading2"/>
        <w:spacing w:before="200" w:after="100"/>
      </w:pPr>
      <w:r>
        <w:rPr>
          <w:rFonts w:ascii="Liberation Sans" w:hAnsi="Liberation Sans"/>
          <w:b/>
          <w:color w:val="174A7E"/>
          <w:sz w:val="28"/>
        </w:rPr>
        <w:t>Questions to Discuss Before Buying With Someone Else</w:t>
      </w:r>
    </w:p>
    <w:p>
      <w:pPr>
        <w:pStyle w:val="ListBullet"/>
        <w:spacing w:after="60"/>
        <w:ind w:left="360" w:hanging="259"/>
      </w:pPr>
      <w:r>
        <w:rPr>
          <w:rFonts w:ascii="Liberation Sans" w:hAnsi="Liberation Sans"/>
          <w:color w:val="1F2937"/>
          <w:sz w:val="20"/>
        </w:rPr>
        <w:t>Who will be on the loan, deed, and purchase contract?</w:t>
      </w:r>
    </w:p>
    <w:p>
      <w:pPr>
        <w:pStyle w:val="ListBullet"/>
        <w:spacing w:after="60"/>
        <w:ind w:left="360" w:hanging="259"/>
      </w:pPr>
      <w:r>
        <w:rPr>
          <w:rFonts w:ascii="Liberation Sans" w:hAnsi="Liberation Sans"/>
          <w:color w:val="1F2937"/>
          <w:sz w:val="20"/>
        </w:rPr>
        <w:t>How will the down payment and closing costs be divided?</w:t>
      </w:r>
    </w:p>
    <w:p>
      <w:pPr>
        <w:pStyle w:val="ListBullet"/>
        <w:spacing w:after="60"/>
        <w:ind w:left="360" w:hanging="259"/>
      </w:pPr>
      <w:r>
        <w:rPr>
          <w:rFonts w:ascii="Liberation Sans" w:hAnsi="Liberation Sans"/>
          <w:color w:val="1F2937"/>
          <w:sz w:val="20"/>
        </w:rPr>
        <w:t>Who will make the monthly payment and maintain reserves?</w:t>
      </w:r>
    </w:p>
    <w:p>
      <w:pPr>
        <w:pStyle w:val="ListBullet"/>
        <w:spacing w:after="60"/>
        <w:ind w:left="360" w:hanging="259"/>
      </w:pPr>
      <w:r>
        <w:rPr>
          <w:rFonts w:ascii="Liberation Sans" w:hAnsi="Liberation Sans"/>
          <w:color w:val="1F2937"/>
          <w:sz w:val="20"/>
        </w:rPr>
        <w:t>How will repairs and improvements be approved and paid?</w:t>
      </w:r>
    </w:p>
    <w:p>
      <w:pPr>
        <w:pStyle w:val="ListBullet"/>
        <w:spacing w:after="60"/>
        <w:ind w:left="360" w:hanging="259"/>
      </w:pPr>
      <w:r>
        <w:rPr>
          <w:rFonts w:ascii="Liberation Sans" w:hAnsi="Liberation Sans"/>
          <w:color w:val="1F2937"/>
          <w:sz w:val="20"/>
        </w:rPr>
        <w:t>What happens if one person wants to move, refinance, rent, or sell?</w:t>
      </w:r>
    </w:p>
    <w:p>
      <w:pPr>
        <w:pStyle w:val="ListBullet"/>
        <w:spacing w:after="60"/>
        <w:ind w:left="360" w:hanging="259"/>
      </w:pPr>
      <w:r>
        <w:rPr>
          <w:rFonts w:ascii="Liberation Sans" w:hAnsi="Liberation Sans"/>
          <w:color w:val="1F2937"/>
          <w:sz w:val="20"/>
        </w:rPr>
        <w:t>Should an attorney prepare a co-ownership agreement or estate-planning documents?</w:t>
      </w:r>
    </w:p>
    <w:tbl>
      <w:tblPr>
        <w:tblW w:type="auto" w:w="0"/>
        <w:jc w:val="center"/>
        <w:tblLayout w:type="fixed"/>
        <w:tblLook w:firstColumn="1" w:firstRow="1" w:lastColumn="0" w:lastRow="0" w:noHBand="0" w:noVBand="1" w:val="04A0"/>
      </w:tblPr>
      <w:tblGrid>
        <w:gridCol w:w="9360"/>
      </w:tblGrid>
      <w:tr>
        <w:trPr>
          <w:cantSplit/>
        </w:trPr>
        <w:tc>
          <w:tcPr>
            <w:tcW w:type="dxa" w:w="9878"/>
            <w:shd w:fill="FFF6DF"/>
            <w:tcMar>
              <w:top w:w="130" w:type="dxa"/>
              <w:start w:w="180" w:type="dxa"/>
              <w:bottom w:w="130" w:type="dxa"/>
              <w:end w:w="180" w:type="dxa"/>
            </w:tcMar>
            <w:tcBorders>
              <w:top w:val="nil"/>
              <w:left w:val="single" w:sz="18" w:color="A36A00"/>
              <w:bottom w:val="nil"/>
              <w:right w:val="nil"/>
            </w:tcBorders>
          </w:tcPr>
          <w:p>
            <w:pPr>
              <w:spacing w:after="60"/>
            </w:pPr>
            <w:r>
              <w:rPr>
                <w:rFonts w:ascii="Liberation Sans" w:hAnsi="Liberation Sans"/>
                <w:b/>
                <w:color w:val="A36A00"/>
                <w:sz w:val="21"/>
              </w:rPr>
              <w:t>Legal Planning Matters</w:t>
            </w:r>
          </w:p>
          <w:p>
            <w:pPr>
              <w:spacing w:after="0"/>
            </w:pPr>
            <w:r>
              <w:rPr>
                <w:rFonts w:ascii="Liberation Sans" w:hAnsi="Liberation Sans"/>
                <w:color w:val="1F2937"/>
                <w:sz w:val="20"/>
              </w:rPr>
              <w:t>Marriage, family relationships, and verbal promises do not replace clear legal advice about title and ownership. Ask a North Carolina attorney before closing when ownership will involve unmarried buyers, family contributions, trusts, estates, businesses, or unusual arrangements.</w:t>
            </w:r>
          </w:p>
        </w:tc>
      </w:tr>
    </w:tbl>
    <w:p>
      <w:pPr>
        <w:spacing w:after="20"/>
      </w:pPr>
    </w:p>
    <w:p>
      <w:pPr>
        <w:pStyle w:val="Heading2"/>
        <w:spacing w:before="200" w:after="100"/>
      </w:pPr>
      <w:r>
        <w:rPr>
          <w:rFonts w:ascii="Liberation Sans" w:hAnsi="Liberation Sans"/>
          <w:b/>
          <w:color w:val="174A7E"/>
          <w:sz w:val="28"/>
        </w:rPr>
        <w:t>Chapter 1 Action Plan</w:t>
      </w:r>
    </w:p>
    <w:p>
      <w:pPr>
        <w:pStyle w:val="Checklist"/>
        <w:spacing w:after="60"/>
        <w:ind w:left="360" w:hanging="259"/>
      </w:pPr>
      <w:r>
        <w:rPr>
          <w:rFonts w:ascii="Liberation Sans" w:hAnsi="Liberation Sans"/>
          <w:color w:val="1F2937"/>
          <w:sz w:val="20"/>
        </w:rPr>
        <w:t>☐ Complete a written monthly budget.</w:t>
      </w:r>
    </w:p>
    <w:p>
      <w:pPr>
        <w:pStyle w:val="Checklist"/>
        <w:spacing w:after="60"/>
        <w:ind w:left="360" w:hanging="259"/>
      </w:pPr>
      <w:r>
        <w:rPr>
          <w:rFonts w:ascii="Liberation Sans" w:hAnsi="Liberation Sans"/>
          <w:color w:val="1F2937"/>
          <w:sz w:val="20"/>
        </w:rPr>
        <w:t>☐ Calculate how much cash you can use without draining emergency savings.</w:t>
      </w:r>
    </w:p>
    <w:p>
      <w:pPr>
        <w:pStyle w:val="Checklist"/>
        <w:spacing w:after="60"/>
        <w:ind w:left="360" w:hanging="259"/>
      </w:pPr>
      <w:r>
        <w:rPr>
          <w:rFonts w:ascii="Liberation Sans" w:hAnsi="Liberation Sans"/>
          <w:color w:val="1F2937"/>
          <w:sz w:val="20"/>
        </w:rPr>
        <w:t>☐ Review your likely time horizon in the home.</w:t>
      </w:r>
    </w:p>
    <w:p>
      <w:pPr>
        <w:pStyle w:val="Checklist"/>
        <w:spacing w:after="60"/>
        <w:ind w:left="360" w:hanging="259"/>
      </w:pPr>
      <w:r>
        <w:rPr>
          <w:rFonts w:ascii="Liberation Sans" w:hAnsi="Liberation Sans"/>
          <w:color w:val="1F2937"/>
          <w:sz w:val="20"/>
        </w:rPr>
        <w:t>☐ Identify your top three reasons for buying.</w:t>
      </w:r>
    </w:p>
    <w:p>
      <w:pPr>
        <w:pStyle w:val="Checklist"/>
        <w:spacing w:after="60"/>
        <w:ind w:left="360" w:hanging="259"/>
      </w:pPr>
      <w:r>
        <w:rPr>
          <w:rFonts w:ascii="Liberation Sans" w:hAnsi="Liberation Sans"/>
          <w:color w:val="1F2937"/>
          <w:sz w:val="20"/>
        </w:rPr>
        <w:t>☐ Identify the three financial risks that concern you most.</w:t>
      </w:r>
    </w:p>
    <w:p>
      <w:pPr>
        <w:pStyle w:val="Checklist"/>
        <w:spacing w:after="60"/>
        <w:ind w:left="360" w:hanging="259"/>
      </w:pPr>
      <w:r>
        <w:rPr>
          <w:rFonts w:ascii="Liberation Sans" w:hAnsi="Liberation Sans"/>
          <w:color w:val="1F2937"/>
          <w:sz w:val="20"/>
        </w:rPr>
        <w:t>☐ Schedule a mortgage consultation before beginning serious home tours.</w:t>
      </w:r>
    </w:p>
    <w:p>
      <w:pPr>
        <w:pageBreakBefore/>
        <w:spacing w:before="120" w:after="40"/>
      </w:pPr>
      <w:r>
        <w:rPr>
          <w:rFonts w:ascii="Liberation Sans" w:hAnsi="Liberation Sans"/>
          <w:b/>
          <w:color w:val="D71920"/>
          <w:sz w:val="20"/>
        </w:rPr>
        <w:t>CHAPTER 2</w:t>
      </w:r>
    </w:p>
    <w:p>
      <w:pPr>
        <w:pStyle w:val="TitleChapter"/>
        <w:spacing w:after="80"/>
      </w:pPr>
      <w:r>
        <w:rPr>
          <w:rFonts w:ascii="Liberation Sans" w:hAnsi="Liberation Sans"/>
          <w:b/>
          <w:color w:val="123451"/>
          <w:sz w:val="46"/>
        </w:rPr>
        <w:t>Understanding Credit Scores</w:t>
      </w:r>
    </w:p>
    <w:p>
      <w:pPr>
        <w:spacing w:after="280"/>
      </w:pPr>
      <w:r>
        <w:rPr>
          <w:rFonts w:ascii="Liberation Sans" w:hAnsi="Liberation Sans"/>
          <w:i/>
          <w:color w:val="6B7280"/>
          <w:sz w:val="22"/>
        </w:rPr>
        <w:t>Credit is one part of the mortgage decision, not a judgment of your worth.</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Your credit history helps a lender evaluate how you have managed borrowed money. It can affect loan eligibility, interest rate, mortgage insurance, required reserves, and the number of loan options available. A lower score does not always mean homeownership is impossible, but it may mean more preparation is needed.</w:t>
      </w:r>
    </w:p>
    <w:p>
      <w:pPr>
        <w:pStyle w:val="Heading2"/>
        <w:spacing w:before="200" w:after="100"/>
      </w:pPr>
      <w:r>
        <w:rPr>
          <w:rFonts w:ascii="Liberation Sans" w:hAnsi="Liberation Sans"/>
          <w:b/>
          <w:color w:val="174A7E"/>
          <w:sz w:val="28"/>
        </w:rPr>
        <w:t>Credit Report Versus Credit Score</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Term</w:t>
            </w:r>
          </w:p>
        </w:tc>
        <w:tc>
          <w:tcPr>
            <w:tcW w:type="dxa" w:w="4939"/>
            <w:shd w:fill="174A7E"/>
            <w:tcMar>
              <w:top w:w="100" w:type="dxa"/>
              <w:start w:w="120" w:type="dxa"/>
              <w:bottom w:w="100" w:type="dxa"/>
              <w:end w:w="120" w:type="dxa"/>
            </w:tcMar>
          </w:tcPr>
          <w:p>
            <w:r>
              <w:rPr>
                <w:rFonts w:ascii="Liberation Sans" w:hAnsi="Liberation Sans"/>
                <w:b/>
                <w:color w:val="FFFFFF"/>
                <w:sz w:val="19"/>
              </w:rPr>
              <w:t>Meaning</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Credit report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A detailed record of accounts, balances, payment history, inquiries, certain public records, and identifying information reported by creditors.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Credit score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A number produced by a scoring model using information in a credit report. Different models and versions can produce different numbers.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Mortgage credit score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The score used by a mortgage lender may differ from a consumer score shown by a bank, credit card, or app.</w:t>
            </w:r>
          </w:p>
        </w:tc>
      </w:tr>
    </w:tbl>
    <w:p>
      <w:pPr>
        <w:spacing w:after="40"/>
      </w:pPr>
    </w:p>
    <w:p>
      <w:pPr>
        <w:pStyle w:val="BodyText"/>
        <w:keepLines w:val="0"/>
        <w:spacing w:after="120"/>
      </w:pPr>
      <w:r>
        <w:rPr>
          <w:rFonts w:ascii="Liberation Sans" w:hAnsi="Liberation Sans"/>
          <w:i w:val="0"/>
          <w:color w:val="1F2937"/>
          <w:sz w:val="21"/>
        </w:rPr>
        <w:t>The official federally authorized source for free credit reports is AnnualCreditReport.com. Reviewing your own report is generally considered a soft inquiry and does not reduce your score.</w:t>
      </w:r>
    </w:p>
    <w:p>
      <w:pPr>
        <w:pStyle w:val="Heading2"/>
        <w:spacing w:before="200" w:after="100"/>
      </w:pPr>
      <w:r>
        <w:rPr>
          <w:rFonts w:ascii="Liberation Sans" w:hAnsi="Liberation Sans"/>
          <w:b/>
          <w:color w:val="174A7E"/>
          <w:sz w:val="28"/>
        </w:rPr>
        <w:t>What Affects Credit</w:t>
      </w:r>
    </w:p>
    <w:p>
      <w:pPr>
        <w:pStyle w:val="ListBullet"/>
        <w:spacing w:after="60"/>
        <w:ind w:left="360" w:hanging="259"/>
      </w:pPr>
      <w:r>
        <w:rPr>
          <w:rFonts w:ascii="Liberation Sans" w:hAnsi="Liberation Sans"/>
          <w:color w:val="1F2937"/>
          <w:sz w:val="20"/>
        </w:rPr>
        <w:t>Payment history: whether accounts were paid as agreed.</w:t>
      </w:r>
    </w:p>
    <w:p>
      <w:pPr>
        <w:pStyle w:val="ListBullet"/>
        <w:spacing w:after="60"/>
        <w:ind w:left="360" w:hanging="259"/>
      </w:pPr>
      <w:r>
        <w:rPr>
          <w:rFonts w:ascii="Liberation Sans" w:hAnsi="Liberation Sans"/>
          <w:color w:val="1F2937"/>
          <w:sz w:val="20"/>
        </w:rPr>
        <w:t>Amounts owed: balances, limits, utilization, and total debt.</w:t>
      </w:r>
    </w:p>
    <w:p>
      <w:pPr>
        <w:pStyle w:val="ListBullet"/>
        <w:spacing w:after="60"/>
        <w:ind w:left="360" w:hanging="259"/>
      </w:pPr>
      <w:r>
        <w:rPr>
          <w:rFonts w:ascii="Liberation Sans" w:hAnsi="Liberation Sans"/>
          <w:color w:val="1F2937"/>
          <w:sz w:val="20"/>
        </w:rPr>
        <w:t>Length of history: how long accounts have been open and active.</w:t>
      </w:r>
    </w:p>
    <w:p>
      <w:pPr>
        <w:pStyle w:val="ListBullet"/>
        <w:spacing w:after="60"/>
        <w:ind w:left="360" w:hanging="259"/>
      </w:pPr>
      <w:r>
        <w:rPr>
          <w:rFonts w:ascii="Liberation Sans" w:hAnsi="Liberation Sans"/>
          <w:color w:val="1F2937"/>
          <w:sz w:val="20"/>
        </w:rPr>
        <w:t>New credit: recently opened accounts and hard inquiries.</w:t>
      </w:r>
    </w:p>
    <w:p>
      <w:pPr>
        <w:pStyle w:val="ListBullet"/>
        <w:spacing w:after="60"/>
        <w:ind w:left="360" w:hanging="259"/>
      </w:pPr>
      <w:r>
        <w:rPr>
          <w:rFonts w:ascii="Liberation Sans" w:hAnsi="Liberation Sans"/>
          <w:color w:val="1F2937"/>
          <w:sz w:val="20"/>
        </w:rPr>
        <w:t>Credit mix: experience managing different account types.</w:t>
      </w:r>
    </w:p>
    <w:p>
      <w:pPr>
        <w:pStyle w:val="ListBullet"/>
        <w:spacing w:after="60"/>
        <w:ind w:left="360" w:hanging="259"/>
      </w:pPr>
      <w:r>
        <w:rPr>
          <w:rFonts w:ascii="Liberation Sans" w:hAnsi="Liberation Sans"/>
          <w:color w:val="1F2937"/>
          <w:sz w:val="20"/>
        </w:rPr>
        <w:t>Negative information: collections, charge-offs, repossessions, foreclosures, bankruptcies, and serious delinquencies.</w:t>
      </w:r>
    </w:p>
    <w:tbl>
      <w:tblPr>
        <w:tblW w:type="auto" w:w="0"/>
        <w:jc w:val="center"/>
        <w:tblLayout w:type="fixed"/>
        <w:tblLook w:firstColumn="1" w:firstRow="1" w:lastColumn="0" w:lastRow="0" w:noHBand="0" w:noVBand="1" w:val="04A0"/>
      </w:tblPr>
      <w:tblGrid>
        <w:gridCol w:w="9360"/>
      </w:tblGrid>
      <w:tr>
        <w:trPr>
          <w:cantSplit/>
        </w:trPr>
        <w:tc>
          <w:tcPr>
            <w:tcW w:type="dxa" w:w="9878"/>
            <w:shd w:fill="EAF2F8"/>
            <w:tcMar>
              <w:top w:w="130" w:type="dxa"/>
              <w:start w:w="180" w:type="dxa"/>
              <w:bottom w:w="130" w:type="dxa"/>
              <w:end w:w="180" w:type="dxa"/>
            </w:tcMar>
            <w:tcBorders>
              <w:top w:val="nil"/>
              <w:left w:val="single" w:sz="18" w:color="174A7E"/>
              <w:bottom w:val="nil"/>
              <w:right w:val="nil"/>
            </w:tcBorders>
          </w:tcPr>
          <w:p>
            <w:pPr>
              <w:spacing w:after="60"/>
            </w:pPr>
            <w:r>
              <w:rPr>
                <w:rFonts w:ascii="Liberation Sans" w:hAnsi="Liberation Sans"/>
                <w:b/>
                <w:color w:val="174A7E"/>
                <w:sz w:val="21"/>
              </w:rPr>
              <w:t>The Exact Score Needed Varies</w:t>
            </w:r>
          </w:p>
          <w:p>
            <w:pPr>
              <w:spacing w:after="0"/>
            </w:pPr>
            <w:r>
              <w:rPr>
                <w:rFonts w:ascii="Liberation Sans" w:hAnsi="Liberation Sans"/>
                <w:color w:val="1F2937"/>
                <w:sz w:val="20"/>
              </w:rPr>
              <w:t>There is no single credit score that applies to every lender, borrower, loan program, and property. Automated underwriting, income, assets, debts, payment history, reserves, and lender overlays can all affect the decision.</w:t>
            </w:r>
          </w:p>
        </w:tc>
      </w:tr>
    </w:tbl>
    <w:p>
      <w:pPr>
        <w:spacing w:after="20"/>
      </w:pPr>
    </w:p>
    <w:p>
      <w:pPr>
        <w:pStyle w:val="Heading2"/>
        <w:spacing w:before="200" w:after="100"/>
      </w:pPr>
      <w:r>
        <w:rPr>
          <w:rFonts w:ascii="Liberation Sans" w:hAnsi="Liberation Sans"/>
          <w:b/>
          <w:color w:val="174A7E"/>
          <w:sz w:val="28"/>
        </w:rPr>
        <w:t>Common Credit Myths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Myth</w:t>
            </w:r>
          </w:p>
        </w:tc>
        <w:tc>
          <w:tcPr>
            <w:tcW w:type="dxa" w:w="4939"/>
            <w:shd w:fill="174A7E"/>
            <w:tcMar>
              <w:top w:w="100" w:type="dxa"/>
              <w:start w:w="120" w:type="dxa"/>
              <w:bottom w:w="100" w:type="dxa"/>
              <w:end w:w="120" w:type="dxa"/>
            </w:tcMar>
          </w:tcPr>
          <w:p>
            <w:r>
              <w:rPr>
                <w:rFonts w:ascii="Liberation Sans" w:hAnsi="Liberation Sans"/>
                <w:b/>
                <w:color w:val="FFFFFF"/>
                <w:sz w:val="19"/>
              </w:rPr>
              <w:t>What to know</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“Checking my own credit hurts my score.”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Reviewing your own report or score is generally a soft inquiry. A lender’s mortgage inquiry is different.</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“I need a perfect score.”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Many buyers qualify without perfect credit. The best strategy depends on the entire file.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 must pay every old collection immediately.”</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Paying or settling an account can affect scores and underwriting in different ways. Get a lender-specific plan before moving money.</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“Closing old cards always helps.”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Closing an account may reduce available credit and shorten active history. Do not make large credit changes without advice.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“A pre-approval means my credit will not be checked again.”</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Lenders may refresh credit, verify debts, or check employment shortly before closing.</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“Mortgage shopping always destroys credit.”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Scoring models generally recognize rate shopping within a limited period. Keep applications within a focused window and confirm timing with lenders.</w:t>
            </w:r>
          </w:p>
        </w:tc>
      </w:tr>
    </w:tbl>
    <w:p>
      <w:pPr>
        <w:spacing w:after="40"/>
      </w:pPr>
    </w:p>
    <w:p>
      <w:pPr>
        <w:pStyle w:val="Heading2"/>
        <w:spacing w:before="200" w:after="100"/>
      </w:pPr>
      <w:r>
        <w:rPr>
          <w:rFonts w:ascii="Liberation Sans" w:hAnsi="Liberation Sans"/>
          <w:b/>
          <w:color w:val="174A7E"/>
          <w:sz w:val="28"/>
        </w:rPr>
        <w:t>Practical Ways to Improve a Mortgage Profile</w:t>
      </w:r>
    </w:p>
    <w:p>
      <w:pPr>
        <w:pStyle w:val="BodyText"/>
        <w:spacing w:after="80"/>
        <w:ind w:left="461" w:hanging="461"/>
      </w:pPr>
      <w:r>
        <w:rPr>
          <w:rFonts w:ascii="Liberation Sans" w:hAnsi="Liberation Sans"/>
          <w:b/>
          <w:color w:val="174A7E"/>
          <w:sz w:val="21"/>
        </w:rPr>
        <w:t xml:space="preserve">1. </w:t>
      </w:r>
      <w:r>
        <w:rPr>
          <w:rFonts w:ascii="Liberation Sans" w:hAnsi="Liberation Sans"/>
          <w:color w:val="1F2937"/>
          <w:sz w:val="21"/>
        </w:rPr>
        <w:t>Pay every account on time. A new late payment can be especially damaging during mortgage preparation.</w:t>
      </w:r>
    </w:p>
    <w:p>
      <w:pPr>
        <w:pStyle w:val="BodyText"/>
        <w:spacing w:after="80"/>
        <w:ind w:left="461" w:hanging="461"/>
      </w:pPr>
      <w:r>
        <w:rPr>
          <w:rFonts w:ascii="Liberation Sans" w:hAnsi="Liberation Sans"/>
          <w:b/>
          <w:color w:val="174A7E"/>
          <w:sz w:val="21"/>
        </w:rPr>
        <w:t xml:space="preserve">2. </w:t>
      </w:r>
      <w:r>
        <w:rPr>
          <w:rFonts w:ascii="Liberation Sans" w:hAnsi="Liberation Sans"/>
          <w:color w:val="1F2937"/>
          <w:sz w:val="21"/>
        </w:rPr>
        <w:t>Reduce revolving balances, especially cards near their limits. Ask your lender which balances would have the greatest impact.</w:t>
      </w:r>
    </w:p>
    <w:p>
      <w:pPr>
        <w:pStyle w:val="BodyText"/>
        <w:spacing w:after="80"/>
        <w:ind w:left="461" w:hanging="461"/>
      </w:pPr>
      <w:r>
        <w:rPr>
          <w:rFonts w:ascii="Liberation Sans" w:hAnsi="Liberation Sans"/>
          <w:b/>
          <w:color w:val="174A7E"/>
          <w:sz w:val="21"/>
        </w:rPr>
        <w:t xml:space="preserve">3. </w:t>
      </w:r>
      <w:r>
        <w:rPr>
          <w:rFonts w:ascii="Liberation Sans" w:hAnsi="Liberation Sans"/>
          <w:color w:val="1F2937"/>
          <w:sz w:val="21"/>
        </w:rPr>
        <w:t>Avoid opening retail cards, financing furniture, cosigning, or purchasing a vehicle before closing.</w:t>
      </w:r>
    </w:p>
    <w:p>
      <w:pPr>
        <w:pStyle w:val="BodyText"/>
        <w:spacing w:after="80"/>
        <w:ind w:left="461" w:hanging="461"/>
      </w:pPr>
      <w:r>
        <w:rPr>
          <w:rFonts w:ascii="Liberation Sans" w:hAnsi="Liberation Sans"/>
          <w:b/>
          <w:color w:val="174A7E"/>
          <w:sz w:val="21"/>
        </w:rPr>
        <w:t xml:space="preserve">4. </w:t>
      </w:r>
      <w:r>
        <w:rPr>
          <w:rFonts w:ascii="Liberation Sans" w:hAnsi="Liberation Sans"/>
          <w:color w:val="1F2937"/>
          <w:sz w:val="21"/>
        </w:rPr>
        <w:t>Correct verified reporting errors directly with the credit bureaus and creditor. Keep documentation.</w:t>
      </w:r>
    </w:p>
    <w:p>
      <w:pPr>
        <w:pStyle w:val="BodyText"/>
        <w:spacing w:after="80"/>
        <w:ind w:left="461" w:hanging="461"/>
      </w:pPr>
      <w:r>
        <w:rPr>
          <w:rFonts w:ascii="Liberation Sans" w:hAnsi="Liberation Sans"/>
          <w:b/>
          <w:color w:val="174A7E"/>
          <w:sz w:val="21"/>
        </w:rPr>
        <w:t xml:space="preserve">5. </w:t>
      </w:r>
      <w:r>
        <w:rPr>
          <w:rFonts w:ascii="Liberation Sans" w:hAnsi="Liberation Sans"/>
          <w:color w:val="1F2937"/>
          <w:sz w:val="21"/>
        </w:rPr>
        <w:t>Build a documented savings pattern. Reserves can strengthen the overall file.</w:t>
      </w:r>
    </w:p>
    <w:p>
      <w:pPr>
        <w:pStyle w:val="BodyText"/>
        <w:spacing w:after="80"/>
        <w:ind w:left="461" w:hanging="461"/>
      </w:pPr>
      <w:r>
        <w:rPr>
          <w:rFonts w:ascii="Liberation Sans" w:hAnsi="Liberation Sans"/>
          <w:b/>
          <w:color w:val="174A7E"/>
          <w:sz w:val="21"/>
        </w:rPr>
        <w:t xml:space="preserve">6. </w:t>
      </w:r>
      <w:r>
        <w:rPr>
          <w:rFonts w:ascii="Liberation Sans" w:hAnsi="Liberation Sans"/>
          <w:color w:val="1F2937"/>
          <w:sz w:val="21"/>
        </w:rPr>
        <w:t>Keep bank activity easy to explain. Large cash deposits are often difficult or impossible to document for mortgage purposes.</w:t>
      </w:r>
    </w:p>
    <w:p>
      <w:pPr>
        <w:pStyle w:val="BodyText"/>
        <w:spacing w:after="80"/>
        <w:ind w:left="461" w:hanging="461"/>
      </w:pPr>
      <w:r>
        <w:rPr>
          <w:rFonts w:ascii="Liberation Sans" w:hAnsi="Liberation Sans"/>
          <w:b/>
          <w:color w:val="174A7E"/>
          <w:sz w:val="21"/>
        </w:rPr>
        <w:t xml:space="preserve">7. </w:t>
      </w:r>
      <w:r>
        <w:rPr>
          <w:rFonts w:ascii="Liberation Sans" w:hAnsi="Liberation Sans"/>
          <w:color w:val="1F2937"/>
          <w:sz w:val="21"/>
        </w:rPr>
        <w:t>Allow time. Some credit improvements occur quickly; others require months of consistent history.</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Do Not Use Generic Credit Repair Advice Blindly</w:t>
            </w:r>
          </w:p>
          <w:p>
            <w:pPr>
              <w:spacing w:after="0"/>
            </w:pPr>
            <w:r>
              <w:rPr>
                <w:rFonts w:ascii="Liberation Sans" w:hAnsi="Liberation Sans"/>
                <w:color w:val="1F2937"/>
                <w:sz w:val="20"/>
              </w:rPr>
              <w:t>A tactic that raises a consumer score can sometimes create a mortgage underwriting problem. Disputed accounts, newly opened tradelines, rapid account closures, or unexplained payments may delay approval. Coordinate with a licensed lender before making major changes.</w:t>
            </w:r>
          </w:p>
        </w:tc>
      </w:tr>
    </w:tbl>
    <w:p>
      <w:pPr>
        <w:spacing w:after="20"/>
      </w:pPr>
    </w:p>
    <w:p>
      <w:pPr>
        <w:pStyle w:val="Heading2"/>
        <w:spacing w:before="200" w:after="100"/>
      </w:pPr>
      <w:r>
        <w:rPr>
          <w:rFonts w:ascii="Liberation Sans" w:hAnsi="Liberation Sans"/>
          <w:b/>
          <w:color w:val="174A7E"/>
          <w:sz w:val="28"/>
        </w:rPr>
        <w:t>Credit Preparation Worksheet</w:t>
      </w:r>
    </w:p>
    <w:p>
      <w:pPr>
        <w:pStyle w:val="Checklist"/>
        <w:spacing w:after="60"/>
        <w:ind w:left="360" w:hanging="259"/>
      </w:pPr>
      <w:r>
        <w:rPr>
          <w:rFonts w:ascii="Liberation Sans" w:hAnsi="Liberation Sans"/>
          <w:color w:val="1F2937"/>
          <w:sz w:val="20"/>
        </w:rPr>
        <w:t>☐ I obtained reports from Equifax, Experian, and TransUnion.</w:t>
      </w:r>
    </w:p>
    <w:p>
      <w:pPr>
        <w:pStyle w:val="Checklist"/>
        <w:spacing w:after="60"/>
        <w:ind w:left="360" w:hanging="259"/>
      </w:pPr>
      <w:r>
        <w:rPr>
          <w:rFonts w:ascii="Liberation Sans" w:hAnsi="Liberation Sans"/>
          <w:color w:val="1F2937"/>
          <w:sz w:val="20"/>
        </w:rPr>
        <w:t>☐ My name, addresses, and identifying information are correct.</w:t>
      </w:r>
    </w:p>
    <w:p>
      <w:pPr>
        <w:pStyle w:val="Checklist"/>
        <w:spacing w:after="60"/>
        <w:ind w:left="360" w:hanging="259"/>
      </w:pPr>
      <w:r>
        <w:rPr>
          <w:rFonts w:ascii="Liberation Sans" w:hAnsi="Liberation Sans"/>
          <w:color w:val="1F2937"/>
          <w:sz w:val="20"/>
        </w:rPr>
        <w:t>☐ I recognize every account and inquiry.</w:t>
      </w:r>
    </w:p>
    <w:p>
      <w:pPr>
        <w:pStyle w:val="Checklist"/>
        <w:spacing w:after="60"/>
        <w:ind w:left="360" w:hanging="259"/>
      </w:pPr>
      <w:r>
        <w:rPr>
          <w:rFonts w:ascii="Liberation Sans" w:hAnsi="Liberation Sans"/>
          <w:color w:val="1F2937"/>
          <w:sz w:val="20"/>
        </w:rPr>
        <w:t>☐ The reported balances and limits appear accurate.</w:t>
      </w:r>
    </w:p>
    <w:p>
      <w:pPr>
        <w:pStyle w:val="Checklist"/>
        <w:spacing w:after="60"/>
        <w:ind w:left="360" w:hanging="259"/>
      </w:pPr>
      <w:r>
        <w:rPr>
          <w:rFonts w:ascii="Liberation Sans" w:hAnsi="Liberation Sans"/>
          <w:color w:val="1F2937"/>
          <w:sz w:val="20"/>
        </w:rPr>
        <w:t>☐ I identified late payments, collections, charge-offs, or public records.</w:t>
      </w:r>
    </w:p>
    <w:p>
      <w:pPr>
        <w:pStyle w:val="Checklist"/>
        <w:spacing w:after="60"/>
        <w:ind w:left="360" w:hanging="259"/>
      </w:pPr>
      <w:r>
        <w:rPr>
          <w:rFonts w:ascii="Liberation Sans" w:hAnsi="Liberation Sans"/>
          <w:color w:val="1F2937"/>
          <w:sz w:val="20"/>
        </w:rPr>
        <w:t>☐ I created a plan for high card balances.</w:t>
      </w:r>
    </w:p>
    <w:p>
      <w:pPr>
        <w:pStyle w:val="Checklist"/>
        <w:spacing w:after="60"/>
        <w:ind w:left="360" w:hanging="259"/>
      </w:pPr>
      <w:r>
        <w:rPr>
          <w:rFonts w:ascii="Liberation Sans" w:hAnsi="Liberation Sans"/>
          <w:color w:val="1F2937"/>
          <w:sz w:val="20"/>
        </w:rPr>
        <w:t>☐ I will not open or close accounts without discussing the mortgage impact.</w:t>
      </w:r>
    </w:p>
    <w:p>
      <w:pPr>
        <w:pStyle w:val="Checklist"/>
        <w:spacing w:after="60"/>
        <w:ind w:left="360" w:hanging="259"/>
      </w:pPr>
      <w:r>
        <w:rPr>
          <w:rFonts w:ascii="Liberation Sans" w:hAnsi="Liberation Sans"/>
          <w:color w:val="1F2937"/>
          <w:sz w:val="20"/>
        </w:rPr>
        <w:t>☐ I will continue making all payments on time through closing.</w:t>
      </w:r>
    </w:p>
    <w:p>
      <w:pPr>
        <w:pageBreakBefore/>
        <w:spacing w:before="120" w:after="40"/>
      </w:pPr>
      <w:r>
        <w:rPr>
          <w:rFonts w:ascii="Liberation Sans" w:hAnsi="Liberation Sans"/>
          <w:b/>
          <w:color w:val="D71920"/>
          <w:sz w:val="20"/>
        </w:rPr>
        <w:t>CHAPTER 3</w:t>
      </w:r>
    </w:p>
    <w:p>
      <w:pPr>
        <w:pStyle w:val="TitleChapter"/>
        <w:spacing w:after="80"/>
      </w:pPr>
      <w:r>
        <w:rPr>
          <w:rFonts w:ascii="Liberation Sans" w:hAnsi="Liberation Sans"/>
          <w:b/>
          <w:color w:val="123451"/>
          <w:sz w:val="46"/>
        </w:rPr>
        <w:t>How Much House Can You Afford?</w:t>
      </w:r>
    </w:p>
    <w:p>
      <w:pPr>
        <w:spacing w:after="280"/>
      </w:pPr>
      <w:r>
        <w:rPr>
          <w:rFonts w:ascii="Liberation Sans" w:hAnsi="Liberation Sans"/>
          <w:i/>
          <w:color w:val="6B7280"/>
          <w:sz w:val="22"/>
        </w:rPr>
        <w:t>Approval is a ceiling. Comfort is the real target.</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A lender calculates how much you may qualify to borrow. Your household decides how much you can comfortably afford. Those numbers can be different. A payment that fits an underwriting formula may leave too little room for groceries, childcare, retirement, medical costs, travel, maintenance, and the life you actually want to live.</w:t>
      </w:r>
    </w:p>
    <w:p>
      <w:pPr>
        <w:pStyle w:val="Heading2"/>
        <w:spacing w:before="200" w:after="100"/>
      </w:pPr>
      <w:r>
        <w:rPr>
          <w:rFonts w:ascii="Liberation Sans" w:hAnsi="Liberation Sans"/>
          <w:b/>
          <w:color w:val="174A7E"/>
          <w:sz w:val="28"/>
        </w:rPr>
        <w:t>The Full Monthly Housing Payment</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Payment component</w:t>
            </w:r>
          </w:p>
        </w:tc>
        <w:tc>
          <w:tcPr>
            <w:tcW w:type="dxa" w:w="4939"/>
            <w:shd w:fill="174A7E"/>
            <w:tcMar>
              <w:top w:w="100" w:type="dxa"/>
              <w:start w:w="120" w:type="dxa"/>
              <w:bottom w:w="100" w:type="dxa"/>
              <w:end w:w="120" w:type="dxa"/>
            </w:tcMar>
          </w:tcPr>
          <w:p>
            <w:r>
              <w:rPr>
                <w:rFonts w:ascii="Liberation Sans" w:hAnsi="Liberation Sans"/>
                <w:b/>
                <w:color w:val="FFFFFF"/>
                <w:sz w:val="19"/>
              </w:rPr>
              <w:t>What it covers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Principal</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The portion of the payment that reduces the loan balance.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Interest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The cost of borrowing money.</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Property taxes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County and municipal taxes, often collected monthly through an escrow account.</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Homeowners insurance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Coverage for the home and certain risks. Premiums vary by property, location, deductible, and insurer.</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Mortgage insurance or guarantee fee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May apply depending on loan program, down payment, and coverage rules.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Association dues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HOA, condominium, road-maintenance, or community fees may be included in qualification.</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Other housing costs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Flood insurance, private mortgage insurance, ground rent, community well fees, or special assessments may apply.</w:t>
            </w:r>
          </w:p>
        </w:tc>
      </w:tr>
    </w:tbl>
    <w:p>
      <w:pPr>
        <w:spacing w:after="40"/>
      </w:pPr>
    </w:p>
    <w:p>
      <w:pPr>
        <w:pStyle w:val="Heading2"/>
        <w:spacing w:before="200" w:after="100"/>
      </w:pPr>
      <w:r>
        <w:rPr>
          <w:rFonts w:ascii="Liberation Sans" w:hAnsi="Liberation Sans"/>
          <w:b/>
          <w:color w:val="174A7E"/>
          <w:sz w:val="28"/>
        </w:rPr>
        <w:t>Debt-to-Income Ratio</w:t>
      </w:r>
    </w:p>
    <w:p>
      <w:pPr>
        <w:pStyle w:val="BodyText"/>
        <w:keepLines w:val="0"/>
        <w:spacing w:after="120"/>
      </w:pPr>
      <w:r>
        <w:rPr>
          <w:rFonts w:ascii="Liberation Sans" w:hAnsi="Liberation Sans"/>
          <w:i w:val="0"/>
          <w:color w:val="1F2937"/>
          <w:sz w:val="21"/>
        </w:rPr>
        <w:t>Debt-to-income ratio, commonly called DTI, compares certain monthly debt obligations with gross monthly income. Lenders use program rules and automated underwriting to evaluate the ratio. The acceptable level varies by loan, credit profile, reserves, property, and lender.</w:t>
      </w:r>
    </w:p>
    <w:tbl>
      <w:tblPr>
        <w:tblW w:type="auto" w:w="0"/>
        <w:jc w:val="center"/>
        <w:tblLayout w:type="fixed"/>
        <w:tblLook w:firstColumn="1" w:firstRow="1" w:lastColumn="0" w:lastRow="0" w:noHBand="0" w:noVBand="1" w:val="04A0"/>
      </w:tblPr>
      <w:tblGrid>
        <w:gridCol w:w="9360"/>
      </w:tblGrid>
      <w:tr>
        <w:trPr>
          <w:cantSplit/>
        </w:trPr>
        <w:tc>
          <w:tcPr>
            <w:tcW w:type="dxa" w:w="9878"/>
            <w:shd w:fill="FFF6DF"/>
            <w:tcMar>
              <w:top w:w="130" w:type="dxa"/>
              <w:start w:w="180" w:type="dxa"/>
              <w:bottom w:w="130" w:type="dxa"/>
              <w:end w:w="180" w:type="dxa"/>
            </w:tcMar>
            <w:tcBorders>
              <w:top w:val="nil"/>
              <w:left w:val="single" w:sz="18" w:color="A36A00"/>
              <w:bottom w:val="nil"/>
              <w:right w:val="nil"/>
            </w:tcBorders>
          </w:tcPr>
          <w:p>
            <w:pPr>
              <w:spacing w:after="60"/>
            </w:pPr>
            <w:r>
              <w:rPr>
                <w:rFonts w:ascii="Liberation Sans" w:hAnsi="Liberation Sans"/>
                <w:b/>
                <w:color w:val="A36A00"/>
                <w:sz w:val="21"/>
              </w:rPr>
              <w:t>Gross Income Is Not Take-Home Pay</w:t>
            </w:r>
          </w:p>
          <w:p>
            <w:pPr>
              <w:spacing w:after="0"/>
            </w:pPr>
            <w:r>
              <w:rPr>
                <w:rFonts w:ascii="Liberation Sans" w:hAnsi="Liberation Sans"/>
                <w:color w:val="1F2937"/>
                <w:sz w:val="20"/>
              </w:rPr>
              <w:t>Mortgage qualification often begins with income before taxes and deductions. Your personal budget must use the money that actually reaches your household.</w:t>
            </w:r>
          </w:p>
        </w:tc>
      </w:tr>
    </w:tbl>
    <w:p>
      <w:pPr>
        <w:spacing w:after="20"/>
      </w:pPr>
    </w:p>
    <w:p>
      <w:pPr>
        <w:pStyle w:val="Heading2"/>
        <w:spacing w:before="200" w:after="100"/>
      </w:pPr>
      <w:r>
        <w:rPr>
          <w:rFonts w:ascii="Liberation Sans" w:hAnsi="Liberation Sans"/>
          <w:b/>
          <w:color w:val="174A7E"/>
          <w:sz w:val="28"/>
        </w:rPr>
        <w:t>Costs Buyers Commonly Underestimate</w:t>
      </w:r>
    </w:p>
    <w:p>
      <w:pPr>
        <w:pStyle w:val="ListBullet"/>
        <w:spacing w:after="60"/>
        <w:ind w:left="360" w:hanging="259"/>
      </w:pPr>
      <w:r>
        <w:rPr>
          <w:rFonts w:ascii="Liberation Sans" w:hAnsi="Liberation Sans"/>
          <w:color w:val="1F2937"/>
          <w:sz w:val="20"/>
        </w:rPr>
        <w:t>Electricity, heating fuel, water, trash, internet, and lawn care.</w:t>
      </w:r>
    </w:p>
    <w:p>
      <w:pPr>
        <w:pStyle w:val="ListBullet"/>
        <w:spacing w:after="60"/>
        <w:ind w:left="360" w:hanging="259"/>
      </w:pPr>
      <w:r>
        <w:rPr>
          <w:rFonts w:ascii="Liberation Sans" w:hAnsi="Liberation Sans"/>
          <w:color w:val="1F2937"/>
          <w:sz w:val="20"/>
        </w:rPr>
        <w:t>Septic pumping, well treatment, filters, pumps, and water testing.</w:t>
      </w:r>
    </w:p>
    <w:p>
      <w:pPr>
        <w:pStyle w:val="ListBullet"/>
        <w:spacing w:after="60"/>
        <w:ind w:left="360" w:hanging="259"/>
      </w:pPr>
      <w:r>
        <w:rPr>
          <w:rFonts w:ascii="Liberation Sans" w:hAnsi="Liberation Sans"/>
          <w:color w:val="1F2937"/>
          <w:sz w:val="20"/>
        </w:rPr>
        <w:t>Roof, HVAC, appliances, plumbing, electrical, and foundation repairs.</w:t>
      </w:r>
    </w:p>
    <w:p>
      <w:pPr>
        <w:pStyle w:val="ListBullet"/>
        <w:spacing w:after="60"/>
        <w:ind w:left="360" w:hanging="259"/>
      </w:pPr>
      <w:r>
        <w:rPr>
          <w:rFonts w:ascii="Liberation Sans" w:hAnsi="Liberation Sans"/>
          <w:color w:val="1F2937"/>
          <w:sz w:val="20"/>
        </w:rPr>
        <w:t>Pest control, tree work, drainage, retaining walls, and driveway maintenance.</w:t>
      </w:r>
    </w:p>
    <w:p>
      <w:pPr>
        <w:pStyle w:val="ListBullet"/>
        <w:spacing w:after="60"/>
        <w:ind w:left="360" w:hanging="259"/>
      </w:pPr>
      <w:r>
        <w:rPr>
          <w:rFonts w:ascii="Liberation Sans" w:hAnsi="Liberation Sans"/>
          <w:color w:val="1F2937"/>
          <w:sz w:val="20"/>
        </w:rPr>
        <w:t>Insurance deductibles and coverage exclusions.</w:t>
      </w:r>
    </w:p>
    <w:p>
      <w:pPr>
        <w:pStyle w:val="ListBullet"/>
        <w:spacing w:after="60"/>
        <w:ind w:left="360" w:hanging="259"/>
      </w:pPr>
      <w:r>
        <w:rPr>
          <w:rFonts w:ascii="Liberation Sans" w:hAnsi="Liberation Sans"/>
          <w:color w:val="1F2937"/>
          <w:sz w:val="20"/>
        </w:rPr>
        <w:t>Furniture, window coverings, tools, security systems, and moving costs.</w:t>
      </w:r>
    </w:p>
    <w:p>
      <w:pPr>
        <w:pStyle w:val="ListBullet"/>
        <w:spacing w:after="60"/>
        <w:ind w:left="360" w:hanging="259"/>
      </w:pPr>
      <w:r>
        <w:rPr>
          <w:rFonts w:ascii="Liberation Sans" w:hAnsi="Liberation Sans"/>
          <w:color w:val="1F2937"/>
          <w:sz w:val="20"/>
        </w:rPr>
        <w:t>Longer commutes, vehicle wear, and fuel for rural properties.</w:t>
      </w:r>
    </w:p>
    <w:p>
      <w:pPr>
        <w:pStyle w:val="ListBullet"/>
        <w:spacing w:after="60"/>
        <w:ind w:left="360" w:hanging="259"/>
      </w:pPr>
      <w:r>
        <w:rPr>
          <w:rFonts w:ascii="Liberation Sans" w:hAnsi="Liberation Sans"/>
          <w:color w:val="1F2937"/>
          <w:sz w:val="20"/>
        </w:rPr>
        <w:t>Road-maintenance assessments or shared system expenses.</w:t>
      </w:r>
    </w:p>
    <w:p>
      <w:pPr>
        <w:pStyle w:val="Heading2"/>
        <w:spacing w:before="200" w:after="100"/>
      </w:pPr>
      <w:r>
        <w:rPr>
          <w:rFonts w:ascii="Liberation Sans" w:hAnsi="Liberation Sans"/>
          <w:b/>
          <w:color w:val="174A7E"/>
          <w:sz w:val="28"/>
        </w:rPr>
        <w:t>The Comfort Budget Method</w:t>
      </w:r>
    </w:p>
    <w:p>
      <w:pPr>
        <w:pStyle w:val="BodyText"/>
        <w:spacing w:after="80"/>
        <w:ind w:left="461" w:hanging="461"/>
      </w:pPr>
      <w:r>
        <w:rPr>
          <w:rFonts w:ascii="Liberation Sans" w:hAnsi="Liberation Sans"/>
          <w:b/>
          <w:color w:val="174A7E"/>
          <w:sz w:val="21"/>
        </w:rPr>
        <w:t xml:space="preserve">1. </w:t>
      </w:r>
      <w:r>
        <w:rPr>
          <w:rFonts w:ascii="Liberation Sans" w:hAnsi="Liberation Sans"/>
          <w:color w:val="1F2937"/>
          <w:sz w:val="21"/>
        </w:rPr>
        <w:t>Start with monthly take-home income.</w:t>
      </w:r>
    </w:p>
    <w:p>
      <w:pPr>
        <w:pStyle w:val="BodyText"/>
        <w:spacing w:after="80"/>
        <w:ind w:left="461" w:hanging="461"/>
      </w:pPr>
      <w:r>
        <w:rPr>
          <w:rFonts w:ascii="Liberation Sans" w:hAnsi="Liberation Sans"/>
          <w:b/>
          <w:color w:val="174A7E"/>
          <w:sz w:val="21"/>
        </w:rPr>
        <w:t xml:space="preserve">2. </w:t>
      </w:r>
      <w:r>
        <w:rPr>
          <w:rFonts w:ascii="Liberation Sans" w:hAnsi="Liberation Sans"/>
          <w:color w:val="1F2937"/>
          <w:sz w:val="21"/>
        </w:rPr>
        <w:t>Subtract non-negotiable expenses and realistic lifestyle spending.</w:t>
      </w:r>
    </w:p>
    <w:p>
      <w:pPr>
        <w:pStyle w:val="BodyText"/>
        <w:spacing w:after="80"/>
        <w:ind w:left="461" w:hanging="461"/>
      </w:pPr>
      <w:r>
        <w:rPr>
          <w:rFonts w:ascii="Liberation Sans" w:hAnsi="Liberation Sans"/>
          <w:b/>
          <w:color w:val="174A7E"/>
          <w:sz w:val="21"/>
        </w:rPr>
        <w:t xml:space="preserve">3. </w:t>
      </w:r>
      <w:r>
        <w:rPr>
          <w:rFonts w:ascii="Liberation Sans" w:hAnsi="Liberation Sans"/>
          <w:color w:val="1F2937"/>
          <w:sz w:val="21"/>
        </w:rPr>
        <w:t>Subtract savings goals, emergency-fund contributions, and retirement contributions.</w:t>
      </w:r>
    </w:p>
    <w:p>
      <w:pPr>
        <w:pStyle w:val="BodyText"/>
        <w:spacing w:after="80"/>
        <w:ind w:left="461" w:hanging="461"/>
      </w:pPr>
      <w:r>
        <w:rPr>
          <w:rFonts w:ascii="Liberation Sans" w:hAnsi="Liberation Sans"/>
          <w:b/>
          <w:color w:val="174A7E"/>
          <w:sz w:val="21"/>
        </w:rPr>
        <w:t xml:space="preserve">4. </w:t>
      </w:r>
      <w:r>
        <w:rPr>
          <w:rFonts w:ascii="Liberation Sans" w:hAnsi="Liberation Sans"/>
          <w:color w:val="1F2937"/>
          <w:sz w:val="21"/>
        </w:rPr>
        <w:t>Add a monthly home-maintenance allowance.</w:t>
      </w:r>
    </w:p>
    <w:p>
      <w:pPr>
        <w:pStyle w:val="BodyText"/>
        <w:spacing w:after="80"/>
        <w:ind w:left="461" w:hanging="461"/>
      </w:pPr>
      <w:r>
        <w:rPr>
          <w:rFonts w:ascii="Liberation Sans" w:hAnsi="Liberation Sans"/>
          <w:b/>
          <w:color w:val="174A7E"/>
          <w:sz w:val="21"/>
        </w:rPr>
        <w:t xml:space="preserve">5. </w:t>
      </w:r>
      <w:r>
        <w:rPr>
          <w:rFonts w:ascii="Liberation Sans" w:hAnsi="Liberation Sans"/>
          <w:color w:val="1F2937"/>
          <w:sz w:val="21"/>
        </w:rPr>
        <w:t>The remaining amount helps define a comfortable housing range.</w:t>
      </w:r>
    </w:p>
    <w:p>
      <w:pPr>
        <w:pStyle w:val="BodyText"/>
        <w:spacing w:after="80"/>
        <w:ind w:left="461" w:hanging="461"/>
      </w:pPr>
      <w:r>
        <w:rPr>
          <w:rFonts w:ascii="Liberation Sans" w:hAnsi="Liberation Sans"/>
          <w:b/>
          <w:color w:val="174A7E"/>
          <w:sz w:val="21"/>
        </w:rPr>
        <w:t xml:space="preserve">6. </w:t>
      </w:r>
      <w:r>
        <w:rPr>
          <w:rFonts w:ascii="Liberation Sans" w:hAnsi="Liberation Sans"/>
          <w:color w:val="1F2937"/>
          <w:sz w:val="21"/>
        </w:rPr>
        <w:t>Compare that range with your lender’s estimated payment and cash-to-close figures.</w:t>
      </w:r>
    </w:p>
    <w:p>
      <w:pPr>
        <w:pStyle w:val="Heading3"/>
        <w:spacing w:before="140" w:after="60"/>
      </w:pPr>
      <w:r>
        <w:rPr>
          <w:rFonts w:ascii="Liberation Sans" w:hAnsi="Liberation Sans"/>
          <w:b/>
          <w:color w:val="123451"/>
          <w:sz w:val="23"/>
        </w:rPr>
        <w:t>Sample monthly ownership budget</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Expense</w:t>
            </w:r>
          </w:p>
        </w:tc>
        <w:tc>
          <w:tcPr>
            <w:tcW w:type="dxa" w:w="4939"/>
            <w:shd w:fill="174A7E"/>
            <w:tcMar>
              <w:top w:w="100" w:type="dxa"/>
              <w:start w:w="120" w:type="dxa"/>
              <w:bottom w:w="100" w:type="dxa"/>
              <w:end w:w="120" w:type="dxa"/>
            </w:tcMar>
          </w:tcPr>
          <w:p>
            <w:r>
              <w:rPr>
                <w:rFonts w:ascii="Liberation Sans" w:hAnsi="Liberation Sans"/>
                <w:b/>
                <w:color w:val="FFFFFF"/>
                <w:sz w:val="19"/>
              </w:rPr>
              <w:t>Monthly estimate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Mortgage principal and interest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Property taxes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Homeowners/flood insurance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Mortgage insurance/guarantee fee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HOA/road/community fees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Utilities and internet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Maintenance reserve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Total estimated housing cost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w:t>
            </w:r>
          </w:p>
        </w:tc>
      </w:tr>
    </w:tbl>
    <w:p>
      <w:pPr>
        <w:spacing w:after="40"/>
      </w:pPr>
    </w:p>
    <w:p>
      <w:pPr>
        <w:pStyle w:val="Heading2"/>
        <w:spacing w:before="200" w:after="100"/>
      </w:pPr>
      <w:r>
        <w:rPr>
          <w:rFonts w:ascii="Liberation Sans" w:hAnsi="Liberation Sans"/>
          <w:b/>
          <w:color w:val="174A7E"/>
          <w:sz w:val="28"/>
        </w:rPr>
        <w:t>Cash Needed Before and At Closing</w:t>
      </w:r>
    </w:p>
    <w:p>
      <w:pPr>
        <w:pStyle w:val="ListBullet"/>
        <w:spacing w:after="60"/>
        <w:ind w:left="360" w:hanging="259"/>
      </w:pPr>
      <w:r>
        <w:rPr>
          <w:rFonts w:ascii="Liberation Sans" w:hAnsi="Liberation Sans"/>
          <w:color w:val="1F2937"/>
          <w:sz w:val="20"/>
        </w:rPr>
        <w:t>Due diligence fee, if negotiated.</w:t>
      </w:r>
    </w:p>
    <w:p>
      <w:pPr>
        <w:pStyle w:val="ListBullet"/>
        <w:spacing w:after="60"/>
        <w:ind w:left="360" w:hanging="259"/>
      </w:pPr>
      <w:r>
        <w:rPr>
          <w:rFonts w:ascii="Liberation Sans" w:hAnsi="Liberation Sans"/>
          <w:color w:val="1F2937"/>
          <w:sz w:val="20"/>
        </w:rPr>
        <w:t>Earnest money deposit, if negotiated.</w:t>
      </w:r>
    </w:p>
    <w:p>
      <w:pPr>
        <w:pStyle w:val="ListBullet"/>
        <w:spacing w:after="60"/>
        <w:ind w:left="360" w:hanging="259"/>
      </w:pPr>
      <w:r>
        <w:rPr>
          <w:rFonts w:ascii="Liberation Sans" w:hAnsi="Liberation Sans"/>
          <w:color w:val="1F2937"/>
          <w:sz w:val="20"/>
        </w:rPr>
        <w:t>Home inspection and specialized inspections.</w:t>
      </w:r>
    </w:p>
    <w:p>
      <w:pPr>
        <w:pStyle w:val="ListBullet"/>
        <w:spacing w:after="60"/>
        <w:ind w:left="360" w:hanging="259"/>
      </w:pPr>
      <w:r>
        <w:rPr>
          <w:rFonts w:ascii="Liberation Sans" w:hAnsi="Liberation Sans"/>
          <w:color w:val="1F2937"/>
          <w:sz w:val="20"/>
        </w:rPr>
        <w:t>Appraisal and certain lender charges.</w:t>
      </w:r>
    </w:p>
    <w:p>
      <w:pPr>
        <w:pStyle w:val="ListBullet"/>
        <w:spacing w:after="60"/>
        <w:ind w:left="360" w:hanging="259"/>
      </w:pPr>
      <w:r>
        <w:rPr>
          <w:rFonts w:ascii="Liberation Sans" w:hAnsi="Liberation Sans"/>
          <w:color w:val="1F2937"/>
          <w:sz w:val="20"/>
        </w:rPr>
        <w:t>Down payment.</w:t>
      </w:r>
    </w:p>
    <w:p>
      <w:pPr>
        <w:pStyle w:val="ListBullet"/>
        <w:spacing w:after="60"/>
        <w:ind w:left="360" w:hanging="259"/>
      </w:pPr>
      <w:r>
        <w:rPr>
          <w:rFonts w:ascii="Liberation Sans" w:hAnsi="Liberation Sans"/>
          <w:color w:val="1F2937"/>
          <w:sz w:val="20"/>
        </w:rPr>
        <w:t>Closing costs and prepaid expenses.</w:t>
      </w:r>
    </w:p>
    <w:p>
      <w:pPr>
        <w:pStyle w:val="ListBullet"/>
        <w:spacing w:after="60"/>
        <w:ind w:left="360" w:hanging="259"/>
      </w:pPr>
      <w:r>
        <w:rPr>
          <w:rFonts w:ascii="Liberation Sans" w:hAnsi="Liberation Sans"/>
          <w:color w:val="1F2937"/>
          <w:sz w:val="20"/>
        </w:rPr>
        <w:t>Insurance premium or deposits.</w:t>
      </w:r>
    </w:p>
    <w:p>
      <w:pPr>
        <w:pStyle w:val="ListBullet"/>
        <w:spacing w:after="60"/>
        <w:ind w:left="360" w:hanging="259"/>
      </w:pPr>
      <w:r>
        <w:rPr>
          <w:rFonts w:ascii="Liberation Sans" w:hAnsi="Liberation Sans"/>
          <w:color w:val="1F2937"/>
          <w:sz w:val="20"/>
        </w:rPr>
        <w:t>Moving, utility deposits, immediate repairs, and reserves.</w:t>
      </w:r>
    </w:p>
    <w:p>
      <w:pPr>
        <w:pStyle w:val="BodyText"/>
        <w:keepLines w:val="0"/>
        <w:spacing w:after="120"/>
      </w:pPr>
      <w:r>
        <w:rPr>
          <w:rFonts w:ascii="Liberation Sans" w:hAnsi="Liberation Sans"/>
          <w:i w:val="0"/>
          <w:color w:val="1F2937"/>
          <w:sz w:val="21"/>
        </w:rPr>
        <w:t>During pre-approval, ask for three numbers: the estimated monthly payment, the estimated total cash to close, and the funds you should keep in reserve. A purchase price alone does not answer the affordability question.</w:t>
      </w:r>
    </w:p>
    <w:p>
      <w:pPr>
        <w:pStyle w:val="Heading2"/>
        <w:spacing w:before="200" w:after="100"/>
      </w:pPr>
      <w:r>
        <w:rPr>
          <w:rFonts w:ascii="Liberation Sans" w:hAnsi="Liberation Sans"/>
          <w:b/>
          <w:color w:val="174A7E"/>
          <w:sz w:val="28"/>
        </w:rPr>
        <w:t>My Affordability Notes</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pageBreakBefore/>
        <w:spacing w:before="120" w:after="40"/>
      </w:pPr>
      <w:r>
        <w:rPr>
          <w:rFonts w:ascii="Liberation Sans" w:hAnsi="Liberation Sans"/>
          <w:b/>
          <w:color w:val="D71920"/>
          <w:sz w:val="20"/>
        </w:rPr>
        <w:t>CHAPTER 4</w:t>
      </w:r>
    </w:p>
    <w:p>
      <w:pPr>
        <w:pStyle w:val="TitleChapter"/>
        <w:spacing w:after="80"/>
      </w:pPr>
      <w:r>
        <w:rPr>
          <w:rFonts w:ascii="Liberation Sans" w:hAnsi="Liberation Sans"/>
          <w:b/>
          <w:color w:val="123451"/>
          <w:sz w:val="46"/>
        </w:rPr>
        <w:t>Loan Programs Explained</w:t>
      </w:r>
    </w:p>
    <w:p>
      <w:pPr>
        <w:spacing w:after="280"/>
      </w:pPr>
      <w:r>
        <w:rPr>
          <w:rFonts w:ascii="Liberation Sans" w:hAnsi="Liberation Sans"/>
          <w:i/>
          <w:color w:val="6B7280"/>
          <w:sz w:val="22"/>
        </w:rPr>
        <w:t>The best mortgage is the one that fits the borrower, property, and long-term plan.</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Mortgage programs are tools. One program is not “better” for every buyer. The right comparison includes down payment, monthly payment, mortgage insurance, interest rate, property standards, closing costs, future plans, and how easily the property fits the program.</w:t>
      </w:r>
    </w:p>
    <w:p>
      <w:pPr>
        <w:pStyle w:val="Heading2"/>
        <w:spacing w:before="200" w:after="100"/>
      </w:pPr>
      <w:r>
        <w:rPr>
          <w:rFonts w:ascii="Liberation Sans" w:hAnsi="Liberation Sans"/>
          <w:b/>
          <w:color w:val="174A7E"/>
          <w:sz w:val="28"/>
        </w:rPr>
        <w:t>Conventional Loans</w:t>
      </w:r>
    </w:p>
    <w:p>
      <w:pPr>
        <w:pStyle w:val="BodyText"/>
        <w:keepLines w:val="0"/>
        <w:spacing w:after="120"/>
      </w:pPr>
      <w:r>
        <w:rPr>
          <w:rFonts w:ascii="Liberation Sans" w:hAnsi="Liberation Sans"/>
          <w:i w:val="0"/>
          <w:color w:val="1F2937"/>
          <w:sz w:val="21"/>
        </w:rPr>
        <w:t>Conventional loans are not directly insured by FHA, VA, or USDA. Many are sold to or follow standards associated with Fannie Mae or Freddie Mac. Qualified buyers may find options with down payments as low as 3%, although eligibility, mortgage insurance, income limits, first-time buyer definitions, and property rules vary.</w:t>
      </w:r>
    </w:p>
    <w:p>
      <w:pPr>
        <w:pStyle w:val="ListBullet"/>
        <w:spacing w:after="60"/>
        <w:ind w:left="360" w:hanging="259"/>
      </w:pPr>
      <w:r>
        <w:rPr>
          <w:rFonts w:ascii="Liberation Sans" w:hAnsi="Liberation Sans"/>
          <w:color w:val="1F2937"/>
          <w:sz w:val="20"/>
        </w:rPr>
        <w:t>May work well for buyers with stronger credit and stable documentation.</w:t>
      </w:r>
    </w:p>
    <w:p>
      <w:pPr>
        <w:pStyle w:val="ListBullet"/>
        <w:spacing w:after="60"/>
        <w:ind w:left="360" w:hanging="259"/>
      </w:pPr>
      <w:r>
        <w:rPr>
          <w:rFonts w:ascii="Liberation Sans" w:hAnsi="Liberation Sans"/>
          <w:color w:val="1F2937"/>
          <w:sz w:val="20"/>
        </w:rPr>
        <w:t>Private mortgage insurance may apply when the down payment is below certain levels.</w:t>
      </w:r>
    </w:p>
    <w:p>
      <w:pPr>
        <w:pStyle w:val="ListBullet"/>
        <w:spacing w:after="60"/>
        <w:ind w:left="360" w:hanging="259"/>
      </w:pPr>
      <w:r>
        <w:rPr>
          <w:rFonts w:ascii="Liberation Sans" w:hAnsi="Liberation Sans"/>
          <w:color w:val="1F2937"/>
          <w:sz w:val="20"/>
        </w:rPr>
        <w:t>Mortgage insurance may be removable under applicable rules once sufficient equity is established.</w:t>
      </w:r>
    </w:p>
    <w:p>
      <w:pPr>
        <w:pStyle w:val="ListBullet"/>
        <w:spacing w:after="60"/>
        <w:ind w:left="360" w:hanging="259"/>
      </w:pPr>
      <w:r>
        <w:rPr>
          <w:rFonts w:ascii="Liberation Sans" w:hAnsi="Liberation Sans"/>
          <w:color w:val="1F2937"/>
          <w:sz w:val="20"/>
        </w:rPr>
        <w:t>Property condition standards can be more flexible than some government-backed programs, but the home must still be acceptable to the lender and insurer.</w:t>
      </w:r>
    </w:p>
    <w:p>
      <w:pPr>
        <w:pStyle w:val="ListBullet"/>
        <w:spacing w:after="60"/>
        <w:ind w:left="360" w:hanging="259"/>
      </w:pPr>
      <w:r>
        <w:rPr>
          <w:rFonts w:ascii="Liberation Sans" w:hAnsi="Liberation Sans"/>
          <w:color w:val="1F2937"/>
          <w:sz w:val="20"/>
        </w:rPr>
        <w:t>Low-down-payment options include programs such as Fannie Mae HomeReady®, Freddie Mac Home Possible®, HomeOne®, and certain 97% loan-to-value options.</w:t>
      </w:r>
    </w:p>
    <w:p>
      <w:pPr>
        <w:pStyle w:val="Heading2"/>
        <w:spacing w:before="200" w:after="100"/>
      </w:pPr>
      <w:r>
        <w:rPr>
          <w:rFonts w:ascii="Liberation Sans" w:hAnsi="Liberation Sans"/>
          <w:b/>
          <w:color w:val="174A7E"/>
          <w:sz w:val="28"/>
        </w:rPr>
        <w:t>FHA Loans</w:t>
      </w:r>
    </w:p>
    <w:p>
      <w:pPr>
        <w:pStyle w:val="BodyText"/>
        <w:keepLines w:val="0"/>
        <w:spacing w:after="120"/>
      </w:pPr>
      <w:r>
        <w:rPr>
          <w:rFonts w:ascii="Liberation Sans" w:hAnsi="Liberation Sans"/>
          <w:i w:val="0"/>
          <w:color w:val="1F2937"/>
          <w:sz w:val="21"/>
        </w:rPr>
        <w:t>FHA-insured mortgages are made by approved lenders and insured by the Federal Housing Administration. FHA may offer flexible qualifying features and a down payment as low as 3.5% for eligible borrowers. FHA mortgage insurance generally includes an upfront premium and an annual premium paid monthly.</w:t>
      </w:r>
    </w:p>
    <w:p>
      <w:pPr>
        <w:pStyle w:val="ListBullet"/>
        <w:spacing w:after="60"/>
        <w:ind w:left="360" w:hanging="259"/>
      </w:pPr>
      <w:r>
        <w:rPr>
          <w:rFonts w:ascii="Liberation Sans" w:hAnsi="Liberation Sans"/>
          <w:color w:val="1F2937"/>
          <w:sz w:val="20"/>
        </w:rPr>
        <w:t>Often considered by first-time buyers, but first-time status is not required.</w:t>
      </w:r>
    </w:p>
    <w:p>
      <w:pPr>
        <w:pStyle w:val="ListBullet"/>
        <w:spacing w:after="60"/>
        <w:ind w:left="360" w:hanging="259"/>
      </w:pPr>
      <w:r>
        <w:rPr>
          <w:rFonts w:ascii="Liberation Sans" w:hAnsi="Liberation Sans"/>
          <w:color w:val="1F2937"/>
          <w:sz w:val="20"/>
        </w:rPr>
        <w:t>The property must meet FHA appraisal and minimum property requirements.</w:t>
      </w:r>
    </w:p>
    <w:p>
      <w:pPr>
        <w:pStyle w:val="ListBullet"/>
        <w:spacing w:after="60"/>
        <w:ind w:left="360" w:hanging="259"/>
      </w:pPr>
      <w:r>
        <w:rPr>
          <w:rFonts w:ascii="Liberation Sans" w:hAnsi="Liberation Sans"/>
          <w:color w:val="1F2937"/>
          <w:sz w:val="20"/>
        </w:rPr>
        <w:t>Gift funds may be allowed from acceptable sources with documentation.</w:t>
      </w:r>
    </w:p>
    <w:p>
      <w:pPr>
        <w:pStyle w:val="ListBullet"/>
        <w:spacing w:after="60"/>
        <w:ind w:left="360" w:hanging="259"/>
      </w:pPr>
      <w:r>
        <w:rPr>
          <w:rFonts w:ascii="Liberation Sans" w:hAnsi="Liberation Sans"/>
          <w:color w:val="1F2937"/>
          <w:sz w:val="20"/>
        </w:rPr>
        <w:t>Seller-paid costs may be allowed within program limits.</w:t>
      </w:r>
    </w:p>
    <w:p>
      <w:pPr>
        <w:pStyle w:val="ListBullet"/>
        <w:spacing w:after="60"/>
        <w:ind w:left="360" w:hanging="259"/>
      </w:pPr>
      <w:r>
        <w:rPr>
          <w:rFonts w:ascii="Liberation Sans" w:hAnsi="Liberation Sans"/>
          <w:color w:val="1F2937"/>
          <w:sz w:val="20"/>
        </w:rPr>
        <w:t>FHA 203(k) rehabilitation financing may combine eligible purchase and renovation costs, subject to specialized rules, contractors, timelines, and lender availability.</w:t>
      </w:r>
    </w:p>
    <w:p>
      <w:pPr>
        <w:pStyle w:val="Heading2"/>
        <w:spacing w:before="200" w:after="100"/>
      </w:pPr>
      <w:r>
        <w:rPr>
          <w:rFonts w:ascii="Liberation Sans" w:hAnsi="Liberation Sans"/>
          <w:b/>
          <w:color w:val="174A7E"/>
          <w:sz w:val="28"/>
        </w:rPr>
        <w:t>VA Loans</w:t>
      </w:r>
    </w:p>
    <w:p>
      <w:pPr>
        <w:pStyle w:val="BodyText"/>
        <w:keepLines w:val="0"/>
        <w:spacing w:after="120"/>
      </w:pPr>
      <w:r>
        <w:rPr>
          <w:rFonts w:ascii="Liberation Sans" w:hAnsi="Liberation Sans"/>
          <w:i w:val="0"/>
          <w:color w:val="1F2937"/>
          <w:sz w:val="21"/>
        </w:rPr>
        <w:t>VA-backed loans are available to eligible veterans, service members, and certain surviving spouses. VA does not generally require a down payment when the borrower has sufficient entitlement and the price is supported, although lenders may require one in some situations. VA does not require monthly private mortgage insurance.</w:t>
      </w:r>
    </w:p>
    <w:p>
      <w:pPr>
        <w:pStyle w:val="ListBullet"/>
        <w:spacing w:after="60"/>
        <w:ind w:left="360" w:hanging="259"/>
      </w:pPr>
      <w:r>
        <w:rPr>
          <w:rFonts w:ascii="Liberation Sans" w:hAnsi="Liberation Sans"/>
          <w:color w:val="1F2937"/>
          <w:sz w:val="20"/>
        </w:rPr>
        <w:t>Eligibility is documented through a Certificate of Eligibility.</w:t>
      </w:r>
    </w:p>
    <w:p>
      <w:pPr>
        <w:pStyle w:val="ListBullet"/>
        <w:spacing w:after="60"/>
        <w:ind w:left="360" w:hanging="259"/>
      </w:pPr>
      <w:r>
        <w:rPr>
          <w:rFonts w:ascii="Liberation Sans" w:hAnsi="Liberation Sans"/>
          <w:color w:val="1F2937"/>
          <w:sz w:val="20"/>
        </w:rPr>
        <w:t>The borrower must meet lender credit, income, occupancy, and underwriting requirements.</w:t>
      </w:r>
    </w:p>
    <w:p>
      <w:pPr>
        <w:pStyle w:val="ListBullet"/>
        <w:spacing w:after="60"/>
        <w:ind w:left="360" w:hanging="259"/>
      </w:pPr>
      <w:r>
        <w:rPr>
          <w:rFonts w:ascii="Liberation Sans" w:hAnsi="Liberation Sans"/>
          <w:color w:val="1F2937"/>
          <w:sz w:val="20"/>
        </w:rPr>
        <w:t>A one-time VA funding fee may apply. Certain eligible borrowers are exempt.</w:t>
      </w:r>
    </w:p>
    <w:p>
      <w:pPr>
        <w:pStyle w:val="ListBullet"/>
        <w:spacing w:after="60"/>
        <w:ind w:left="360" w:hanging="259"/>
      </w:pPr>
      <w:r>
        <w:rPr>
          <w:rFonts w:ascii="Liberation Sans" w:hAnsi="Liberation Sans"/>
          <w:color w:val="1F2937"/>
          <w:sz w:val="20"/>
        </w:rPr>
        <w:t>The property must meet VA minimum property requirements and appraisal standards.</w:t>
      </w:r>
    </w:p>
    <w:p>
      <w:pPr>
        <w:pStyle w:val="ListBullet"/>
        <w:spacing w:after="60"/>
        <w:ind w:left="360" w:hanging="259"/>
      </w:pPr>
      <w:r>
        <w:rPr>
          <w:rFonts w:ascii="Liberation Sans" w:hAnsi="Liberation Sans"/>
          <w:color w:val="1F2937"/>
          <w:sz w:val="20"/>
        </w:rPr>
        <w:t>VA limits certain borrower-paid closing costs, but buyers should still expect legitimate transaction expenses.</w:t>
      </w:r>
    </w:p>
    <w:p>
      <w:pPr>
        <w:pStyle w:val="Heading2"/>
        <w:spacing w:before="200" w:after="100"/>
      </w:pPr>
      <w:r>
        <w:rPr>
          <w:rFonts w:ascii="Liberation Sans" w:hAnsi="Liberation Sans"/>
          <w:b/>
          <w:color w:val="174A7E"/>
          <w:sz w:val="28"/>
        </w:rPr>
        <w:t>USDA Rural Development Loans</w:t>
      </w:r>
    </w:p>
    <w:p>
      <w:pPr>
        <w:pStyle w:val="BodyText"/>
        <w:keepLines w:val="0"/>
        <w:spacing w:after="120"/>
      </w:pPr>
      <w:r>
        <w:rPr>
          <w:rFonts w:ascii="Liberation Sans" w:hAnsi="Liberation Sans"/>
          <w:i w:val="0"/>
          <w:color w:val="1F2937"/>
          <w:sz w:val="21"/>
        </w:rPr>
        <w:t>USDA Rural Development offers programs for eligible primary residences in qualifying rural areas. The Guaranteed Loan Program may provide 100% financing for qualified low- and moderate-income households through approved lenders. USDA also offers a Direct Loan Program for eligible low- and very-low-income applicants through Rural Development.</w:t>
      </w:r>
    </w:p>
    <w:p>
      <w:pPr>
        <w:pStyle w:val="ListBullet"/>
        <w:spacing w:after="60"/>
        <w:ind w:left="360" w:hanging="259"/>
      </w:pPr>
      <w:r>
        <w:rPr>
          <w:rFonts w:ascii="Liberation Sans" w:hAnsi="Liberation Sans"/>
          <w:color w:val="1F2937"/>
          <w:sz w:val="20"/>
        </w:rPr>
        <w:t>The property address must be in an eligible area.</w:t>
      </w:r>
    </w:p>
    <w:p>
      <w:pPr>
        <w:pStyle w:val="ListBullet"/>
        <w:spacing w:after="60"/>
        <w:ind w:left="360" w:hanging="259"/>
      </w:pPr>
      <w:r>
        <w:rPr>
          <w:rFonts w:ascii="Liberation Sans" w:hAnsi="Liberation Sans"/>
          <w:color w:val="1F2937"/>
          <w:sz w:val="20"/>
        </w:rPr>
        <w:t>Household income and program-specific calculations apply.</w:t>
      </w:r>
    </w:p>
    <w:p>
      <w:pPr>
        <w:pStyle w:val="ListBullet"/>
        <w:spacing w:after="60"/>
        <w:ind w:left="360" w:hanging="259"/>
      </w:pPr>
      <w:r>
        <w:rPr>
          <w:rFonts w:ascii="Liberation Sans" w:hAnsi="Liberation Sans"/>
          <w:color w:val="1F2937"/>
          <w:sz w:val="20"/>
        </w:rPr>
        <w:t>The home must be modest, safe, sanitary, and used as the borrower’s primary residence.</w:t>
      </w:r>
    </w:p>
    <w:p>
      <w:pPr>
        <w:pStyle w:val="ListBullet"/>
        <w:spacing w:after="60"/>
        <w:ind w:left="360" w:hanging="259"/>
      </w:pPr>
      <w:r>
        <w:rPr>
          <w:rFonts w:ascii="Liberation Sans" w:hAnsi="Liberation Sans"/>
          <w:color w:val="1F2937"/>
          <w:sz w:val="20"/>
        </w:rPr>
        <w:t>A guarantee fee and annual fee may apply under the Guaranteed Program.</w:t>
      </w:r>
    </w:p>
    <w:p>
      <w:pPr>
        <w:pStyle w:val="ListBullet"/>
        <w:spacing w:after="60"/>
        <w:ind w:left="360" w:hanging="259"/>
      </w:pPr>
      <w:r>
        <w:rPr>
          <w:rFonts w:ascii="Liberation Sans" w:hAnsi="Liberation Sans"/>
          <w:color w:val="1F2937"/>
          <w:sz w:val="20"/>
        </w:rPr>
        <w:t>USDA can be especially relevant in many Western North Carolina communities, but rural appearance alone does not establish eligibility.</w:t>
      </w:r>
    </w:p>
    <w:p>
      <w:pPr>
        <w:pStyle w:val="Heading2"/>
        <w:spacing w:before="200" w:after="100"/>
      </w:pPr>
      <w:r>
        <w:rPr>
          <w:rFonts w:ascii="Liberation Sans" w:hAnsi="Liberation Sans"/>
          <w:b/>
          <w:color w:val="174A7E"/>
          <w:sz w:val="28"/>
        </w:rPr>
        <w:t>North Carolina Down Payment Assistance</w:t>
      </w:r>
    </w:p>
    <w:p>
      <w:pPr>
        <w:pStyle w:val="BodyText"/>
        <w:keepLines w:val="0"/>
        <w:spacing w:after="120"/>
      </w:pPr>
      <w:r>
        <w:rPr>
          <w:rFonts w:ascii="Liberation Sans" w:hAnsi="Liberation Sans"/>
          <w:i w:val="0"/>
          <w:color w:val="1F2937"/>
          <w:sz w:val="21"/>
        </w:rPr>
        <w:t>The North Carolina Housing Finance Agency offers homebuyer mortgage and down payment assistance options through participating lenders. As of June 2026, the NC Home Advantage Mortgage™ advertises down payment assistance of up to 3% of the loan amount for qualified buyers, and the NC 1st Home Advantage Down Payment may provide $15,000 for eligible first-time buyers and military veterans. Income, credit, occupancy, sales-price, education, repayment, and lender requirements may apply and can change.</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Assistance Is Not Always Free Money</w:t>
            </w:r>
          </w:p>
          <w:p>
            <w:pPr>
              <w:spacing w:after="0"/>
            </w:pPr>
            <w:r>
              <w:rPr>
                <w:rFonts w:ascii="Liberation Sans" w:hAnsi="Liberation Sans"/>
                <w:color w:val="1F2937"/>
                <w:sz w:val="20"/>
              </w:rPr>
              <w:t>Some assistance is structured as a second mortgage, forgivable loan, deferred loan, grant, or repayable obligation. Ask what happens if you sell, refinance, rent the home, move out, or pay off the first mortgage early.</w:t>
            </w:r>
          </w:p>
        </w:tc>
      </w:tr>
    </w:tbl>
    <w:p>
      <w:pPr>
        <w:spacing w:after="20"/>
      </w:pPr>
    </w:p>
    <w:p>
      <w:pPr>
        <w:pStyle w:val="Heading2"/>
        <w:spacing w:before="200" w:after="100"/>
      </w:pPr>
      <w:r>
        <w:rPr>
          <w:rFonts w:ascii="Liberation Sans" w:hAnsi="Liberation Sans"/>
          <w:b/>
          <w:color w:val="174A7E"/>
          <w:sz w:val="28"/>
        </w:rPr>
        <w:t>ITIN Mortgage Options</w:t>
      </w:r>
    </w:p>
    <w:p>
      <w:pPr>
        <w:pStyle w:val="BodyText"/>
        <w:keepLines w:val="0"/>
        <w:spacing w:after="120"/>
      </w:pPr>
      <w:r>
        <w:rPr>
          <w:rFonts w:ascii="Liberation Sans" w:hAnsi="Liberation Sans"/>
          <w:i w:val="0"/>
          <w:color w:val="1F2937"/>
          <w:sz w:val="21"/>
        </w:rPr>
        <w:t>An Individual Taxpayer Identification Number, or ITIN, may be used by certain borrowers who do not have a Social Security number. ITIN mortgage products are typically offered by specific lenders rather than through one universal government program. Down payment, reserves, rate, documentation, property type, and credit requirements vary widely.</w:t>
      </w:r>
    </w:p>
    <w:p>
      <w:pPr>
        <w:pStyle w:val="ListBullet"/>
        <w:spacing w:after="60"/>
        <w:ind w:left="360" w:hanging="259"/>
      </w:pPr>
      <w:r>
        <w:rPr>
          <w:rFonts w:ascii="Liberation Sans" w:hAnsi="Liberation Sans"/>
          <w:color w:val="1F2937"/>
          <w:sz w:val="20"/>
        </w:rPr>
        <w:t>A valid ITIN and acceptable identification are generally required.</w:t>
      </w:r>
    </w:p>
    <w:p>
      <w:pPr>
        <w:pStyle w:val="ListBullet"/>
        <w:spacing w:after="60"/>
        <w:ind w:left="360" w:hanging="259"/>
      </w:pPr>
      <w:r>
        <w:rPr>
          <w:rFonts w:ascii="Liberation Sans" w:hAnsi="Liberation Sans"/>
          <w:color w:val="1F2937"/>
          <w:sz w:val="20"/>
        </w:rPr>
        <w:t>Lenders may request tax returns, W-2s, 1099s, bank statements, employment verification, rent history, and proof of funds.</w:t>
      </w:r>
    </w:p>
    <w:p>
      <w:pPr>
        <w:pStyle w:val="ListBullet"/>
        <w:spacing w:after="60"/>
        <w:ind w:left="360" w:hanging="259"/>
      </w:pPr>
      <w:r>
        <w:rPr>
          <w:rFonts w:ascii="Liberation Sans" w:hAnsi="Liberation Sans"/>
          <w:color w:val="1F2937"/>
          <w:sz w:val="20"/>
        </w:rPr>
        <w:t>Traditional or alternative credit may be considered depending on the product.</w:t>
      </w:r>
    </w:p>
    <w:p>
      <w:pPr>
        <w:pStyle w:val="ListBullet"/>
        <w:spacing w:after="60"/>
        <w:ind w:left="360" w:hanging="259"/>
      </w:pPr>
      <w:r>
        <w:rPr>
          <w:rFonts w:ascii="Liberation Sans" w:hAnsi="Liberation Sans"/>
          <w:color w:val="1F2937"/>
          <w:sz w:val="20"/>
        </w:rPr>
        <w:t>Larger down payments and reserves may be required than with standard agency financing.</w:t>
      </w:r>
    </w:p>
    <w:p>
      <w:pPr>
        <w:pStyle w:val="ListBullet"/>
        <w:spacing w:after="60"/>
        <w:ind w:left="360" w:hanging="259"/>
      </w:pPr>
      <w:r>
        <w:rPr>
          <w:rFonts w:ascii="Liberation Sans" w:hAnsi="Liberation Sans"/>
          <w:color w:val="1F2937"/>
          <w:sz w:val="20"/>
        </w:rPr>
        <w:t>Loan availability does not provide immigration status or legal advice. Ask a qualified immigration attorney about immigration questions.</w:t>
      </w:r>
    </w:p>
    <w:p>
      <w:pPr>
        <w:pStyle w:val="Heading2"/>
        <w:spacing w:before="200" w:after="100"/>
      </w:pPr>
      <w:r>
        <w:rPr>
          <w:rFonts w:ascii="Liberation Sans" w:hAnsi="Liberation Sans"/>
          <w:b/>
          <w:color w:val="174A7E"/>
          <w:sz w:val="28"/>
        </w:rPr>
        <w:t>Non-QM Loans</w:t>
      </w:r>
    </w:p>
    <w:p>
      <w:pPr>
        <w:pStyle w:val="BodyText"/>
        <w:keepLines w:val="0"/>
        <w:spacing w:after="120"/>
      </w:pPr>
      <w:r>
        <w:rPr>
          <w:rFonts w:ascii="Liberation Sans" w:hAnsi="Liberation Sans"/>
          <w:i w:val="0"/>
          <w:color w:val="1F2937"/>
          <w:sz w:val="21"/>
        </w:rPr>
        <w:t>Non-qualified mortgage, or Non-QM, is a broad category of loans that may use alternative methods to evaluate income or risk. Examples can include bank-statement loans, asset-depletion loans, investor cash-flow loans, or products for borrowers with recent credit events. These loans may have higher rates, fees, down payments, or reserves and should be compared carefully.</w:t>
      </w:r>
    </w:p>
    <w:p>
      <w:pPr>
        <w:pStyle w:val="Heading2"/>
        <w:spacing w:before="200" w:after="100"/>
      </w:pPr>
      <w:r>
        <w:rPr>
          <w:rFonts w:ascii="Liberation Sans" w:hAnsi="Liberation Sans"/>
          <w:b/>
          <w:color w:val="174A7E"/>
          <w:sz w:val="28"/>
        </w:rPr>
        <w:t>Quick Program Comparison</w:t>
      </w:r>
    </w:p>
    <w:tbl>
      <w:tblPr>
        <w:tblW w:type="auto" w:w="0"/>
        <w:jc w:val="center"/>
        <w:tblLayout w:type="fixed"/>
        <w:tblLook w:firstColumn="1" w:firstRow="1" w:lastColumn="0" w:lastRow="0" w:noHBand="0" w:noVBand="1" w:val="04A0"/>
      </w:tblPr>
      <w:tblGrid>
        <w:gridCol w:w="2232"/>
        <w:gridCol w:w="3240"/>
        <w:gridCol w:w="3888"/>
      </w:tblGrid>
      <w:tr>
        <w:trPr>
          <w:tblHeader w:val="true"/>
          <w:cantSplit/>
        </w:trPr>
        <w:tc>
          <w:tcPr>
            <w:tcW w:type="dxa" w:w="3293"/>
            <w:shd w:fill="174A7E"/>
            <w:tcMar>
              <w:top w:w="100" w:type="dxa"/>
              <w:start w:w="120" w:type="dxa"/>
              <w:bottom w:w="100" w:type="dxa"/>
              <w:end w:w="120" w:type="dxa"/>
            </w:tcMar>
          </w:tcPr>
          <w:p>
            <w:r>
              <w:rPr>
                <w:rFonts w:ascii="Liberation Sans" w:hAnsi="Liberation Sans"/>
                <w:b/>
                <w:color w:val="FFFFFF"/>
                <w:sz w:val="18"/>
              </w:rPr>
              <w:t>Program</w:t>
            </w:r>
          </w:p>
        </w:tc>
        <w:tc>
          <w:tcPr>
            <w:tcW w:type="dxa" w:w="3293"/>
            <w:shd w:fill="174A7E"/>
            <w:tcMar>
              <w:top w:w="100" w:type="dxa"/>
              <w:start w:w="120" w:type="dxa"/>
              <w:bottom w:w="100" w:type="dxa"/>
              <w:end w:w="120" w:type="dxa"/>
            </w:tcMar>
          </w:tcPr>
          <w:p>
            <w:r>
              <w:rPr>
                <w:rFonts w:ascii="Liberation Sans" w:hAnsi="Liberation Sans"/>
                <w:b/>
                <w:color w:val="FFFFFF"/>
                <w:sz w:val="18"/>
              </w:rPr>
              <w:t>Potential strength</w:t>
            </w:r>
          </w:p>
        </w:tc>
        <w:tc>
          <w:tcPr>
            <w:tcW w:type="dxa" w:w="3293"/>
            <w:shd w:fill="174A7E"/>
            <w:tcMar>
              <w:top w:w="100" w:type="dxa"/>
              <w:start w:w="120" w:type="dxa"/>
              <w:bottom w:w="100" w:type="dxa"/>
              <w:end w:w="120" w:type="dxa"/>
            </w:tcMar>
          </w:tcPr>
          <w:p>
            <w:r>
              <w:rPr>
                <w:rFonts w:ascii="Liberation Sans" w:hAnsi="Liberation Sans"/>
                <w:b/>
                <w:color w:val="FFFFFF"/>
                <w:sz w:val="18"/>
              </w:rPr>
              <w:t>Important caution</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Conventional</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Low-down-payment choices and potentially removable mortgage insurance.</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Pricing and approval can be sensitive to credit, income, property, and reserves.</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FHA</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Flexible qualifying features and low down payment for eligible borrowers.</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Mortgage insurance and property requirements must be evaluated.</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VA</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No VA-required down payment in many cases and no monthly PMI.</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Eligibility, entitlement, funding fee, appraisal, and occupancy rules apply.</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USDA</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Possible 100% financing in eligible rural areas.</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Income and property eligibility are address- and household-specific.</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DPA</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Can reduce upfront cash needs.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Second-lien, forgiveness, recapture, or occupancy terms may apply.</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ITIN</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Creates financing paths for eligible borrowers without an SSN.</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Lender availability and terms vary; often requires more cash and documentation.</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Non-QM</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Alternative income or credit evaluation for certain borrowers.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May carry higher cost, down payment, reserves, or prepayment terms.</w:t>
            </w:r>
          </w:p>
        </w:tc>
      </w:tr>
    </w:tbl>
    <w:p>
      <w:pPr>
        <w:spacing w:after="40"/>
      </w:pPr>
    </w:p>
    <w:p>
      <w:pPr>
        <w:pStyle w:val="Heading2"/>
        <w:spacing w:before="200" w:after="100"/>
      </w:pPr>
      <w:r>
        <w:rPr>
          <w:rFonts w:ascii="Liberation Sans" w:hAnsi="Liberation Sans"/>
          <w:b/>
          <w:color w:val="174A7E"/>
          <w:sz w:val="28"/>
        </w:rPr>
        <w:t>Questions to Ask When Comparing Loans</w:t>
      </w:r>
    </w:p>
    <w:p>
      <w:pPr>
        <w:pStyle w:val="Checklist"/>
        <w:spacing w:after="60"/>
        <w:ind w:left="360" w:hanging="259"/>
      </w:pPr>
      <w:r>
        <w:rPr>
          <w:rFonts w:ascii="Liberation Sans" w:hAnsi="Liberation Sans"/>
          <w:color w:val="1F2937"/>
          <w:sz w:val="20"/>
        </w:rPr>
        <w:t>☐ What is the interest rate, annual percentage rate, and total estimated monthly payment?</w:t>
      </w:r>
    </w:p>
    <w:p>
      <w:pPr>
        <w:pStyle w:val="Checklist"/>
        <w:spacing w:after="60"/>
        <w:ind w:left="360" w:hanging="259"/>
      </w:pPr>
      <w:r>
        <w:rPr>
          <w:rFonts w:ascii="Liberation Sans" w:hAnsi="Liberation Sans"/>
          <w:color w:val="1F2937"/>
          <w:sz w:val="20"/>
        </w:rPr>
        <w:t>☐ Is the rate fixed or adjustable?</w:t>
      </w:r>
    </w:p>
    <w:p>
      <w:pPr>
        <w:pStyle w:val="Checklist"/>
        <w:spacing w:after="60"/>
        <w:ind w:left="360" w:hanging="259"/>
      </w:pPr>
      <w:r>
        <w:rPr>
          <w:rFonts w:ascii="Liberation Sans" w:hAnsi="Liberation Sans"/>
          <w:color w:val="1F2937"/>
          <w:sz w:val="20"/>
        </w:rPr>
        <w:t>☐ How much is the down payment, and where may the funds come from?</w:t>
      </w:r>
    </w:p>
    <w:p>
      <w:pPr>
        <w:pStyle w:val="Checklist"/>
        <w:spacing w:after="60"/>
        <w:ind w:left="360" w:hanging="259"/>
      </w:pPr>
      <w:r>
        <w:rPr>
          <w:rFonts w:ascii="Liberation Sans" w:hAnsi="Liberation Sans"/>
          <w:color w:val="1F2937"/>
          <w:sz w:val="20"/>
        </w:rPr>
        <w:t>☐ What mortgage insurance, guarantee, or funding fees apply?</w:t>
      </w:r>
    </w:p>
    <w:p>
      <w:pPr>
        <w:pStyle w:val="Checklist"/>
        <w:spacing w:after="60"/>
        <w:ind w:left="360" w:hanging="259"/>
      </w:pPr>
      <w:r>
        <w:rPr>
          <w:rFonts w:ascii="Liberation Sans" w:hAnsi="Liberation Sans"/>
          <w:color w:val="1F2937"/>
          <w:sz w:val="20"/>
        </w:rPr>
        <w:t>☐ Can the mortgage insurance be removed, and under what conditions?</w:t>
      </w:r>
    </w:p>
    <w:p>
      <w:pPr>
        <w:pStyle w:val="Checklist"/>
        <w:spacing w:after="60"/>
        <w:ind w:left="360" w:hanging="259"/>
      </w:pPr>
      <w:r>
        <w:rPr>
          <w:rFonts w:ascii="Liberation Sans" w:hAnsi="Liberation Sans"/>
          <w:color w:val="1F2937"/>
          <w:sz w:val="20"/>
        </w:rPr>
        <w:t>☐ What property types and conditions are eligible?</w:t>
      </w:r>
    </w:p>
    <w:p>
      <w:pPr>
        <w:pStyle w:val="Checklist"/>
        <w:spacing w:after="60"/>
        <w:ind w:left="360" w:hanging="259"/>
      </w:pPr>
      <w:r>
        <w:rPr>
          <w:rFonts w:ascii="Liberation Sans" w:hAnsi="Liberation Sans"/>
          <w:color w:val="1F2937"/>
          <w:sz w:val="20"/>
        </w:rPr>
        <w:t>☐ Are there income, location, occupancy, or first-time buyer limits?</w:t>
      </w:r>
    </w:p>
    <w:p>
      <w:pPr>
        <w:pStyle w:val="Checklist"/>
        <w:spacing w:after="60"/>
        <w:ind w:left="360" w:hanging="259"/>
      </w:pPr>
      <w:r>
        <w:rPr>
          <w:rFonts w:ascii="Liberation Sans" w:hAnsi="Liberation Sans"/>
          <w:color w:val="1F2937"/>
          <w:sz w:val="20"/>
        </w:rPr>
        <w:t>☐ Is homebuyer education required?</w:t>
      </w:r>
    </w:p>
    <w:p>
      <w:pPr>
        <w:pStyle w:val="Checklist"/>
        <w:spacing w:after="60"/>
        <w:ind w:left="360" w:hanging="259"/>
      </w:pPr>
      <w:r>
        <w:rPr>
          <w:rFonts w:ascii="Liberation Sans" w:hAnsi="Liberation Sans"/>
          <w:color w:val="1F2937"/>
          <w:sz w:val="20"/>
        </w:rPr>
        <w:t>☐ What seller concessions are allowed?</w:t>
      </w:r>
    </w:p>
    <w:p>
      <w:pPr>
        <w:pStyle w:val="Checklist"/>
        <w:spacing w:after="60"/>
        <w:ind w:left="360" w:hanging="259"/>
      </w:pPr>
      <w:r>
        <w:rPr>
          <w:rFonts w:ascii="Liberation Sans" w:hAnsi="Liberation Sans"/>
          <w:color w:val="1F2937"/>
          <w:sz w:val="20"/>
        </w:rPr>
        <w:t>☐ What happens to assistance or second liens if I sell or refinance?</w:t>
      </w:r>
    </w:p>
    <w:p>
      <w:pPr>
        <w:pStyle w:val="Checklist"/>
        <w:spacing w:after="60"/>
        <w:ind w:left="360" w:hanging="259"/>
      </w:pPr>
      <w:r>
        <w:rPr>
          <w:rFonts w:ascii="Liberation Sans" w:hAnsi="Liberation Sans"/>
          <w:color w:val="1F2937"/>
          <w:sz w:val="20"/>
        </w:rPr>
        <w:t>☐ Are there prepayment penalties or balloon features?</w:t>
      </w:r>
    </w:p>
    <w:p>
      <w:pPr>
        <w:pStyle w:val="Checklist"/>
        <w:spacing w:after="60"/>
        <w:ind w:left="360" w:hanging="259"/>
      </w:pPr>
      <w:r>
        <w:rPr>
          <w:rFonts w:ascii="Liberation Sans" w:hAnsi="Liberation Sans"/>
          <w:color w:val="1F2937"/>
          <w:sz w:val="20"/>
        </w:rPr>
        <w:t>☐ What cash reserves should remain after closing?</w:t>
      </w:r>
    </w:p>
    <w:p>
      <w:pPr>
        <w:pageBreakBefore/>
        <w:spacing w:before="120" w:after="40"/>
      </w:pPr>
      <w:r>
        <w:rPr>
          <w:rFonts w:ascii="Liberation Sans" w:hAnsi="Liberation Sans"/>
          <w:b/>
          <w:color w:val="D71920"/>
          <w:sz w:val="20"/>
        </w:rPr>
        <w:t>CHAPTER 5</w:t>
      </w:r>
    </w:p>
    <w:p>
      <w:pPr>
        <w:pStyle w:val="TitleChapter"/>
        <w:spacing w:after="80"/>
      </w:pPr>
      <w:r>
        <w:rPr>
          <w:rFonts w:ascii="Liberation Sans" w:hAnsi="Liberation Sans"/>
          <w:b/>
          <w:color w:val="123451"/>
          <w:sz w:val="46"/>
        </w:rPr>
        <w:t>The Pre-Approval Process</w:t>
      </w:r>
    </w:p>
    <w:p>
      <w:pPr>
        <w:spacing w:after="280"/>
      </w:pPr>
      <w:r>
        <w:rPr>
          <w:rFonts w:ascii="Liberation Sans" w:hAnsi="Liberation Sans"/>
          <w:i/>
          <w:color w:val="6B7280"/>
          <w:sz w:val="22"/>
        </w:rPr>
        <w:t>A strong pre-approval is built on verified information, not optimistic guesses.</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A prequalification may be based on a conversation or limited information. A pre-approval generally involves a mortgage application, credit review, income and asset documentation, and an initial underwriting assessment. The terminology can vary by lender, so ask exactly what has been reviewed.</w:t>
      </w:r>
    </w:p>
    <w:p>
      <w:pPr>
        <w:pStyle w:val="Heading2"/>
        <w:spacing w:before="200" w:after="100"/>
      </w:pPr>
      <w:r>
        <w:rPr>
          <w:rFonts w:ascii="Liberation Sans" w:hAnsi="Liberation Sans"/>
          <w:b/>
          <w:color w:val="174A7E"/>
          <w:sz w:val="28"/>
        </w:rPr>
        <w:t>Documents Commonly Requested</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Category</w:t>
            </w:r>
          </w:p>
        </w:tc>
        <w:tc>
          <w:tcPr>
            <w:tcW w:type="dxa" w:w="4939"/>
            <w:shd w:fill="174A7E"/>
            <w:tcMar>
              <w:top w:w="100" w:type="dxa"/>
              <w:start w:w="120" w:type="dxa"/>
              <w:bottom w:w="100" w:type="dxa"/>
              <w:end w:w="120" w:type="dxa"/>
            </w:tcMar>
          </w:tcPr>
          <w:p>
            <w:r>
              <w:rPr>
                <w:rFonts w:ascii="Liberation Sans" w:hAnsi="Liberation Sans"/>
                <w:b/>
                <w:color w:val="FFFFFF"/>
                <w:sz w:val="19"/>
              </w:rPr>
              <w:t>Examples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Identification</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Government-issued photo identification, Social Security number or ITIN documentation, and residency documentation when applicable.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Income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Recent pay stubs, W-2s, 1099s, award letters, pension statements, child-support documentation, or other evidence of qualifying income.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Employment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Employer contact information and a history of employment. Additional documentation may be required for variable hours, overtime, bonuses, commissions, seasonal work, or job changes.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Self-employment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Personal and business tax returns, year-to-date profit and loss statement, balance sheet, business bank statements, licenses, or verification of business existence.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Assets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Recent bank, retirement, investment, and other account statements showing funds for closing and reserves.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Housing history</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Current rent or mortgage information and, in some cases, proof of on-time housing payments.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Credit events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Bankruptcy, foreclosure, short sale, collections, judgments, disputed accounts, or identity-theft documentation.</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Other obligations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Divorce decrees, child support, alimony, student loans, business debt, cosigned accounts, or payment agreements.</w:t>
            </w:r>
          </w:p>
        </w:tc>
      </w:tr>
    </w:tbl>
    <w:p>
      <w:pPr>
        <w:spacing w:after="40"/>
      </w:pPr>
    </w:p>
    <w:p>
      <w:pPr>
        <w:pStyle w:val="Heading2"/>
        <w:spacing w:before="200" w:after="100"/>
      </w:pPr>
      <w:r>
        <w:rPr>
          <w:rFonts w:ascii="Liberation Sans" w:hAnsi="Liberation Sans"/>
          <w:b/>
          <w:color w:val="174A7E"/>
          <w:sz w:val="28"/>
        </w:rPr>
        <w:t>What Underwriters Look For</w:t>
      </w:r>
    </w:p>
    <w:p>
      <w:pPr>
        <w:pStyle w:val="ListBullet"/>
        <w:spacing w:after="60"/>
        <w:ind w:left="360" w:hanging="259"/>
      </w:pPr>
      <w:r>
        <w:rPr>
          <w:rFonts w:ascii="Liberation Sans" w:hAnsi="Liberation Sans"/>
          <w:color w:val="1F2937"/>
          <w:sz w:val="20"/>
        </w:rPr>
        <w:t>Capacity: whether documented income supports the proposed payment and existing obligations.</w:t>
      </w:r>
    </w:p>
    <w:p>
      <w:pPr>
        <w:pStyle w:val="ListBullet"/>
        <w:spacing w:after="60"/>
        <w:ind w:left="360" w:hanging="259"/>
      </w:pPr>
      <w:r>
        <w:rPr>
          <w:rFonts w:ascii="Liberation Sans" w:hAnsi="Liberation Sans"/>
          <w:color w:val="1F2937"/>
          <w:sz w:val="20"/>
        </w:rPr>
        <w:t>Credit: whether the borrower has demonstrated a willingness and ability to repay debt.</w:t>
      </w:r>
    </w:p>
    <w:p>
      <w:pPr>
        <w:pStyle w:val="ListBullet"/>
        <w:spacing w:after="60"/>
        <w:ind w:left="360" w:hanging="259"/>
      </w:pPr>
      <w:r>
        <w:rPr>
          <w:rFonts w:ascii="Liberation Sans" w:hAnsi="Liberation Sans"/>
          <w:color w:val="1F2937"/>
          <w:sz w:val="20"/>
        </w:rPr>
        <w:t>Capital: funds for down payment, closing, reserves, and any required contributions.</w:t>
      </w:r>
    </w:p>
    <w:p>
      <w:pPr>
        <w:pStyle w:val="ListBullet"/>
        <w:spacing w:after="60"/>
        <w:ind w:left="360" w:hanging="259"/>
      </w:pPr>
      <w:r>
        <w:rPr>
          <w:rFonts w:ascii="Liberation Sans" w:hAnsi="Liberation Sans"/>
          <w:color w:val="1F2937"/>
          <w:sz w:val="20"/>
        </w:rPr>
        <w:t>Collateral: whether the property meets value, title, condition, insurance, and program requirements.</w:t>
      </w:r>
    </w:p>
    <w:p>
      <w:pPr>
        <w:pStyle w:val="ListBullet"/>
        <w:spacing w:after="60"/>
        <w:ind w:left="360" w:hanging="259"/>
      </w:pPr>
      <w:r>
        <w:rPr>
          <w:rFonts w:ascii="Liberation Sans" w:hAnsi="Liberation Sans"/>
          <w:color w:val="1F2937"/>
          <w:sz w:val="20"/>
        </w:rPr>
        <w:t>Continuity: whether income, employment, occupancy, and documentation are likely to remain consistent.</w:t>
      </w:r>
    </w:p>
    <w:p>
      <w:pPr>
        <w:pStyle w:val="Heading2"/>
        <w:spacing w:before="200" w:after="100"/>
      </w:pPr>
      <w:r>
        <w:rPr>
          <w:rFonts w:ascii="Liberation Sans" w:hAnsi="Liberation Sans"/>
          <w:b/>
          <w:color w:val="174A7E"/>
          <w:sz w:val="28"/>
        </w:rPr>
        <w:t>The Paper Trail Rule</w:t>
      </w:r>
    </w:p>
    <w:p>
      <w:pPr>
        <w:pStyle w:val="BodyText"/>
        <w:keepLines w:val="0"/>
        <w:spacing w:after="120"/>
      </w:pPr>
      <w:r>
        <w:rPr>
          <w:rFonts w:ascii="Liberation Sans" w:hAnsi="Liberation Sans"/>
          <w:i w:val="0"/>
          <w:color w:val="1F2937"/>
          <w:sz w:val="21"/>
        </w:rPr>
        <w:t>Mortgage lending requires documentation. A lender may need to identify where money came from, who owns it, whether it must be repaid, and whether the deposit is acceptable under the loan program. Large cash deposits, transfers between accounts, business funds, cryptocurrency proceeds, sale proceeds, gifts, and borrowed funds may require additional records.</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Never Move Money Just to Make the Statement Look Better</w:t>
            </w:r>
          </w:p>
          <w:p>
            <w:pPr>
              <w:spacing w:after="0"/>
            </w:pPr>
            <w:r>
              <w:rPr>
                <w:rFonts w:ascii="Liberation Sans" w:hAnsi="Liberation Sans"/>
                <w:color w:val="1F2937"/>
                <w:sz w:val="20"/>
              </w:rPr>
              <w:t>Before transferring, depositing, withdrawing, selling an asset, or accepting a gift, ask the loan officer what documentation will be required. A clean paper trail can prevent a preventable delay.</w:t>
            </w:r>
          </w:p>
        </w:tc>
      </w:tr>
    </w:tbl>
    <w:p>
      <w:pPr>
        <w:spacing w:after="20"/>
      </w:pPr>
    </w:p>
    <w:p>
      <w:pPr>
        <w:pStyle w:val="Heading2"/>
        <w:spacing w:before="200" w:after="100"/>
      </w:pPr>
      <w:r>
        <w:rPr>
          <w:rFonts w:ascii="Liberation Sans" w:hAnsi="Liberation Sans"/>
          <w:b/>
          <w:color w:val="174A7E"/>
          <w:sz w:val="28"/>
        </w:rPr>
        <w:t>Common Mistakes Between Pre-Approval and Closing</w:t>
      </w:r>
    </w:p>
    <w:p>
      <w:pPr>
        <w:pStyle w:val="ListBullet"/>
        <w:spacing w:after="60"/>
        <w:ind w:left="360" w:hanging="259"/>
      </w:pPr>
      <w:r>
        <w:rPr>
          <w:rFonts w:ascii="Liberation Sans" w:hAnsi="Liberation Sans"/>
          <w:color w:val="1F2937"/>
          <w:sz w:val="20"/>
        </w:rPr>
        <w:t>Opening or closing credit accounts.</w:t>
      </w:r>
    </w:p>
    <w:p>
      <w:pPr>
        <w:pStyle w:val="ListBullet"/>
        <w:spacing w:after="60"/>
        <w:ind w:left="360" w:hanging="259"/>
      </w:pPr>
      <w:r>
        <w:rPr>
          <w:rFonts w:ascii="Liberation Sans" w:hAnsi="Liberation Sans"/>
          <w:color w:val="1F2937"/>
          <w:sz w:val="20"/>
        </w:rPr>
        <w:t>Buying or leasing a vehicle.</w:t>
      </w:r>
    </w:p>
    <w:p>
      <w:pPr>
        <w:pStyle w:val="ListBullet"/>
        <w:spacing w:after="60"/>
        <w:ind w:left="360" w:hanging="259"/>
      </w:pPr>
      <w:r>
        <w:rPr>
          <w:rFonts w:ascii="Liberation Sans" w:hAnsi="Liberation Sans"/>
          <w:color w:val="1F2937"/>
          <w:sz w:val="20"/>
        </w:rPr>
        <w:t>Financing furniture, appliances, jewelry, or electronics.</w:t>
      </w:r>
    </w:p>
    <w:p>
      <w:pPr>
        <w:pStyle w:val="ListBullet"/>
        <w:spacing w:after="60"/>
        <w:ind w:left="360" w:hanging="259"/>
      </w:pPr>
      <w:r>
        <w:rPr>
          <w:rFonts w:ascii="Liberation Sans" w:hAnsi="Liberation Sans"/>
          <w:color w:val="1F2937"/>
          <w:sz w:val="20"/>
        </w:rPr>
        <w:t>Cosigning for another person.</w:t>
      </w:r>
    </w:p>
    <w:p>
      <w:pPr>
        <w:pStyle w:val="ListBullet"/>
        <w:spacing w:after="60"/>
        <w:ind w:left="360" w:hanging="259"/>
      </w:pPr>
      <w:r>
        <w:rPr>
          <w:rFonts w:ascii="Liberation Sans" w:hAnsi="Liberation Sans"/>
          <w:color w:val="1F2937"/>
          <w:sz w:val="20"/>
        </w:rPr>
        <w:t>Changing jobs, pay structure, hours, or employment status without discussing it first.</w:t>
      </w:r>
    </w:p>
    <w:p>
      <w:pPr>
        <w:pStyle w:val="ListBullet"/>
        <w:spacing w:after="60"/>
        <w:ind w:left="360" w:hanging="259"/>
      </w:pPr>
      <w:r>
        <w:rPr>
          <w:rFonts w:ascii="Liberation Sans" w:hAnsi="Liberation Sans"/>
          <w:color w:val="1F2937"/>
          <w:sz w:val="20"/>
        </w:rPr>
        <w:t>Depositing cash that cannot be sourced.</w:t>
      </w:r>
    </w:p>
    <w:p>
      <w:pPr>
        <w:pStyle w:val="ListBullet"/>
        <w:spacing w:after="60"/>
        <w:ind w:left="360" w:hanging="259"/>
      </w:pPr>
      <w:r>
        <w:rPr>
          <w:rFonts w:ascii="Liberation Sans" w:hAnsi="Liberation Sans"/>
          <w:color w:val="1F2937"/>
          <w:sz w:val="20"/>
        </w:rPr>
        <w:t>Moving funds between multiple accounts without keeping records.</w:t>
      </w:r>
    </w:p>
    <w:p>
      <w:pPr>
        <w:pStyle w:val="ListBullet"/>
        <w:spacing w:after="60"/>
        <w:ind w:left="360" w:hanging="259"/>
      </w:pPr>
      <w:r>
        <w:rPr>
          <w:rFonts w:ascii="Liberation Sans" w:hAnsi="Liberation Sans"/>
          <w:color w:val="1F2937"/>
          <w:sz w:val="20"/>
        </w:rPr>
        <w:t>Missing payments because closing is approaching.</w:t>
      </w:r>
    </w:p>
    <w:p>
      <w:pPr>
        <w:pStyle w:val="ListBullet"/>
        <w:spacing w:after="60"/>
        <w:ind w:left="360" w:hanging="259"/>
      </w:pPr>
      <w:r>
        <w:rPr>
          <w:rFonts w:ascii="Liberation Sans" w:hAnsi="Liberation Sans"/>
          <w:color w:val="1F2937"/>
          <w:sz w:val="20"/>
        </w:rPr>
        <w:t>Spending the funds needed for closing or reserves.</w:t>
      </w:r>
    </w:p>
    <w:p>
      <w:pPr>
        <w:pStyle w:val="ListBullet"/>
        <w:spacing w:after="60"/>
        <w:ind w:left="360" w:hanging="259"/>
      </w:pPr>
      <w:r>
        <w:rPr>
          <w:rFonts w:ascii="Liberation Sans" w:hAnsi="Liberation Sans"/>
          <w:color w:val="1F2937"/>
          <w:sz w:val="20"/>
        </w:rPr>
        <w:t>Ignoring requests from the lender, insurer, agent, or attorney.</w:t>
      </w:r>
    </w:p>
    <w:p>
      <w:pPr>
        <w:pStyle w:val="ListBullet"/>
        <w:spacing w:after="60"/>
        <w:ind w:left="360" w:hanging="259"/>
      </w:pPr>
      <w:r>
        <w:rPr>
          <w:rFonts w:ascii="Liberation Sans" w:hAnsi="Liberation Sans"/>
          <w:color w:val="1F2937"/>
          <w:sz w:val="20"/>
        </w:rPr>
        <w:t>Assuming the loan is final before the closing conditions are cleared.</w:t>
      </w:r>
    </w:p>
    <w:p>
      <w:pPr>
        <w:pStyle w:val="Heading2"/>
        <w:spacing w:before="200" w:after="100"/>
      </w:pPr>
      <w:r>
        <w:rPr>
          <w:rFonts w:ascii="Liberation Sans" w:hAnsi="Liberation Sans"/>
          <w:b/>
          <w:color w:val="174A7E"/>
          <w:sz w:val="28"/>
        </w:rPr>
        <w:t>Pre-Approval Questions</w:t>
      </w:r>
    </w:p>
    <w:p>
      <w:pPr>
        <w:pStyle w:val="Checklist"/>
        <w:spacing w:after="60"/>
        <w:ind w:left="360" w:hanging="259"/>
      </w:pPr>
      <w:r>
        <w:rPr>
          <w:rFonts w:ascii="Liberation Sans" w:hAnsi="Liberation Sans"/>
          <w:color w:val="1F2937"/>
          <w:sz w:val="20"/>
        </w:rPr>
        <w:t>☐ Was my income documentation reviewed or only discussed?</w:t>
      </w:r>
    </w:p>
    <w:p>
      <w:pPr>
        <w:pStyle w:val="Checklist"/>
        <w:spacing w:after="60"/>
        <w:ind w:left="360" w:hanging="259"/>
      </w:pPr>
      <w:r>
        <w:rPr>
          <w:rFonts w:ascii="Liberation Sans" w:hAnsi="Liberation Sans"/>
          <w:color w:val="1F2937"/>
          <w:sz w:val="20"/>
        </w:rPr>
        <w:t>☐ Was my credit pulled?</w:t>
      </w:r>
    </w:p>
    <w:p>
      <w:pPr>
        <w:pStyle w:val="Checklist"/>
        <w:spacing w:after="60"/>
        <w:ind w:left="360" w:hanging="259"/>
      </w:pPr>
      <w:r>
        <w:rPr>
          <w:rFonts w:ascii="Liberation Sans" w:hAnsi="Liberation Sans"/>
          <w:color w:val="1F2937"/>
          <w:sz w:val="20"/>
        </w:rPr>
        <w:t>☐ Was the file run through automated underwriting?</w:t>
      </w:r>
    </w:p>
    <w:p>
      <w:pPr>
        <w:pStyle w:val="Checklist"/>
        <w:spacing w:after="60"/>
        <w:ind w:left="360" w:hanging="259"/>
      </w:pPr>
      <w:r>
        <w:rPr>
          <w:rFonts w:ascii="Liberation Sans" w:hAnsi="Liberation Sans"/>
          <w:color w:val="1F2937"/>
          <w:sz w:val="20"/>
        </w:rPr>
        <w:t>☐ What loan programs appear realistic and why?</w:t>
      </w:r>
    </w:p>
    <w:p>
      <w:pPr>
        <w:pStyle w:val="Checklist"/>
        <w:spacing w:after="60"/>
        <w:ind w:left="360" w:hanging="259"/>
      </w:pPr>
      <w:r>
        <w:rPr>
          <w:rFonts w:ascii="Liberation Sans" w:hAnsi="Liberation Sans"/>
          <w:color w:val="1F2937"/>
          <w:sz w:val="20"/>
        </w:rPr>
        <w:t>☐ What is the estimated payment at several purchase prices?</w:t>
      </w:r>
    </w:p>
    <w:p>
      <w:pPr>
        <w:pStyle w:val="Checklist"/>
        <w:spacing w:after="60"/>
        <w:ind w:left="360" w:hanging="259"/>
      </w:pPr>
      <w:r>
        <w:rPr>
          <w:rFonts w:ascii="Liberation Sans" w:hAnsi="Liberation Sans"/>
          <w:color w:val="1F2937"/>
          <w:sz w:val="20"/>
        </w:rPr>
        <w:t>☐ What funds are needed for deposits, inspections, appraisal, closing, and reserves?</w:t>
      </w:r>
    </w:p>
    <w:p>
      <w:pPr>
        <w:pStyle w:val="Checklist"/>
        <w:spacing w:after="60"/>
        <w:ind w:left="360" w:hanging="259"/>
      </w:pPr>
      <w:r>
        <w:rPr>
          <w:rFonts w:ascii="Liberation Sans" w:hAnsi="Liberation Sans"/>
          <w:color w:val="1F2937"/>
          <w:sz w:val="20"/>
        </w:rPr>
        <w:t>☐ What conditions could still prevent final approval?</w:t>
      </w:r>
    </w:p>
    <w:p>
      <w:pPr>
        <w:pStyle w:val="Checklist"/>
        <w:spacing w:after="60"/>
        <w:ind w:left="360" w:hanging="259"/>
      </w:pPr>
      <w:r>
        <w:rPr>
          <w:rFonts w:ascii="Liberation Sans" w:hAnsi="Liberation Sans"/>
          <w:color w:val="1F2937"/>
          <w:sz w:val="20"/>
        </w:rPr>
        <w:t>☐ How long is the pre-approval valid?</w:t>
      </w:r>
    </w:p>
    <w:p>
      <w:pPr>
        <w:pStyle w:val="Checklist"/>
        <w:spacing w:after="60"/>
        <w:ind w:left="360" w:hanging="259"/>
      </w:pPr>
      <w:r>
        <w:rPr>
          <w:rFonts w:ascii="Liberation Sans" w:hAnsi="Liberation Sans"/>
          <w:color w:val="1F2937"/>
          <w:sz w:val="20"/>
        </w:rPr>
        <w:t>☐ What should I report immediately if my finances or employment change?</w:t>
      </w:r>
    </w:p>
    <w:p>
      <w:pPr>
        <w:pageBreakBefore/>
        <w:spacing w:before="120" w:after="40"/>
      </w:pPr>
      <w:r>
        <w:rPr>
          <w:rFonts w:ascii="Liberation Sans" w:hAnsi="Liberation Sans"/>
          <w:b/>
          <w:color w:val="D71920"/>
          <w:sz w:val="20"/>
        </w:rPr>
        <w:t>CHAPTER 6</w:t>
      </w:r>
    </w:p>
    <w:p>
      <w:pPr>
        <w:pStyle w:val="TitleChapter"/>
        <w:spacing w:after="80"/>
      </w:pPr>
      <w:r>
        <w:rPr>
          <w:rFonts w:ascii="Liberation Sans" w:hAnsi="Liberation Sans"/>
          <w:b/>
          <w:color w:val="123451"/>
          <w:sz w:val="46"/>
        </w:rPr>
        <w:t>Finding the Right Home</w:t>
      </w:r>
    </w:p>
    <w:p>
      <w:pPr>
        <w:spacing w:after="280"/>
      </w:pPr>
      <w:r>
        <w:rPr>
          <w:rFonts w:ascii="Liberation Sans" w:hAnsi="Liberation Sans"/>
          <w:i/>
          <w:color w:val="6B7280"/>
          <w:sz w:val="22"/>
        </w:rPr>
        <w:t>The best home is not only attractive. It works financially, legally, physically, and practically.</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Online photos can help you decide what to tour, but they cannot confirm boundaries, condition, road rights, septic capacity, water quality, insurance availability, permits, internet service, or financing eligibility. A thoughtful home search balances emotion with investigation.</w:t>
      </w:r>
    </w:p>
    <w:p>
      <w:pPr>
        <w:pStyle w:val="Heading2"/>
        <w:spacing w:before="200" w:after="100"/>
      </w:pPr>
      <w:r>
        <w:rPr>
          <w:rFonts w:ascii="Liberation Sans" w:hAnsi="Liberation Sans"/>
          <w:b/>
          <w:color w:val="174A7E"/>
          <w:sz w:val="28"/>
        </w:rPr>
        <w:t>Define Needs, Wants, and Deal Breakers</w:t>
      </w:r>
    </w:p>
    <w:tbl>
      <w:tblPr>
        <w:tblW w:type="auto" w:w="0"/>
        <w:jc w:val="center"/>
        <w:tblLayout w:type="fixed"/>
        <w:tblLook w:firstColumn="1" w:firstRow="1" w:lastColumn="0" w:lastRow="0" w:noHBand="0" w:noVBand="1" w:val="04A0"/>
      </w:tblPr>
      <w:tblGrid>
        <w:gridCol w:w="2232"/>
        <w:gridCol w:w="3240"/>
        <w:gridCol w:w="3888"/>
      </w:tblGrid>
      <w:tr>
        <w:trPr>
          <w:tblHeader w:val="true"/>
          <w:cantSplit/>
        </w:trPr>
        <w:tc>
          <w:tcPr>
            <w:tcW w:type="dxa" w:w="3293"/>
            <w:shd w:fill="174A7E"/>
            <w:tcMar>
              <w:top w:w="100" w:type="dxa"/>
              <w:start w:w="120" w:type="dxa"/>
              <w:bottom w:w="100" w:type="dxa"/>
              <w:end w:w="120" w:type="dxa"/>
            </w:tcMar>
          </w:tcPr>
          <w:p>
            <w:r>
              <w:rPr>
                <w:rFonts w:ascii="Liberation Sans" w:hAnsi="Liberation Sans"/>
                <w:b/>
                <w:color w:val="FFFFFF"/>
                <w:sz w:val="18"/>
              </w:rPr>
              <w:t>Needs</w:t>
            </w:r>
          </w:p>
        </w:tc>
        <w:tc>
          <w:tcPr>
            <w:tcW w:type="dxa" w:w="3293"/>
            <w:shd w:fill="174A7E"/>
            <w:tcMar>
              <w:top w:w="100" w:type="dxa"/>
              <w:start w:w="120" w:type="dxa"/>
              <w:bottom w:w="100" w:type="dxa"/>
              <w:end w:w="120" w:type="dxa"/>
            </w:tcMar>
          </w:tcPr>
          <w:p>
            <w:r>
              <w:rPr>
                <w:rFonts w:ascii="Liberation Sans" w:hAnsi="Liberation Sans"/>
                <w:b/>
                <w:color w:val="FFFFFF"/>
                <w:sz w:val="18"/>
              </w:rPr>
              <w:t>Wants</w:t>
            </w:r>
          </w:p>
        </w:tc>
        <w:tc>
          <w:tcPr>
            <w:tcW w:type="dxa" w:w="3293"/>
            <w:shd w:fill="174A7E"/>
            <w:tcMar>
              <w:top w:w="100" w:type="dxa"/>
              <w:start w:w="120" w:type="dxa"/>
              <w:bottom w:w="100" w:type="dxa"/>
              <w:end w:w="120" w:type="dxa"/>
            </w:tcMar>
          </w:tcPr>
          <w:p>
            <w:r>
              <w:rPr>
                <w:rFonts w:ascii="Liberation Sans" w:hAnsi="Liberation Sans"/>
                <w:b/>
                <w:color w:val="FFFFFF"/>
                <w:sz w:val="18"/>
              </w:rPr>
              <w:t>Deal breakers</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Minimum bedrooms, accessibility, commute, payment limit, required location.</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Extra acreage, workshop, fireplace, finished basement, mountain view.</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Unsafe access, payment above comfort, uninsurable condition, prohibited property use.</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Reliable internet for work or school.</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High-speed fiber, dedicated office, bonus room.</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No workable service at the property.</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Suitable water and wastewater system.</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Municipal utilities or newer systems.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Failed well test, unusable septic area, or unresolved permit issue.</w:t>
            </w:r>
          </w:p>
        </w:tc>
      </w:tr>
    </w:tbl>
    <w:p>
      <w:pPr>
        <w:spacing w:after="40"/>
      </w:pPr>
    </w:p>
    <w:p>
      <w:pPr>
        <w:pStyle w:val="Heading2"/>
        <w:spacing w:before="200" w:after="100"/>
      </w:pPr>
      <w:r>
        <w:rPr>
          <w:rFonts w:ascii="Liberation Sans" w:hAnsi="Liberation Sans"/>
          <w:b/>
          <w:color w:val="174A7E"/>
          <w:sz w:val="28"/>
        </w:rPr>
        <w:t>Location Matters</w:t>
      </w:r>
    </w:p>
    <w:p>
      <w:pPr>
        <w:pStyle w:val="ListBullet"/>
        <w:spacing w:after="60"/>
        <w:ind w:left="360" w:hanging="259"/>
      </w:pPr>
      <w:r>
        <w:rPr>
          <w:rFonts w:ascii="Liberation Sans" w:hAnsi="Liberation Sans"/>
          <w:color w:val="1F2937"/>
          <w:sz w:val="20"/>
        </w:rPr>
        <w:t>Drive the route at different times and in different weather when possible.</w:t>
      </w:r>
    </w:p>
    <w:p>
      <w:pPr>
        <w:pStyle w:val="ListBullet"/>
        <w:spacing w:after="60"/>
        <w:ind w:left="360" w:hanging="259"/>
      </w:pPr>
      <w:r>
        <w:rPr>
          <w:rFonts w:ascii="Liberation Sans" w:hAnsi="Liberation Sans"/>
          <w:color w:val="1F2937"/>
          <w:sz w:val="20"/>
        </w:rPr>
        <w:t>Confirm travel time to work, schools, medical care, groceries, and emergency services.</w:t>
      </w:r>
    </w:p>
    <w:p>
      <w:pPr>
        <w:pStyle w:val="ListBullet"/>
        <w:spacing w:after="60"/>
        <w:ind w:left="360" w:hanging="259"/>
      </w:pPr>
      <w:r>
        <w:rPr>
          <w:rFonts w:ascii="Liberation Sans" w:hAnsi="Liberation Sans"/>
          <w:color w:val="1F2937"/>
          <w:sz w:val="20"/>
        </w:rPr>
        <w:t>Verify school assignments directly with the school system; boundaries can change.</w:t>
      </w:r>
    </w:p>
    <w:p>
      <w:pPr>
        <w:pStyle w:val="ListBullet"/>
        <w:spacing w:after="60"/>
        <w:ind w:left="360" w:hanging="259"/>
      </w:pPr>
      <w:r>
        <w:rPr>
          <w:rFonts w:ascii="Liberation Sans" w:hAnsi="Liberation Sans"/>
          <w:color w:val="1F2937"/>
          <w:sz w:val="20"/>
        </w:rPr>
        <w:t>Check public records for taxes, zoning, flood maps, permits, and nearby land uses.</w:t>
      </w:r>
    </w:p>
    <w:p>
      <w:pPr>
        <w:pStyle w:val="ListBullet"/>
        <w:spacing w:after="60"/>
        <w:ind w:left="360" w:hanging="259"/>
      </w:pPr>
      <w:r>
        <w:rPr>
          <w:rFonts w:ascii="Liberation Sans" w:hAnsi="Liberation Sans"/>
          <w:color w:val="1F2937"/>
          <w:sz w:val="20"/>
        </w:rPr>
        <w:t>Listen for road, industrial, shooting-range, farm, rail, or short-term rental activity.</w:t>
      </w:r>
    </w:p>
    <w:p>
      <w:pPr>
        <w:pStyle w:val="ListBullet"/>
        <w:spacing w:after="60"/>
        <w:ind w:left="360" w:hanging="259"/>
      </w:pPr>
      <w:r>
        <w:rPr>
          <w:rFonts w:ascii="Liberation Sans" w:hAnsi="Liberation Sans"/>
          <w:color w:val="1F2937"/>
          <w:sz w:val="20"/>
        </w:rPr>
        <w:t>Test cell service and verify internet providers using the exact address.</w:t>
      </w:r>
    </w:p>
    <w:p>
      <w:pPr>
        <w:pStyle w:val="ListBullet"/>
        <w:spacing w:after="60"/>
        <w:ind w:left="360" w:hanging="259"/>
      </w:pPr>
      <w:r>
        <w:rPr>
          <w:rFonts w:ascii="Liberation Sans" w:hAnsi="Liberation Sans"/>
          <w:color w:val="1F2937"/>
          <w:sz w:val="20"/>
        </w:rPr>
        <w:t>Ask about future road projects, development, and utility expansion without relying on rumors.</w:t>
      </w:r>
    </w:p>
    <w:p>
      <w:pPr>
        <w:pStyle w:val="Heading2"/>
        <w:spacing w:before="200" w:after="100"/>
      </w:pPr>
      <w:r>
        <w:rPr>
          <w:rFonts w:ascii="Liberation Sans" w:hAnsi="Liberation Sans"/>
          <w:b/>
          <w:color w:val="174A7E"/>
          <w:sz w:val="28"/>
        </w:rPr>
        <w:t>Rural Property Questions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Topic</w:t>
            </w:r>
          </w:p>
        </w:tc>
        <w:tc>
          <w:tcPr>
            <w:tcW w:type="dxa" w:w="4939"/>
            <w:shd w:fill="174A7E"/>
            <w:tcMar>
              <w:top w:w="100" w:type="dxa"/>
              <w:start w:w="120" w:type="dxa"/>
              <w:bottom w:w="100" w:type="dxa"/>
              <w:end w:w="120" w:type="dxa"/>
            </w:tcMar>
          </w:tcPr>
          <w:p>
            <w:r>
              <w:rPr>
                <w:rFonts w:ascii="Liberation Sans" w:hAnsi="Liberation Sans"/>
                <w:b/>
                <w:color w:val="FFFFFF"/>
                <w:sz w:val="19"/>
              </w:rPr>
              <w:t>Questions to investigate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Road access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Is the road public or private? Who maintains it? Is there a recorded agreement? Can emergency and service vehicles reach the home?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Driveway</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Is it steep, shared, gravel, gated, or located through another property? Who pays for grading, gravel, culverts, snow, and storm damage?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Water</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Is the source public, private well, shared well, community well, or spring? Are agreements, permits, testing records, and maintenance responsibilities available?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Wastewater</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Is the system septic, sewer, shared, pump-assisted, alternative, or undocumented? What bedroom capacity was permitted? Is there a repair area?</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Fuel and utilities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Does the property use propane, oil, electric, wood, solar, generator, or mixed systems? Are tanks leased or owned?</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Topography</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Are there steep slopes, erosion, drainage channels, retaining walls, creeks, or difficult mowing areas?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Land use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Are there easements, restrictions, conservation limits, agricultural uses, timber rights, mineral rights, or encroachments?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Outbuildings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Were garages, additions, decks, pools, workshops, or living areas permitted and included correctly in insurance and appraisal?</w:t>
            </w:r>
          </w:p>
        </w:tc>
      </w:tr>
    </w:tbl>
    <w:p>
      <w:pPr>
        <w:spacing w:after="40"/>
      </w:pPr>
    </w:p>
    <w:p>
      <w:pPr>
        <w:pStyle w:val="Heading2"/>
        <w:spacing w:before="200" w:after="100"/>
      </w:pPr>
      <w:r>
        <w:rPr>
          <w:rFonts w:ascii="Liberation Sans" w:hAnsi="Liberation Sans"/>
          <w:b/>
          <w:color w:val="174A7E"/>
          <w:sz w:val="28"/>
        </w:rPr>
        <w:t>Manufactured and Modular Homes</w:t>
      </w:r>
    </w:p>
    <w:p>
      <w:pPr>
        <w:pStyle w:val="BodyText"/>
        <w:keepLines w:val="0"/>
        <w:spacing w:after="120"/>
      </w:pPr>
      <w:r>
        <w:rPr>
          <w:rFonts w:ascii="Liberation Sans" w:hAnsi="Liberation Sans"/>
          <w:i w:val="0"/>
          <w:color w:val="1F2937"/>
          <w:sz w:val="21"/>
        </w:rPr>
        <w:t>Manufactured and modular are not interchangeable terms. A manufactured home is built to the federal HUD construction standard and generally has HUD certification labels and a data plate. A modular home is built to state or local building code and assembled on site. Financing, title, foundation, age, additions, moving history, and land ownership can affect eligibility.</w:t>
      </w:r>
    </w:p>
    <w:p>
      <w:pPr>
        <w:pStyle w:val="ListBullet"/>
        <w:spacing w:after="60"/>
        <w:ind w:left="360" w:hanging="259"/>
      </w:pPr>
      <w:r>
        <w:rPr>
          <w:rFonts w:ascii="Liberation Sans" w:hAnsi="Liberation Sans"/>
          <w:color w:val="1F2937"/>
          <w:sz w:val="20"/>
        </w:rPr>
        <w:t>Confirm whether the home is manufactured, modular, or site-built.</w:t>
      </w:r>
    </w:p>
    <w:p>
      <w:pPr>
        <w:pStyle w:val="ListBullet"/>
        <w:spacing w:after="60"/>
        <w:ind w:left="360" w:hanging="259"/>
      </w:pPr>
      <w:r>
        <w:rPr>
          <w:rFonts w:ascii="Liberation Sans" w:hAnsi="Liberation Sans"/>
          <w:color w:val="1F2937"/>
          <w:sz w:val="20"/>
        </w:rPr>
        <w:t>Locate HUD labels and the data plate for manufactured housing when applicable.</w:t>
      </w:r>
    </w:p>
    <w:p>
      <w:pPr>
        <w:pStyle w:val="ListBullet"/>
        <w:spacing w:after="60"/>
        <w:ind w:left="360" w:hanging="259"/>
      </w:pPr>
      <w:r>
        <w:rPr>
          <w:rFonts w:ascii="Liberation Sans" w:hAnsi="Liberation Sans"/>
          <w:color w:val="1F2937"/>
          <w:sz w:val="20"/>
        </w:rPr>
        <w:t>Verify that the home is permanently affixed and legally classified as real property when required.</w:t>
      </w:r>
    </w:p>
    <w:p>
      <w:pPr>
        <w:pStyle w:val="ListBullet"/>
        <w:spacing w:after="60"/>
        <w:ind w:left="360" w:hanging="259"/>
      </w:pPr>
      <w:r>
        <w:rPr>
          <w:rFonts w:ascii="Liberation Sans" w:hAnsi="Liberation Sans"/>
          <w:color w:val="1F2937"/>
          <w:sz w:val="20"/>
        </w:rPr>
        <w:t>Ask whether the home has ever been moved from its original site.</w:t>
      </w:r>
    </w:p>
    <w:p>
      <w:pPr>
        <w:pStyle w:val="ListBullet"/>
        <w:spacing w:after="60"/>
        <w:ind w:left="360" w:hanging="259"/>
      </w:pPr>
      <w:r>
        <w:rPr>
          <w:rFonts w:ascii="Liberation Sans" w:hAnsi="Liberation Sans"/>
          <w:color w:val="1F2937"/>
          <w:sz w:val="20"/>
        </w:rPr>
        <w:t>Review foundation requirements and determine whether an engineer’s certification is needed.</w:t>
      </w:r>
    </w:p>
    <w:p>
      <w:pPr>
        <w:pStyle w:val="ListBullet"/>
        <w:spacing w:after="60"/>
        <w:ind w:left="360" w:hanging="259"/>
      </w:pPr>
      <w:r>
        <w:rPr>
          <w:rFonts w:ascii="Liberation Sans" w:hAnsi="Liberation Sans"/>
          <w:color w:val="1F2937"/>
          <w:sz w:val="20"/>
        </w:rPr>
        <w:t>Confirm permits for porches, decks, additions, roof-overs, garages, and room conversions.</w:t>
      </w:r>
    </w:p>
    <w:p>
      <w:pPr>
        <w:pStyle w:val="ListBullet"/>
        <w:spacing w:after="60"/>
        <w:ind w:left="360" w:hanging="259"/>
      </w:pPr>
      <w:r>
        <w:rPr>
          <w:rFonts w:ascii="Liberation Sans" w:hAnsi="Liberation Sans"/>
          <w:color w:val="1F2937"/>
          <w:sz w:val="20"/>
        </w:rPr>
        <w:t>Confirm insurance availability before the due diligence deadline.</w:t>
      </w:r>
    </w:p>
    <w:p>
      <w:pPr>
        <w:pStyle w:val="ListBullet"/>
        <w:spacing w:after="60"/>
        <w:ind w:left="360" w:hanging="259"/>
      </w:pPr>
      <w:r>
        <w:rPr>
          <w:rFonts w:ascii="Liberation Sans" w:hAnsi="Liberation Sans"/>
          <w:color w:val="1F2937"/>
          <w:sz w:val="20"/>
        </w:rPr>
        <w:t>Make sure the lender reviews the exact property early, not after inspections are complete.</w:t>
      </w:r>
    </w:p>
    <w:p>
      <w:pPr>
        <w:pStyle w:val="Heading2"/>
        <w:spacing w:before="200" w:after="100"/>
      </w:pPr>
      <w:r>
        <w:rPr>
          <w:rFonts w:ascii="Liberation Sans" w:hAnsi="Liberation Sans"/>
          <w:b/>
          <w:color w:val="174A7E"/>
          <w:sz w:val="28"/>
        </w:rPr>
        <w:t>Septic Systems</w:t>
      </w:r>
    </w:p>
    <w:p>
      <w:pPr>
        <w:pStyle w:val="BodyText"/>
        <w:keepLines w:val="0"/>
        <w:spacing w:after="120"/>
      </w:pPr>
      <w:r>
        <w:rPr>
          <w:rFonts w:ascii="Liberation Sans" w:hAnsi="Liberation Sans"/>
          <w:i w:val="0"/>
          <w:color w:val="1F2937"/>
          <w:sz w:val="21"/>
        </w:rPr>
        <w:t>A septic system treats and disperses household wastewater on the property. The permit may identify the approved number of bedrooms, system type, tank location, drain field, and repair area. The number of bathrooms or current use does not automatically change the permitted capacity.</w:t>
      </w:r>
    </w:p>
    <w:p>
      <w:pPr>
        <w:pStyle w:val="ListBullet"/>
        <w:spacing w:after="60"/>
        <w:ind w:left="360" w:hanging="259"/>
      </w:pPr>
      <w:r>
        <w:rPr>
          <w:rFonts w:ascii="Liberation Sans" w:hAnsi="Liberation Sans"/>
          <w:color w:val="1F2937"/>
          <w:sz w:val="20"/>
        </w:rPr>
        <w:t>Obtain available permits, drawings, operation permits, repair records, and pumping history.</w:t>
      </w:r>
    </w:p>
    <w:p>
      <w:pPr>
        <w:pStyle w:val="ListBullet"/>
        <w:spacing w:after="60"/>
        <w:ind w:left="360" w:hanging="259"/>
      </w:pPr>
      <w:r>
        <w:rPr>
          <w:rFonts w:ascii="Liberation Sans" w:hAnsi="Liberation Sans"/>
          <w:color w:val="1F2937"/>
          <w:sz w:val="20"/>
        </w:rPr>
        <w:t>Hire a qualified septic professional for a transaction inspection.</w:t>
      </w:r>
    </w:p>
    <w:p>
      <w:pPr>
        <w:pStyle w:val="ListBullet"/>
        <w:spacing w:after="60"/>
        <w:ind w:left="360" w:hanging="259"/>
      </w:pPr>
      <w:r>
        <w:rPr>
          <w:rFonts w:ascii="Liberation Sans" w:hAnsi="Liberation Sans"/>
          <w:color w:val="1F2937"/>
          <w:sz w:val="20"/>
        </w:rPr>
        <w:t>Ask whether the tank was opened, levels measured, components evaluated, and drain field observed.</w:t>
      </w:r>
    </w:p>
    <w:p>
      <w:pPr>
        <w:pStyle w:val="ListBullet"/>
        <w:spacing w:after="60"/>
        <w:ind w:left="360" w:hanging="259"/>
      </w:pPr>
      <w:r>
        <w:rPr>
          <w:rFonts w:ascii="Liberation Sans" w:hAnsi="Liberation Sans"/>
          <w:color w:val="1F2937"/>
          <w:sz w:val="20"/>
        </w:rPr>
        <w:t>Identify pumps, alarms, control panels, filters, or maintenance contracts.</w:t>
      </w:r>
    </w:p>
    <w:p>
      <w:pPr>
        <w:pStyle w:val="ListBullet"/>
        <w:spacing w:after="60"/>
        <w:ind w:left="360" w:hanging="259"/>
      </w:pPr>
      <w:r>
        <w:rPr>
          <w:rFonts w:ascii="Liberation Sans" w:hAnsi="Liberation Sans"/>
          <w:color w:val="1F2937"/>
          <w:sz w:val="20"/>
        </w:rPr>
        <w:t>Protect the tank, lines, drain field, and repair area from vehicles, structures, pools, and heavy equipment.</w:t>
      </w:r>
    </w:p>
    <w:p>
      <w:pPr>
        <w:pStyle w:val="ListBullet"/>
        <w:spacing w:after="60"/>
        <w:ind w:left="360" w:hanging="259"/>
      </w:pPr>
      <w:r>
        <w:rPr>
          <w:rFonts w:ascii="Liberation Sans" w:hAnsi="Liberation Sans"/>
          <w:color w:val="1F2937"/>
          <w:sz w:val="20"/>
        </w:rPr>
        <w:t>Consider future expansion plans before buying.</w:t>
      </w:r>
    </w:p>
    <w:tbl>
      <w:tblPr>
        <w:tblW w:type="auto" w:w="0"/>
        <w:jc w:val="center"/>
        <w:tblLayout w:type="fixed"/>
        <w:tblLook w:firstColumn="1" w:firstRow="1" w:lastColumn="0" w:lastRow="0" w:noHBand="0" w:noVBand="1" w:val="04A0"/>
      </w:tblPr>
      <w:tblGrid>
        <w:gridCol w:w="9360"/>
      </w:tblGrid>
      <w:tr>
        <w:trPr>
          <w:cantSplit/>
        </w:trPr>
        <w:tc>
          <w:tcPr>
            <w:tcW w:type="dxa" w:w="9878"/>
            <w:shd w:fill="EAF2F8"/>
            <w:tcMar>
              <w:top w:w="130" w:type="dxa"/>
              <w:start w:w="180" w:type="dxa"/>
              <w:bottom w:w="130" w:type="dxa"/>
              <w:end w:w="180" w:type="dxa"/>
            </w:tcMar>
            <w:tcBorders>
              <w:top w:val="nil"/>
              <w:left w:val="single" w:sz="18" w:color="174A7E"/>
              <w:bottom w:val="nil"/>
              <w:right w:val="nil"/>
            </w:tcBorders>
          </w:tcPr>
          <w:p>
            <w:pPr>
              <w:spacing w:after="60"/>
            </w:pPr>
            <w:r>
              <w:rPr>
                <w:rFonts w:ascii="Liberation Sans" w:hAnsi="Liberation Sans"/>
                <w:b/>
                <w:color w:val="174A7E"/>
                <w:sz w:val="21"/>
              </w:rPr>
              <w:t>Maintenance After Closing</w:t>
            </w:r>
          </w:p>
          <w:p>
            <w:pPr>
              <w:spacing w:after="0"/>
            </w:pPr>
            <w:r>
              <w:rPr>
                <w:rFonts w:ascii="Liberation Sans" w:hAnsi="Liberation Sans"/>
                <w:color w:val="1F2937"/>
                <w:sz w:val="20"/>
              </w:rPr>
              <w:t>EPA consumer guidance recommends regular inspection and pumping based on system type, household use, tank size, and professional findings. Many conventional tanks are inspected every one to three years and pumped roughly every three to five years, but your system may require a different schedule.</w:t>
            </w:r>
          </w:p>
        </w:tc>
      </w:tr>
    </w:tbl>
    <w:p>
      <w:pPr>
        <w:spacing w:after="20"/>
      </w:pPr>
    </w:p>
    <w:p>
      <w:pPr>
        <w:pStyle w:val="Heading2"/>
        <w:spacing w:before="200" w:after="100"/>
      </w:pPr>
      <w:r>
        <w:rPr>
          <w:rFonts w:ascii="Liberation Sans" w:hAnsi="Liberation Sans"/>
          <w:b/>
          <w:color w:val="174A7E"/>
          <w:sz w:val="28"/>
        </w:rPr>
        <w:t>Private and Shared Wells</w:t>
      </w:r>
    </w:p>
    <w:p>
      <w:pPr>
        <w:pStyle w:val="BodyText"/>
        <w:keepLines w:val="0"/>
        <w:spacing w:after="120"/>
      </w:pPr>
      <w:r>
        <w:rPr>
          <w:rFonts w:ascii="Liberation Sans" w:hAnsi="Liberation Sans"/>
          <w:i w:val="0"/>
          <w:color w:val="1F2937"/>
          <w:sz w:val="21"/>
        </w:rPr>
        <w:t>Private well owners are responsible for water quality and system maintenance. A water sample does not evaluate the physical condition or production capacity of the entire system. Consider both water quality and well performance.</w:t>
      </w:r>
    </w:p>
    <w:p>
      <w:pPr>
        <w:pStyle w:val="ListBullet"/>
        <w:spacing w:after="60"/>
        <w:ind w:left="360" w:hanging="259"/>
      </w:pPr>
      <w:r>
        <w:rPr>
          <w:rFonts w:ascii="Liberation Sans" w:hAnsi="Liberation Sans"/>
          <w:color w:val="1F2937"/>
          <w:sz w:val="20"/>
        </w:rPr>
        <w:t>Test for bacteria and other contaminants appropriate to the location and loan program.</w:t>
      </w:r>
    </w:p>
    <w:p>
      <w:pPr>
        <w:pStyle w:val="ListBullet"/>
        <w:spacing w:after="60"/>
        <w:ind w:left="360" w:hanging="259"/>
      </w:pPr>
      <w:r>
        <w:rPr>
          <w:rFonts w:ascii="Liberation Sans" w:hAnsi="Liberation Sans"/>
          <w:color w:val="1F2937"/>
          <w:sz w:val="20"/>
        </w:rPr>
        <w:t>Ask about well depth, age, yield, pump, pressure tank, treatment equipment, and recent repairs.</w:t>
      </w:r>
    </w:p>
    <w:p>
      <w:pPr>
        <w:pStyle w:val="ListBullet"/>
        <w:spacing w:after="60"/>
        <w:ind w:left="360" w:hanging="259"/>
      </w:pPr>
      <w:r>
        <w:rPr>
          <w:rFonts w:ascii="Liberation Sans" w:hAnsi="Liberation Sans"/>
          <w:color w:val="1F2937"/>
          <w:sz w:val="20"/>
        </w:rPr>
        <w:t>Confirm whether the well is located on the property and whether access easements exist.</w:t>
      </w:r>
    </w:p>
    <w:p>
      <w:pPr>
        <w:pStyle w:val="ListBullet"/>
        <w:spacing w:after="60"/>
        <w:ind w:left="360" w:hanging="259"/>
      </w:pPr>
      <w:r>
        <w:rPr>
          <w:rFonts w:ascii="Liberation Sans" w:hAnsi="Liberation Sans"/>
          <w:color w:val="1F2937"/>
          <w:sz w:val="20"/>
        </w:rPr>
        <w:t>For a shared or community well, obtain the written agreement, fees, maintenance plan, user limits, testing records, and responsible contact.</w:t>
      </w:r>
    </w:p>
    <w:p>
      <w:pPr>
        <w:pStyle w:val="ListBullet"/>
        <w:spacing w:after="60"/>
        <w:ind w:left="360" w:hanging="259"/>
      </w:pPr>
      <w:r>
        <w:rPr>
          <w:rFonts w:ascii="Liberation Sans" w:hAnsi="Liberation Sans"/>
          <w:color w:val="1F2937"/>
          <w:sz w:val="20"/>
        </w:rPr>
        <w:t>Confirm that treatment systems, softeners, filters, and ultraviolet equipment are functioning and properly maintained.</w:t>
      </w:r>
    </w:p>
    <w:p>
      <w:pPr>
        <w:pStyle w:val="ListBullet"/>
        <w:spacing w:after="60"/>
        <w:ind w:left="360" w:hanging="259"/>
      </w:pPr>
      <w:r>
        <w:rPr>
          <w:rFonts w:ascii="Liberation Sans" w:hAnsi="Liberation Sans"/>
          <w:color w:val="1F2937"/>
          <w:sz w:val="20"/>
        </w:rPr>
        <w:t>EPA recommends annual testing of private wells for total coliform bacteria, nitrates, total dissolved solids, and pH, with additional testing based on local risks.</w:t>
      </w:r>
    </w:p>
    <w:p>
      <w:pPr>
        <w:pStyle w:val="Heading2"/>
        <w:pageBreakBefore/>
        <w:spacing w:before="200" w:after="100"/>
      </w:pPr>
      <w:r>
        <w:rPr>
          <w:rFonts w:ascii="Liberation Sans" w:hAnsi="Liberation Sans"/>
          <w:b/>
          <w:color w:val="174A7E"/>
          <w:sz w:val="28"/>
        </w:rPr>
        <w:t>Property Tour Scorecard</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Item</w:t>
            </w:r>
          </w:p>
        </w:tc>
        <w:tc>
          <w:tcPr>
            <w:tcW w:type="dxa" w:w="4939"/>
            <w:shd w:fill="174A7E"/>
            <w:tcMar>
              <w:top w:w="100" w:type="dxa"/>
              <w:start w:w="120" w:type="dxa"/>
              <w:bottom w:w="100" w:type="dxa"/>
              <w:end w:w="120" w:type="dxa"/>
            </w:tcMar>
          </w:tcPr>
          <w:p>
            <w:r>
              <w:rPr>
                <w:rFonts w:ascii="Liberation Sans" w:hAnsi="Liberation Sans"/>
                <w:b/>
                <w:color w:val="FFFFFF"/>
                <w:sz w:val="19"/>
              </w:rPr>
              <w:t>Notes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Address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Asking price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Estimated full payment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Top strengths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Main concerns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Water/wastewater</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Road/access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Internet/cell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Visible repairs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____________________________________________________________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Would I still want it tomorrow?</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Yes / No / Need more information</w:t>
            </w:r>
          </w:p>
        </w:tc>
      </w:tr>
    </w:tbl>
    <w:p>
      <w:pPr>
        <w:spacing w:after="40"/>
      </w:pPr>
    </w:p>
    <w:p>
      <w:pPr>
        <w:pageBreakBefore/>
        <w:spacing w:before="120" w:after="40"/>
      </w:pPr>
      <w:r>
        <w:rPr>
          <w:rFonts w:ascii="Liberation Sans" w:hAnsi="Liberation Sans"/>
          <w:b/>
          <w:color w:val="D71920"/>
          <w:sz w:val="20"/>
        </w:rPr>
        <w:t>CHAPTER 7</w:t>
      </w:r>
    </w:p>
    <w:p>
      <w:pPr>
        <w:pStyle w:val="TitleChapter"/>
        <w:spacing w:after="80"/>
      </w:pPr>
      <w:r>
        <w:rPr>
          <w:rFonts w:ascii="Liberation Sans" w:hAnsi="Liberation Sans"/>
          <w:b/>
          <w:color w:val="123451"/>
          <w:sz w:val="46"/>
        </w:rPr>
        <w:t>Understanding Inspections</w:t>
      </w:r>
    </w:p>
    <w:p>
      <w:pPr>
        <w:spacing w:after="280"/>
      </w:pPr>
      <w:r>
        <w:rPr>
          <w:rFonts w:ascii="Liberation Sans" w:hAnsi="Liberation Sans"/>
          <w:i/>
          <w:color w:val="6B7280"/>
          <w:sz w:val="22"/>
        </w:rPr>
        <w:t>An inspection is information. What you do with that information is the decision.</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A home inspection is not a warranty and does not predict every future failure. It is a visual evaluation of accessible systems and components at a point in time. Older homes often have a long list of findings. The key is to distinguish routine maintenance from safety concerns, active defects, major cost items, and issues that affect financing or insurance.</w:t>
      </w:r>
    </w:p>
    <w:p>
      <w:pPr>
        <w:pStyle w:val="Heading2"/>
        <w:spacing w:before="200" w:after="100"/>
      </w:pPr>
      <w:r>
        <w:rPr>
          <w:rFonts w:ascii="Liberation Sans" w:hAnsi="Liberation Sans"/>
          <w:b/>
          <w:color w:val="174A7E"/>
          <w:sz w:val="28"/>
        </w:rPr>
        <w:t>Home Inspection</w:t>
      </w:r>
    </w:p>
    <w:p>
      <w:pPr>
        <w:pStyle w:val="ListBullet"/>
        <w:spacing w:after="60"/>
        <w:ind w:left="360" w:hanging="259"/>
      </w:pPr>
      <w:r>
        <w:rPr>
          <w:rFonts w:ascii="Liberation Sans" w:hAnsi="Liberation Sans"/>
          <w:color w:val="1F2937"/>
          <w:sz w:val="20"/>
        </w:rPr>
        <w:t>Structure, foundation, crawlspace, basement, attic, and visible framing.</w:t>
      </w:r>
    </w:p>
    <w:p>
      <w:pPr>
        <w:pStyle w:val="ListBullet"/>
        <w:spacing w:after="60"/>
        <w:ind w:left="360" w:hanging="259"/>
      </w:pPr>
      <w:r>
        <w:rPr>
          <w:rFonts w:ascii="Liberation Sans" w:hAnsi="Liberation Sans"/>
          <w:color w:val="1F2937"/>
          <w:sz w:val="20"/>
        </w:rPr>
        <w:t>Roof coverings, flashing, drainage, gutters, and exterior surfaces.</w:t>
      </w:r>
    </w:p>
    <w:p>
      <w:pPr>
        <w:pStyle w:val="ListBullet"/>
        <w:spacing w:after="60"/>
        <w:ind w:left="360" w:hanging="259"/>
      </w:pPr>
      <w:r>
        <w:rPr>
          <w:rFonts w:ascii="Liberation Sans" w:hAnsi="Liberation Sans"/>
          <w:color w:val="1F2937"/>
          <w:sz w:val="20"/>
        </w:rPr>
        <w:t>Electrical panels, representative outlets, grounding, and visible wiring.</w:t>
      </w:r>
    </w:p>
    <w:p>
      <w:pPr>
        <w:pStyle w:val="ListBullet"/>
        <w:spacing w:after="60"/>
        <w:ind w:left="360" w:hanging="259"/>
      </w:pPr>
      <w:r>
        <w:rPr>
          <w:rFonts w:ascii="Liberation Sans" w:hAnsi="Liberation Sans"/>
          <w:color w:val="1F2937"/>
          <w:sz w:val="20"/>
        </w:rPr>
        <w:t>Plumbing supply, drains, fixtures, water heater, and visible leaks.</w:t>
      </w:r>
    </w:p>
    <w:p>
      <w:pPr>
        <w:pStyle w:val="ListBullet"/>
        <w:spacing w:after="60"/>
        <w:ind w:left="360" w:hanging="259"/>
      </w:pPr>
      <w:r>
        <w:rPr>
          <w:rFonts w:ascii="Liberation Sans" w:hAnsi="Liberation Sans"/>
          <w:color w:val="1F2937"/>
          <w:sz w:val="20"/>
        </w:rPr>
        <w:t>Heating and cooling systems under normal operating conditions.</w:t>
      </w:r>
    </w:p>
    <w:p>
      <w:pPr>
        <w:pStyle w:val="ListBullet"/>
        <w:spacing w:after="60"/>
        <w:ind w:left="360" w:hanging="259"/>
      </w:pPr>
      <w:r>
        <w:rPr>
          <w:rFonts w:ascii="Liberation Sans" w:hAnsi="Liberation Sans"/>
          <w:color w:val="1F2937"/>
          <w:sz w:val="20"/>
        </w:rPr>
        <w:t>Windows, doors, stairs, railings, decks, porches, and attached components.</w:t>
      </w:r>
    </w:p>
    <w:p>
      <w:pPr>
        <w:pStyle w:val="ListBullet"/>
        <w:spacing w:after="60"/>
        <w:ind w:left="360" w:hanging="259"/>
      </w:pPr>
      <w:r>
        <w:rPr>
          <w:rFonts w:ascii="Liberation Sans" w:hAnsi="Liberation Sans"/>
          <w:color w:val="1F2937"/>
          <w:sz w:val="20"/>
        </w:rPr>
        <w:t>Interior surfaces and signs of moisture, damage, or unsafe conditions.</w:t>
      </w:r>
    </w:p>
    <w:p>
      <w:pPr>
        <w:pStyle w:val="ListBullet"/>
        <w:spacing w:after="60"/>
        <w:ind w:left="360" w:hanging="259"/>
      </w:pPr>
      <w:r>
        <w:rPr>
          <w:rFonts w:ascii="Liberation Sans" w:hAnsi="Liberation Sans"/>
          <w:color w:val="1F2937"/>
          <w:sz w:val="20"/>
        </w:rPr>
        <w:t>Installed appliances included within the inspector’s scope.</w:t>
      </w:r>
    </w:p>
    <w:tbl>
      <w:tblPr>
        <w:tblW w:type="auto" w:w="0"/>
        <w:jc w:val="center"/>
        <w:tblLayout w:type="fixed"/>
        <w:tblLook w:firstColumn="1" w:firstRow="1" w:lastColumn="0" w:lastRow="0" w:noHBand="0" w:noVBand="1" w:val="04A0"/>
      </w:tblPr>
      <w:tblGrid>
        <w:gridCol w:w="9360"/>
      </w:tblGrid>
      <w:tr>
        <w:trPr>
          <w:cantSplit/>
        </w:trPr>
        <w:tc>
          <w:tcPr>
            <w:tcW w:type="dxa" w:w="9878"/>
            <w:shd w:fill="EAF2F8"/>
            <w:tcMar>
              <w:top w:w="130" w:type="dxa"/>
              <w:start w:w="180" w:type="dxa"/>
              <w:bottom w:w="130" w:type="dxa"/>
              <w:end w:w="180" w:type="dxa"/>
            </w:tcMar>
            <w:tcBorders>
              <w:top w:val="nil"/>
              <w:left w:val="single" w:sz="18" w:color="174A7E"/>
              <w:bottom w:val="nil"/>
              <w:right w:val="nil"/>
            </w:tcBorders>
          </w:tcPr>
          <w:p>
            <w:pPr>
              <w:spacing w:after="60"/>
            </w:pPr>
            <w:r>
              <w:rPr>
                <w:rFonts w:ascii="Liberation Sans" w:hAnsi="Liberation Sans"/>
                <w:b/>
                <w:color w:val="174A7E"/>
                <w:sz w:val="21"/>
              </w:rPr>
              <w:t>Attend the Inspection When Possible</w:t>
            </w:r>
          </w:p>
          <w:p>
            <w:pPr>
              <w:spacing w:after="0"/>
            </w:pPr>
            <w:r>
              <w:rPr>
                <w:rFonts w:ascii="Liberation Sans" w:hAnsi="Liberation Sans"/>
                <w:color w:val="1F2937"/>
                <w:sz w:val="20"/>
              </w:rPr>
              <w:t>The written report matters, but the inspector’s explanation can help you understand severity, urgency, maintenance, and which specialists should evaluate a concern.</w:t>
            </w:r>
          </w:p>
        </w:tc>
      </w:tr>
    </w:tbl>
    <w:p>
      <w:pPr>
        <w:spacing w:after="20"/>
      </w:pPr>
    </w:p>
    <w:p>
      <w:pPr>
        <w:pStyle w:val="Heading2"/>
        <w:spacing w:before="200" w:after="100"/>
      </w:pPr>
      <w:r>
        <w:rPr>
          <w:rFonts w:ascii="Liberation Sans" w:hAnsi="Liberation Sans"/>
          <w:b/>
          <w:color w:val="174A7E"/>
          <w:sz w:val="28"/>
        </w:rPr>
        <w:t>Specialized Inspections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Inspection</w:t>
            </w:r>
          </w:p>
        </w:tc>
        <w:tc>
          <w:tcPr>
            <w:tcW w:type="dxa" w:w="4939"/>
            <w:shd w:fill="174A7E"/>
            <w:tcMar>
              <w:top w:w="100" w:type="dxa"/>
              <w:start w:w="120" w:type="dxa"/>
              <w:bottom w:w="100" w:type="dxa"/>
              <w:end w:w="120" w:type="dxa"/>
            </w:tcMar>
          </w:tcPr>
          <w:p>
            <w:r>
              <w:rPr>
                <w:rFonts w:ascii="Liberation Sans" w:hAnsi="Liberation Sans"/>
                <w:b/>
                <w:color w:val="FFFFFF"/>
                <w:sz w:val="19"/>
              </w:rPr>
              <w:t>What it can help evaluate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Septic</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System type, tank, sludge/scum levels, pumps, alarms, lines, visible drain-field conditions, records, and recommended maintenance.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Well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Water quality testing, system components, pressure, flow, yield, treatment equipment, and location concerns.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Wood-destroying insects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Termites, wood-boring insects, visible damage, conducive conditions, and treatment recommendations.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Radon</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A time-sensitive test for a naturally occurring radioactive gas. North Carolina recommends testing; a short-term test should generally run at least 48 hours under proper conditions.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Survey</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Boundary lines, corners, acreage, easements, encroachments, improvements, and access.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Structural engineer</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Foundation movement, framing, retaining walls, settlement, unusual cracks, or load-related concerns.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HVAC/electrical/plumbing</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Further diagnosis, life expectancy, repair scope, safety, capacity, or code-related concerns.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Roof/chimney/fireplace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Condition, leaks, flashing, ventilation, flue, liner, drafting, and safety.</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Mold/moisture/environmental</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Source of moisture, affected materials, sampling when appropriate, remediation plan, and prevention.</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Lead-based paint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Homes built before 1978 may require federal disclosure and deserve informed evaluation.</w:t>
            </w:r>
          </w:p>
        </w:tc>
      </w:tr>
    </w:tbl>
    <w:p>
      <w:pPr>
        <w:spacing w:after="40"/>
      </w:pPr>
    </w:p>
    <w:p>
      <w:pPr>
        <w:pStyle w:val="Heading2"/>
        <w:spacing w:before="200" w:after="100"/>
      </w:pPr>
      <w:r>
        <w:rPr>
          <w:rFonts w:ascii="Liberation Sans" w:hAnsi="Liberation Sans"/>
          <w:b/>
          <w:color w:val="174A7E"/>
          <w:sz w:val="28"/>
        </w:rPr>
        <w:t>Inspection Versus Appraisal</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Process</w:t>
            </w:r>
          </w:p>
        </w:tc>
        <w:tc>
          <w:tcPr>
            <w:tcW w:type="dxa" w:w="4939"/>
            <w:shd w:fill="174A7E"/>
            <w:tcMar>
              <w:top w:w="100" w:type="dxa"/>
              <w:start w:w="120" w:type="dxa"/>
              <w:bottom w:w="100" w:type="dxa"/>
              <w:end w:w="120" w:type="dxa"/>
            </w:tcMar>
          </w:tcPr>
          <w:p>
            <w:r>
              <w:rPr>
                <w:rFonts w:ascii="Liberation Sans" w:hAnsi="Liberation Sans"/>
                <w:b/>
                <w:color w:val="FFFFFF"/>
                <w:sz w:val="19"/>
              </w:rPr>
              <w:t>Primary purpose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Inspection</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Primarily helps the buyer understand condition and maintenance. Ordered for the buyer’s benefit.</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Appraisal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Primarily helps the lender evaluate market value and property acceptability for the loan program.</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Important distinction</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An appraisal is not a substitute for a home inspection, and an inspection does not establish market value.</w:t>
            </w:r>
          </w:p>
        </w:tc>
      </w:tr>
    </w:tbl>
    <w:p>
      <w:pPr>
        <w:spacing w:after="40"/>
      </w:pPr>
    </w:p>
    <w:p>
      <w:pPr>
        <w:pStyle w:val="Heading2"/>
        <w:spacing w:before="200" w:after="100"/>
      </w:pPr>
      <w:r>
        <w:rPr>
          <w:rFonts w:ascii="Liberation Sans" w:hAnsi="Liberation Sans"/>
          <w:b/>
          <w:color w:val="174A7E"/>
          <w:sz w:val="28"/>
        </w:rPr>
        <w:t>How to Read an Inspection Report</w:t>
      </w:r>
    </w:p>
    <w:p>
      <w:pPr>
        <w:pStyle w:val="BodyText"/>
        <w:spacing w:after="80"/>
        <w:ind w:left="461" w:hanging="461"/>
      </w:pPr>
      <w:r>
        <w:rPr>
          <w:rFonts w:ascii="Liberation Sans" w:hAnsi="Liberation Sans"/>
          <w:b/>
          <w:color w:val="174A7E"/>
          <w:sz w:val="21"/>
        </w:rPr>
        <w:t xml:space="preserve">1. </w:t>
      </w:r>
      <w:r>
        <w:rPr>
          <w:rFonts w:ascii="Liberation Sans" w:hAnsi="Liberation Sans"/>
          <w:color w:val="1F2937"/>
          <w:sz w:val="21"/>
        </w:rPr>
        <w:t>Read the full report, not only the summary.</w:t>
      </w:r>
    </w:p>
    <w:p>
      <w:pPr>
        <w:pStyle w:val="BodyText"/>
        <w:spacing w:after="80"/>
        <w:ind w:left="461" w:hanging="461"/>
      </w:pPr>
      <w:r>
        <w:rPr>
          <w:rFonts w:ascii="Liberation Sans" w:hAnsi="Liberation Sans"/>
          <w:b/>
          <w:color w:val="174A7E"/>
          <w:sz w:val="21"/>
        </w:rPr>
        <w:t xml:space="preserve">2. </w:t>
      </w:r>
      <w:r>
        <w:rPr>
          <w:rFonts w:ascii="Liberation Sans" w:hAnsi="Liberation Sans"/>
          <w:color w:val="1F2937"/>
          <w:sz w:val="21"/>
        </w:rPr>
        <w:t>Ask the inspector to separate safety concerns, active defects, deferred maintenance, and cosmetic items.</w:t>
      </w:r>
    </w:p>
    <w:p>
      <w:pPr>
        <w:pStyle w:val="BodyText"/>
        <w:spacing w:after="80"/>
        <w:ind w:left="461" w:hanging="461"/>
      </w:pPr>
      <w:r>
        <w:rPr>
          <w:rFonts w:ascii="Liberation Sans" w:hAnsi="Liberation Sans"/>
          <w:b/>
          <w:color w:val="174A7E"/>
          <w:sz w:val="21"/>
        </w:rPr>
        <w:t xml:space="preserve">3. </w:t>
      </w:r>
      <w:r>
        <w:rPr>
          <w:rFonts w:ascii="Liberation Sans" w:hAnsi="Liberation Sans"/>
          <w:color w:val="1F2937"/>
          <w:sz w:val="21"/>
        </w:rPr>
        <w:t>Obtain specialist evaluations and written estimates for significant concerns.</w:t>
      </w:r>
    </w:p>
    <w:p>
      <w:pPr>
        <w:pStyle w:val="BodyText"/>
        <w:spacing w:after="80"/>
        <w:ind w:left="461" w:hanging="461"/>
      </w:pPr>
      <w:r>
        <w:rPr>
          <w:rFonts w:ascii="Liberation Sans" w:hAnsi="Liberation Sans"/>
          <w:b/>
          <w:color w:val="174A7E"/>
          <w:sz w:val="21"/>
        </w:rPr>
        <w:t xml:space="preserve">4. </w:t>
      </w:r>
      <w:r>
        <w:rPr>
          <w:rFonts w:ascii="Liberation Sans" w:hAnsi="Liberation Sans"/>
          <w:color w:val="1F2937"/>
          <w:sz w:val="21"/>
        </w:rPr>
        <w:t>Consider whether the issue affects insurance, appraisal, financing, occupancy, or future resale.</w:t>
      </w:r>
    </w:p>
    <w:p>
      <w:pPr>
        <w:pStyle w:val="BodyText"/>
        <w:spacing w:after="80"/>
        <w:ind w:left="461" w:hanging="461"/>
      </w:pPr>
      <w:r>
        <w:rPr>
          <w:rFonts w:ascii="Liberation Sans" w:hAnsi="Liberation Sans"/>
          <w:b/>
          <w:color w:val="174A7E"/>
          <w:sz w:val="21"/>
        </w:rPr>
        <w:t xml:space="preserve">5. </w:t>
      </w:r>
      <w:r>
        <w:rPr>
          <w:rFonts w:ascii="Liberation Sans" w:hAnsi="Liberation Sans"/>
          <w:color w:val="1F2937"/>
          <w:sz w:val="21"/>
        </w:rPr>
        <w:t>Prioritize water intrusion, structure, roof, electrical safety, plumbing leaks, HVAC, septic, well, and access.</w:t>
      </w:r>
    </w:p>
    <w:p>
      <w:pPr>
        <w:pStyle w:val="BodyText"/>
        <w:spacing w:after="80"/>
        <w:ind w:left="461" w:hanging="461"/>
      </w:pPr>
      <w:r>
        <w:rPr>
          <w:rFonts w:ascii="Liberation Sans" w:hAnsi="Liberation Sans"/>
          <w:b/>
          <w:color w:val="174A7E"/>
          <w:sz w:val="21"/>
        </w:rPr>
        <w:t xml:space="preserve">6. </w:t>
      </w:r>
      <w:r>
        <w:rPr>
          <w:rFonts w:ascii="Liberation Sans" w:hAnsi="Liberation Sans"/>
          <w:color w:val="1F2937"/>
          <w:sz w:val="21"/>
        </w:rPr>
        <w:t>Decide what you are willing and financially able to accept.</w:t>
      </w:r>
    </w:p>
    <w:p>
      <w:pPr>
        <w:pStyle w:val="Heading2"/>
        <w:spacing w:before="200" w:after="100"/>
      </w:pPr>
      <w:r>
        <w:rPr>
          <w:rFonts w:ascii="Liberation Sans" w:hAnsi="Liberation Sans"/>
          <w:b/>
          <w:color w:val="174A7E"/>
          <w:sz w:val="28"/>
        </w:rPr>
        <w:t>Repair Negotiation Options</w:t>
      </w:r>
    </w:p>
    <w:p>
      <w:pPr>
        <w:pStyle w:val="ListBullet"/>
        <w:spacing w:after="60"/>
        <w:ind w:left="360" w:hanging="259"/>
      </w:pPr>
      <w:r>
        <w:rPr>
          <w:rFonts w:ascii="Liberation Sans" w:hAnsi="Liberation Sans"/>
          <w:color w:val="1F2937"/>
          <w:sz w:val="20"/>
        </w:rPr>
        <w:t>Request specific repairs by qualified professionals.</w:t>
      </w:r>
    </w:p>
    <w:p>
      <w:pPr>
        <w:pStyle w:val="ListBullet"/>
        <w:spacing w:after="60"/>
        <w:ind w:left="360" w:hanging="259"/>
      </w:pPr>
      <w:r>
        <w:rPr>
          <w:rFonts w:ascii="Liberation Sans" w:hAnsi="Liberation Sans"/>
          <w:color w:val="1F2937"/>
          <w:sz w:val="20"/>
        </w:rPr>
        <w:t>Request a seller credit, if allowed by the loan program and supported by closing costs.</w:t>
      </w:r>
    </w:p>
    <w:p>
      <w:pPr>
        <w:pStyle w:val="ListBullet"/>
        <w:spacing w:after="60"/>
        <w:ind w:left="360" w:hanging="259"/>
      </w:pPr>
      <w:r>
        <w:rPr>
          <w:rFonts w:ascii="Liberation Sans" w:hAnsi="Liberation Sans"/>
          <w:color w:val="1F2937"/>
          <w:sz w:val="20"/>
        </w:rPr>
        <w:t>Renegotiate the purchase price.</w:t>
      </w:r>
    </w:p>
    <w:p>
      <w:pPr>
        <w:pStyle w:val="ListBullet"/>
        <w:spacing w:after="60"/>
        <w:ind w:left="360" w:hanging="259"/>
      </w:pPr>
      <w:r>
        <w:rPr>
          <w:rFonts w:ascii="Liberation Sans" w:hAnsi="Liberation Sans"/>
          <w:color w:val="1F2937"/>
          <w:sz w:val="20"/>
        </w:rPr>
        <w:t>Accept the property as-is and plan the work after closing.</w:t>
      </w:r>
    </w:p>
    <w:p>
      <w:pPr>
        <w:pStyle w:val="ListBullet"/>
        <w:spacing w:after="60"/>
        <w:ind w:left="360" w:hanging="259"/>
      </w:pPr>
      <w:r>
        <w:rPr>
          <w:rFonts w:ascii="Liberation Sans" w:hAnsi="Liberation Sans"/>
          <w:color w:val="1F2937"/>
          <w:sz w:val="20"/>
        </w:rPr>
        <w:t>Use eligible renovation financing when available and appropriate.</w:t>
      </w:r>
    </w:p>
    <w:p>
      <w:pPr>
        <w:pStyle w:val="ListBullet"/>
        <w:spacing w:after="60"/>
        <w:ind w:left="360" w:hanging="259"/>
      </w:pPr>
      <w:r>
        <w:rPr>
          <w:rFonts w:ascii="Liberation Sans" w:hAnsi="Liberation Sans"/>
          <w:color w:val="1F2937"/>
          <w:sz w:val="20"/>
        </w:rPr>
        <w:t>Terminate within the contractual right and deadline when the risk is unacceptable.</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Credits Do Not Create Cash for Repairs Automatically</w:t>
            </w:r>
          </w:p>
          <w:p>
            <w:pPr>
              <w:spacing w:after="0"/>
            </w:pPr>
            <w:r>
              <w:rPr>
                <w:rFonts w:ascii="Liberation Sans" w:hAnsi="Liberation Sans"/>
                <w:color w:val="1F2937"/>
                <w:sz w:val="20"/>
              </w:rPr>
              <w:t>A seller credit generally reduces allowable closing costs. It does not normally hand the buyer unrestricted cash after closing. If closing costs are too low to use the full credit, the unused portion may be lost unless the contract and loan structure are changed in time.</w:t>
            </w:r>
          </w:p>
        </w:tc>
      </w:tr>
    </w:tbl>
    <w:p>
      <w:pPr>
        <w:spacing w:after="20"/>
      </w:pPr>
    </w:p>
    <w:p>
      <w:pPr>
        <w:pStyle w:val="Heading2"/>
        <w:spacing w:before="200" w:after="100"/>
      </w:pPr>
      <w:r>
        <w:rPr>
          <w:rFonts w:ascii="Liberation Sans" w:hAnsi="Liberation Sans"/>
          <w:b/>
          <w:color w:val="174A7E"/>
          <w:sz w:val="28"/>
        </w:rPr>
        <w:t>Inspection Checklist</w:t>
      </w:r>
    </w:p>
    <w:p>
      <w:pPr>
        <w:pStyle w:val="Checklist"/>
        <w:spacing w:after="60"/>
        <w:ind w:left="360" w:hanging="259"/>
      </w:pPr>
      <w:r>
        <w:rPr>
          <w:rFonts w:ascii="Liberation Sans" w:hAnsi="Liberation Sans"/>
          <w:color w:val="1F2937"/>
          <w:sz w:val="20"/>
        </w:rPr>
        <w:t>☐ Home inspection scheduled immediately after contract acceptance.</w:t>
      </w:r>
    </w:p>
    <w:p>
      <w:pPr>
        <w:pStyle w:val="Checklist"/>
        <w:spacing w:after="60"/>
        <w:ind w:left="360" w:hanging="259"/>
      </w:pPr>
      <w:r>
        <w:rPr>
          <w:rFonts w:ascii="Liberation Sans" w:hAnsi="Liberation Sans"/>
          <w:color w:val="1F2937"/>
          <w:sz w:val="20"/>
        </w:rPr>
        <w:t>☐ Septic permit and inspection requested.</w:t>
      </w:r>
    </w:p>
    <w:p>
      <w:pPr>
        <w:pStyle w:val="Checklist"/>
        <w:spacing w:after="60"/>
        <w:ind w:left="360" w:hanging="259"/>
      </w:pPr>
      <w:r>
        <w:rPr>
          <w:rFonts w:ascii="Liberation Sans" w:hAnsi="Liberation Sans"/>
          <w:color w:val="1F2937"/>
          <w:sz w:val="20"/>
        </w:rPr>
        <w:t>☐ Well records, system inspection, and water testing requested.</w:t>
      </w:r>
    </w:p>
    <w:p>
      <w:pPr>
        <w:pStyle w:val="Checklist"/>
        <w:spacing w:after="60"/>
        <w:ind w:left="360" w:hanging="259"/>
      </w:pPr>
      <w:r>
        <w:rPr>
          <w:rFonts w:ascii="Liberation Sans" w:hAnsi="Liberation Sans"/>
          <w:color w:val="1F2937"/>
          <w:sz w:val="20"/>
        </w:rPr>
        <w:t>☐ Termite/WDI inspection scheduled.</w:t>
      </w:r>
    </w:p>
    <w:p>
      <w:pPr>
        <w:pStyle w:val="Checklist"/>
        <w:spacing w:after="60"/>
        <w:ind w:left="360" w:hanging="259"/>
      </w:pPr>
      <w:r>
        <w:rPr>
          <w:rFonts w:ascii="Liberation Sans" w:hAnsi="Liberation Sans"/>
          <w:color w:val="1F2937"/>
          <w:sz w:val="20"/>
        </w:rPr>
        <w:t>☐ Radon test considered or scheduled.</w:t>
      </w:r>
    </w:p>
    <w:p>
      <w:pPr>
        <w:pStyle w:val="Checklist"/>
        <w:spacing w:after="60"/>
        <w:ind w:left="360" w:hanging="259"/>
      </w:pPr>
      <w:r>
        <w:rPr>
          <w:rFonts w:ascii="Liberation Sans" w:hAnsi="Liberation Sans"/>
          <w:color w:val="1F2937"/>
          <w:sz w:val="20"/>
        </w:rPr>
        <w:t>☐ Survey quote and title questions discussed with attorney.</w:t>
      </w:r>
    </w:p>
    <w:p>
      <w:pPr>
        <w:pStyle w:val="Checklist"/>
        <w:spacing w:after="60"/>
        <w:ind w:left="360" w:hanging="259"/>
      </w:pPr>
      <w:r>
        <w:rPr>
          <w:rFonts w:ascii="Liberation Sans" w:hAnsi="Liberation Sans"/>
          <w:color w:val="1F2937"/>
          <w:sz w:val="20"/>
        </w:rPr>
        <w:t>☐ Insurance quote requested before the due diligence deadline.</w:t>
      </w:r>
    </w:p>
    <w:p>
      <w:pPr>
        <w:pStyle w:val="Checklist"/>
        <w:spacing w:after="60"/>
        <w:ind w:left="360" w:hanging="259"/>
      </w:pPr>
      <w:r>
        <w:rPr>
          <w:rFonts w:ascii="Liberation Sans" w:hAnsi="Liberation Sans"/>
          <w:color w:val="1F2937"/>
          <w:sz w:val="20"/>
        </w:rPr>
        <w:t>☐ Specialists scheduled for major findings.</w:t>
      </w:r>
    </w:p>
    <w:p>
      <w:pPr>
        <w:pStyle w:val="Checklist"/>
        <w:spacing w:after="60"/>
        <w:ind w:left="360" w:hanging="259"/>
      </w:pPr>
      <w:r>
        <w:rPr>
          <w:rFonts w:ascii="Liberation Sans" w:hAnsi="Liberation Sans"/>
          <w:color w:val="1F2937"/>
          <w:sz w:val="20"/>
        </w:rPr>
        <w:t>☐ Repair estimates received before negotiation deadline.</w:t>
      </w:r>
    </w:p>
    <w:p>
      <w:pPr>
        <w:pStyle w:val="Checklist"/>
        <w:spacing w:after="60"/>
        <w:ind w:left="360" w:hanging="259"/>
      </w:pPr>
      <w:r>
        <w:rPr>
          <w:rFonts w:ascii="Liberation Sans" w:hAnsi="Liberation Sans"/>
          <w:color w:val="1F2937"/>
          <w:sz w:val="20"/>
        </w:rPr>
        <w:t>☐ Decision made before the due diligence expiration time.</w:t>
      </w:r>
    </w:p>
    <w:p>
      <w:pPr>
        <w:pageBreakBefore/>
        <w:spacing w:before="120" w:after="40"/>
      </w:pPr>
      <w:r>
        <w:rPr>
          <w:rFonts w:ascii="Liberation Sans" w:hAnsi="Liberation Sans"/>
          <w:b/>
          <w:color w:val="D71920"/>
          <w:sz w:val="20"/>
        </w:rPr>
        <w:t>CHAPTER 8</w:t>
      </w:r>
    </w:p>
    <w:p>
      <w:pPr>
        <w:pStyle w:val="TitleChapter"/>
        <w:spacing w:after="80"/>
      </w:pPr>
      <w:r>
        <w:rPr>
          <w:rFonts w:ascii="Liberation Sans" w:hAnsi="Liberation Sans"/>
          <w:b/>
          <w:color w:val="123451"/>
          <w:sz w:val="46"/>
        </w:rPr>
        <w:t>Making an Offer</w:t>
      </w:r>
    </w:p>
    <w:p>
      <w:pPr>
        <w:spacing w:after="280"/>
      </w:pPr>
      <w:r>
        <w:rPr>
          <w:rFonts w:ascii="Liberation Sans" w:hAnsi="Liberation Sans"/>
          <w:i/>
          <w:color w:val="6B7280"/>
          <w:sz w:val="22"/>
        </w:rPr>
        <w:t>An offer is more than a price. It is a package of money, dates, risk, and promises.</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A strong offer fits your goals and finances while responding to the property and market. The highest price is not always the best offer, and the lowest price is not always the safest decision. Deposits, due diligence time, financing, concessions, settlement date, personal property, and other terms affect both parties.</w:t>
      </w:r>
    </w:p>
    <w:p>
      <w:pPr>
        <w:pStyle w:val="Heading2"/>
        <w:spacing w:before="200" w:after="100"/>
      </w:pPr>
      <w:r>
        <w:rPr>
          <w:rFonts w:ascii="Liberation Sans" w:hAnsi="Liberation Sans"/>
          <w:b/>
          <w:color w:val="174A7E"/>
          <w:sz w:val="28"/>
        </w:rPr>
        <w:t>Representation and Compensation</w:t>
      </w:r>
    </w:p>
    <w:p>
      <w:pPr>
        <w:pStyle w:val="BodyText"/>
        <w:keepLines w:val="0"/>
        <w:spacing w:after="120"/>
      </w:pPr>
      <w:r>
        <w:rPr>
          <w:rFonts w:ascii="Liberation Sans" w:hAnsi="Liberation Sans"/>
          <w:i w:val="0"/>
          <w:color w:val="1F2937"/>
          <w:sz w:val="21"/>
        </w:rPr>
        <w:t>Before writing an offer, understand who represents you and how the brokerage is compensated. A written buyer agreement may describe the broker’s duties, term, geographic area, services, and compensation. Compensation is negotiable and may be paid from one or more permitted sources depending on the agreement and transaction.</w:t>
      </w:r>
    </w:p>
    <w:tbl>
      <w:tblPr>
        <w:tblW w:type="auto" w:w="0"/>
        <w:jc w:val="center"/>
        <w:tblLayout w:type="fixed"/>
        <w:tblLook w:firstColumn="1" w:firstRow="1" w:lastColumn="0" w:lastRow="0" w:noHBand="0" w:noVBand="1" w:val="04A0"/>
      </w:tblPr>
      <w:tblGrid>
        <w:gridCol w:w="9360"/>
      </w:tblGrid>
      <w:tr>
        <w:trPr>
          <w:cantSplit/>
        </w:trPr>
        <w:tc>
          <w:tcPr>
            <w:tcW w:type="dxa" w:w="9878"/>
            <w:shd w:fill="FFF6DF"/>
            <w:tcMar>
              <w:top w:w="130" w:type="dxa"/>
              <w:start w:w="180" w:type="dxa"/>
              <w:bottom w:w="130" w:type="dxa"/>
              <w:end w:w="180" w:type="dxa"/>
            </w:tcMar>
            <w:tcBorders>
              <w:top w:val="nil"/>
              <w:left w:val="single" w:sz="18" w:color="A36A00"/>
              <w:bottom w:val="nil"/>
              <w:right w:val="nil"/>
            </w:tcBorders>
          </w:tcPr>
          <w:p>
            <w:pPr>
              <w:spacing w:after="60"/>
            </w:pPr>
            <w:r>
              <w:rPr>
                <w:rFonts w:ascii="Liberation Sans" w:hAnsi="Liberation Sans"/>
                <w:b/>
                <w:color w:val="A36A00"/>
                <w:sz w:val="21"/>
              </w:rPr>
              <w:t>Agency Is About Loyalty and Duties</w:t>
            </w:r>
          </w:p>
          <w:p>
            <w:pPr>
              <w:spacing w:after="0"/>
            </w:pPr>
            <w:r>
              <w:rPr>
                <w:rFonts w:ascii="Liberation Sans" w:hAnsi="Liberation Sans"/>
                <w:color w:val="1F2937"/>
                <w:sz w:val="20"/>
              </w:rPr>
              <w:t>A listing agent represents the seller unless a different lawful relationship has been established and disclosed. A buyer should understand the consequences of being represented, unrepresented, or working under another permitted arrangement before sharing confidential information.</w:t>
            </w:r>
          </w:p>
        </w:tc>
      </w:tr>
    </w:tbl>
    <w:p>
      <w:pPr>
        <w:spacing w:after="20"/>
      </w:pPr>
    </w:p>
    <w:p>
      <w:pPr>
        <w:pStyle w:val="Heading2"/>
        <w:spacing w:before="200" w:after="100"/>
      </w:pPr>
      <w:r>
        <w:rPr>
          <w:rFonts w:ascii="Liberation Sans" w:hAnsi="Liberation Sans"/>
          <w:b/>
          <w:color w:val="174A7E"/>
          <w:sz w:val="28"/>
        </w:rPr>
        <w:t>The Main Offer Terms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Term</w:t>
            </w:r>
          </w:p>
        </w:tc>
        <w:tc>
          <w:tcPr>
            <w:tcW w:type="dxa" w:w="4939"/>
            <w:shd w:fill="174A7E"/>
            <w:tcMar>
              <w:top w:w="100" w:type="dxa"/>
              <w:start w:w="120" w:type="dxa"/>
              <w:bottom w:w="100" w:type="dxa"/>
              <w:end w:w="120" w:type="dxa"/>
            </w:tcMar>
          </w:tcPr>
          <w:p>
            <w:r>
              <w:rPr>
                <w:rFonts w:ascii="Liberation Sans" w:hAnsi="Liberation Sans"/>
                <w:b/>
                <w:color w:val="FFFFFF"/>
                <w:sz w:val="19"/>
              </w:rPr>
              <w:t>Why it matters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Purchase price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The amount offered for the real property.</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Due diligence fee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A negotiated fee, if any, paid to the seller for the buyer’s contractual due diligence right.</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Earnest money deposit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A negotiated deposit, if any, usually held in escrow and governed by the contract.</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Due diligence deadline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The date and time by which the buyer must complete investigation and make critical decisions.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Settlement date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The anticipated date for signing and completing the closing process, subject to contract terms and recording.</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Financing</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Loan type, down payment, lender timing, appraisal, and any financing-related addenda or representations.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Seller concessions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Requested seller payment toward allowable buyer costs, subject to contract and loan limits.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Personal property</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Appliances, equipment, furniture, sheds, generators, propane tanks, or other items that may not automatically convey.</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Repairs or special terms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Agreed conditions, inspections, sale contingencies, possession, home warranty, or other negotiated items.</w:t>
            </w:r>
          </w:p>
        </w:tc>
      </w:tr>
    </w:tbl>
    <w:p>
      <w:pPr>
        <w:spacing w:after="40"/>
      </w:pPr>
    </w:p>
    <w:p>
      <w:pPr>
        <w:pStyle w:val="Heading2"/>
        <w:spacing w:before="200" w:after="100"/>
      </w:pPr>
      <w:r>
        <w:rPr>
          <w:rFonts w:ascii="Liberation Sans" w:hAnsi="Liberation Sans"/>
          <w:b/>
          <w:color w:val="174A7E"/>
          <w:sz w:val="28"/>
        </w:rPr>
        <w:t>Due Diligence Fee and Earnest Money</w:t>
      </w:r>
    </w:p>
    <w:p>
      <w:pPr>
        <w:pStyle w:val="BodyText"/>
        <w:keepLines w:val="0"/>
        <w:spacing w:after="120"/>
      </w:pPr>
      <w:r>
        <w:rPr>
          <w:rFonts w:ascii="Liberation Sans" w:hAnsi="Liberation Sans"/>
          <w:i w:val="0"/>
          <w:color w:val="1F2937"/>
          <w:sz w:val="21"/>
        </w:rPr>
        <w:t>North Carolina does not require a particular due diligence fee or earnest money deposit by law. Both are negotiated. Under the commonly used standard residential contract, the due diligence fee is generally paid to the seller, credited to the buyer at closing, and nonrefundable if the transaction ends, except in limited circumstances such as certain seller breaches. Earnest money is generally held in escrow and may be returned when the buyer properly terminates during the due diligence period, subject to the contract.</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Deposits Are Real Money at Risk</w:t>
            </w:r>
          </w:p>
          <w:p>
            <w:pPr>
              <w:spacing w:after="0"/>
            </w:pPr>
            <w:r>
              <w:rPr>
                <w:rFonts w:ascii="Liberation Sans" w:hAnsi="Liberation Sans"/>
                <w:color w:val="1F2937"/>
                <w:sz w:val="20"/>
              </w:rPr>
              <w:t>Never select a deposit amount simply because it sounds competitive. Understand when it is due, who receives it, whether it is refundable, and what happens if a deadline is missed.</w:t>
            </w:r>
          </w:p>
        </w:tc>
      </w:tr>
    </w:tbl>
    <w:p>
      <w:pPr>
        <w:spacing w:after="20"/>
      </w:pPr>
    </w:p>
    <w:p>
      <w:pPr>
        <w:pStyle w:val="Heading2"/>
        <w:spacing w:before="200" w:after="100"/>
      </w:pPr>
      <w:r>
        <w:rPr>
          <w:rFonts w:ascii="Liberation Sans" w:hAnsi="Liberation Sans"/>
          <w:b/>
          <w:color w:val="174A7E"/>
          <w:sz w:val="28"/>
        </w:rPr>
        <w:t>Seller Concessions</w:t>
      </w:r>
    </w:p>
    <w:p>
      <w:pPr>
        <w:pStyle w:val="BodyText"/>
        <w:keepLines w:val="0"/>
        <w:spacing w:after="120"/>
      </w:pPr>
      <w:r>
        <w:rPr>
          <w:rFonts w:ascii="Liberation Sans" w:hAnsi="Liberation Sans"/>
          <w:i w:val="0"/>
          <w:color w:val="1F2937"/>
          <w:sz w:val="21"/>
        </w:rPr>
        <w:t>A buyer may request that the seller pay part of allowable closing costs. The seller may accept, reject, or counter. The loan program limits which costs can be paid and how much. The property must still appraise appropriately, and a larger credit may not help if the buyer does not have enough eligible costs to use it.</w:t>
      </w:r>
    </w:p>
    <w:p>
      <w:pPr>
        <w:pStyle w:val="Heading2"/>
        <w:spacing w:before="200" w:after="100"/>
      </w:pPr>
      <w:r>
        <w:rPr>
          <w:rFonts w:ascii="Liberation Sans" w:hAnsi="Liberation Sans"/>
          <w:b/>
          <w:color w:val="174A7E"/>
          <w:sz w:val="28"/>
        </w:rPr>
        <w:t>Price Strategy</w:t>
      </w:r>
    </w:p>
    <w:p>
      <w:pPr>
        <w:pStyle w:val="ListBullet"/>
        <w:spacing w:after="60"/>
        <w:ind w:left="360" w:hanging="259"/>
      </w:pPr>
      <w:r>
        <w:rPr>
          <w:rFonts w:ascii="Liberation Sans" w:hAnsi="Liberation Sans"/>
          <w:color w:val="1F2937"/>
          <w:sz w:val="20"/>
        </w:rPr>
        <w:t>Review recent comparable sales and current competition.</w:t>
      </w:r>
    </w:p>
    <w:p>
      <w:pPr>
        <w:pStyle w:val="ListBullet"/>
        <w:spacing w:after="60"/>
        <w:ind w:left="360" w:hanging="259"/>
      </w:pPr>
      <w:r>
        <w:rPr>
          <w:rFonts w:ascii="Liberation Sans" w:hAnsi="Liberation Sans"/>
          <w:color w:val="1F2937"/>
          <w:sz w:val="20"/>
        </w:rPr>
        <w:t>Consider condition, updates, location, acreage, systems, and market time.</w:t>
      </w:r>
    </w:p>
    <w:p>
      <w:pPr>
        <w:pStyle w:val="ListBullet"/>
        <w:spacing w:after="60"/>
        <w:ind w:left="360" w:hanging="259"/>
      </w:pPr>
      <w:r>
        <w:rPr>
          <w:rFonts w:ascii="Liberation Sans" w:hAnsi="Liberation Sans"/>
          <w:color w:val="1F2937"/>
          <w:sz w:val="20"/>
        </w:rPr>
        <w:t>Estimate repairs and immediate ownership costs.</w:t>
      </w:r>
    </w:p>
    <w:p>
      <w:pPr>
        <w:pStyle w:val="ListBullet"/>
        <w:spacing w:after="60"/>
        <w:ind w:left="360" w:hanging="259"/>
      </w:pPr>
      <w:r>
        <w:rPr>
          <w:rFonts w:ascii="Liberation Sans" w:hAnsi="Liberation Sans"/>
          <w:color w:val="1F2937"/>
          <w:sz w:val="20"/>
        </w:rPr>
        <w:t>Know the maximum payment and cash-to-close before increasing price.</w:t>
      </w:r>
    </w:p>
    <w:p>
      <w:pPr>
        <w:pStyle w:val="ListBullet"/>
        <w:spacing w:after="60"/>
        <w:ind w:left="360" w:hanging="259"/>
      </w:pPr>
      <w:r>
        <w:rPr>
          <w:rFonts w:ascii="Liberation Sans" w:hAnsi="Liberation Sans"/>
          <w:color w:val="1F2937"/>
          <w:sz w:val="20"/>
        </w:rPr>
        <w:t>Decide whether an appraisal gap would be required and how it would be funded.</w:t>
      </w:r>
    </w:p>
    <w:p>
      <w:pPr>
        <w:pStyle w:val="ListBullet"/>
        <w:spacing w:after="60"/>
        <w:ind w:left="360" w:hanging="259"/>
      </w:pPr>
      <w:r>
        <w:rPr>
          <w:rFonts w:ascii="Liberation Sans" w:hAnsi="Liberation Sans"/>
          <w:color w:val="1F2937"/>
          <w:sz w:val="20"/>
        </w:rPr>
        <w:t>Avoid relying on future refinancing to make today’s payment affordable.</w:t>
      </w:r>
    </w:p>
    <w:p>
      <w:pPr>
        <w:pStyle w:val="ListBullet"/>
        <w:spacing w:after="60"/>
        <w:ind w:left="360" w:hanging="259"/>
      </w:pPr>
      <w:r>
        <w:rPr>
          <w:rFonts w:ascii="Liberation Sans" w:hAnsi="Liberation Sans"/>
          <w:color w:val="1F2937"/>
          <w:sz w:val="20"/>
        </w:rPr>
        <w:t>Keep enough due diligence time to complete financing and property investigation.</w:t>
      </w:r>
    </w:p>
    <w:p>
      <w:pPr>
        <w:pStyle w:val="Heading2"/>
        <w:spacing w:before="200" w:after="100"/>
      </w:pPr>
      <w:r>
        <w:rPr>
          <w:rFonts w:ascii="Liberation Sans" w:hAnsi="Liberation Sans"/>
          <w:b/>
          <w:color w:val="174A7E"/>
          <w:sz w:val="28"/>
        </w:rPr>
        <w:t>Offer Preparation Checklist</w:t>
      </w:r>
    </w:p>
    <w:p>
      <w:pPr>
        <w:pStyle w:val="Checklist"/>
        <w:spacing w:after="60"/>
        <w:ind w:left="360" w:hanging="259"/>
      </w:pPr>
      <w:r>
        <w:rPr>
          <w:rFonts w:ascii="Liberation Sans" w:hAnsi="Liberation Sans"/>
          <w:color w:val="1F2937"/>
          <w:sz w:val="20"/>
        </w:rPr>
        <w:t>☐ Current pre-approval or proof of funds is available.</w:t>
      </w:r>
    </w:p>
    <w:p>
      <w:pPr>
        <w:pStyle w:val="Checklist"/>
        <w:spacing w:after="60"/>
        <w:ind w:left="360" w:hanging="259"/>
      </w:pPr>
      <w:r>
        <w:rPr>
          <w:rFonts w:ascii="Liberation Sans" w:hAnsi="Liberation Sans"/>
          <w:color w:val="1F2937"/>
          <w:sz w:val="20"/>
        </w:rPr>
        <w:t>☐ Estimated payment and cash to close are acceptable.</w:t>
      </w:r>
    </w:p>
    <w:p>
      <w:pPr>
        <w:pStyle w:val="Checklist"/>
        <w:spacing w:after="60"/>
        <w:ind w:left="360" w:hanging="259"/>
      </w:pPr>
      <w:r>
        <w:rPr>
          <w:rFonts w:ascii="Liberation Sans" w:hAnsi="Liberation Sans"/>
          <w:color w:val="1F2937"/>
          <w:sz w:val="20"/>
        </w:rPr>
        <w:t>☐ Due diligence fee and earnest money are available immediately.</w:t>
      </w:r>
    </w:p>
    <w:p>
      <w:pPr>
        <w:pStyle w:val="Checklist"/>
        <w:spacing w:after="60"/>
        <w:ind w:left="360" w:hanging="259"/>
      </w:pPr>
      <w:r>
        <w:rPr>
          <w:rFonts w:ascii="Liberation Sans" w:hAnsi="Liberation Sans"/>
          <w:color w:val="1F2937"/>
          <w:sz w:val="20"/>
        </w:rPr>
        <w:t>☐ Inspection and appraisal schedules appear realistic.</w:t>
      </w:r>
    </w:p>
    <w:p>
      <w:pPr>
        <w:pStyle w:val="Checklist"/>
        <w:spacing w:after="60"/>
        <w:ind w:left="360" w:hanging="259"/>
      </w:pPr>
      <w:r>
        <w:rPr>
          <w:rFonts w:ascii="Liberation Sans" w:hAnsi="Liberation Sans"/>
          <w:color w:val="1F2937"/>
          <w:sz w:val="20"/>
        </w:rPr>
        <w:t>☐ Loan program fits the property type and condition.</w:t>
      </w:r>
    </w:p>
    <w:p>
      <w:pPr>
        <w:pStyle w:val="Checklist"/>
        <w:spacing w:after="60"/>
        <w:ind w:left="360" w:hanging="259"/>
      </w:pPr>
      <w:r>
        <w:rPr>
          <w:rFonts w:ascii="Liberation Sans" w:hAnsi="Liberation Sans"/>
          <w:color w:val="1F2937"/>
          <w:sz w:val="20"/>
        </w:rPr>
        <w:t>☐ Insurance availability has been considered.</w:t>
      </w:r>
    </w:p>
    <w:p>
      <w:pPr>
        <w:pStyle w:val="Checklist"/>
        <w:spacing w:after="60"/>
        <w:ind w:left="360" w:hanging="259"/>
      </w:pPr>
      <w:r>
        <w:rPr>
          <w:rFonts w:ascii="Liberation Sans" w:hAnsi="Liberation Sans"/>
          <w:color w:val="1F2937"/>
          <w:sz w:val="20"/>
        </w:rPr>
        <w:t>☐ Personal property is clearly identified.</w:t>
      </w:r>
    </w:p>
    <w:p>
      <w:pPr>
        <w:pStyle w:val="Checklist"/>
        <w:spacing w:after="60"/>
        <w:ind w:left="360" w:hanging="259"/>
      </w:pPr>
      <w:r>
        <w:rPr>
          <w:rFonts w:ascii="Liberation Sans" w:hAnsi="Liberation Sans"/>
          <w:color w:val="1F2937"/>
          <w:sz w:val="20"/>
        </w:rPr>
        <w:t>☐ Seller concessions are structured within likely loan limits.</w:t>
      </w:r>
    </w:p>
    <w:p>
      <w:pPr>
        <w:pStyle w:val="Checklist"/>
        <w:spacing w:after="60"/>
        <w:ind w:left="360" w:hanging="259"/>
      </w:pPr>
      <w:r>
        <w:rPr>
          <w:rFonts w:ascii="Liberation Sans" w:hAnsi="Liberation Sans"/>
          <w:color w:val="1F2937"/>
          <w:sz w:val="20"/>
        </w:rPr>
        <w:t>☐ All buyers understand the deadline and financial risk.</w:t>
      </w:r>
    </w:p>
    <w:p>
      <w:pPr>
        <w:pStyle w:val="Checklist"/>
        <w:spacing w:after="60"/>
        <w:ind w:left="360" w:hanging="259"/>
      </w:pPr>
      <w:r>
        <w:rPr>
          <w:rFonts w:ascii="Liberation Sans" w:hAnsi="Liberation Sans"/>
          <w:color w:val="1F2937"/>
          <w:sz w:val="20"/>
        </w:rPr>
        <w:t>☐ The offer reflects our comfort level, not only the fear of losing the house.</w:t>
      </w:r>
    </w:p>
    <w:p>
      <w:pPr>
        <w:pageBreakBefore/>
        <w:spacing w:before="120" w:after="40"/>
      </w:pPr>
      <w:r>
        <w:rPr>
          <w:rFonts w:ascii="Liberation Sans" w:hAnsi="Liberation Sans"/>
          <w:b/>
          <w:color w:val="D71920"/>
          <w:sz w:val="20"/>
        </w:rPr>
        <w:t>CHAPTER 9</w:t>
      </w:r>
    </w:p>
    <w:p>
      <w:pPr>
        <w:pStyle w:val="TitleChapter"/>
        <w:spacing w:after="80"/>
      </w:pPr>
      <w:r>
        <w:rPr>
          <w:rFonts w:ascii="Liberation Sans" w:hAnsi="Liberation Sans"/>
          <w:b/>
          <w:color w:val="123451"/>
          <w:sz w:val="46"/>
        </w:rPr>
        <w:t>The North Carolina Due Diligence Period</w:t>
      </w:r>
    </w:p>
    <w:p>
      <w:pPr>
        <w:spacing w:after="280"/>
      </w:pPr>
      <w:r>
        <w:rPr>
          <w:rFonts w:ascii="Liberation Sans" w:hAnsi="Liberation Sans"/>
          <w:i/>
          <w:color w:val="6B7280"/>
          <w:sz w:val="22"/>
        </w:rPr>
        <w:t>This is the buyer’s investigation and decision window. Use every day wisely.</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North Carolina’s due diligence process is a central part of the standard residential contract. The exact rights and obligations come from the signed contract, not from a general explanation. Read the contract carefully and ask a North Carolina attorney about legal questions.</w:t>
      </w:r>
    </w:p>
    <w:p>
      <w:pPr>
        <w:pStyle w:val="Heading2"/>
        <w:spacing w:before="200" w:after="100"/>
      </w:pPr>
      <w:r>
        <w:rPr>
          <w:rFonts w:ascii="Liberation Sans" w:hAnsi="Liberation Sans"/>
          <w:b/>
          <w:color w:val="174A7E"/>
          <w:sz w:val="28"/>
        </w:rPr>
        <w:t>What Due Diligence Means</w:t>
      </w:r>
    </w:p>
    <w:p>
      <w:pPr>
        <w:pStyle w:val="BodyText"/>
        <w:keepLines w:val="0"/>
        <w:spacing w:after="120"/>
      </w:pPr>
      <w:r>
        <w:rPr>
          <w:rFonts w:ascii="Liberation Sans" w:hAnsi="Liberation Sans"/>
          <w:i w:val="0"/>
          <w:color w:val="1F2937"/>
          <w:sz w:val="21"/>
        </w:rPr>
        <w:t>Due diligence is the buyer’s opportunity to investigate the property and transaction within the negotiated period. This may include inspections, repair estimates, appraisal, loan approval, insurance, title, survey, permits, restrictions, zoning, utilities, access, and any issue that affects the decision to proceed.</w:t>
      </w:r>
    </w:p>
    <w:p>
      <w:pPr>
        <w:pStyle w:val="Heading2"/>
        <w:spacing w:before="200" w:after="100"/>
      </w:pPr>
      <w:r>
        <w:rPr>
          <w:rFonts w:ascii="Liberation Sans" w:hAnsi="Liberation Sans"/>
          <w:b/>
          <w:color w:val="174A7E"/>
          <w:sz w:val="28"/>
        </w:rPr>
        <w:t>Can the Buyer Cancel?</w:t>
      </w:r>
    </w:p>
    <w:p>
      <w:pPr>
        <w:pStyle w:val="BodyText"/>
        <w:keepLines w:val="0"/>
        <w:spacing w:after="120"/>
      </w:pPr>
      <w:r>
        <w:rPr>
          <w:rFonts w:ascii="Liberation Sans" w:hAnsi="Liberation Sans"/>
          <w:i w:val="0"/>
          <w:color w:val="1F2937"/>
          <w:sz w:val="21"/>
        </w:rPr>
        <w:t>Under the commonly used standard North Carolina residential contract, a buyer generally has the right to terminate for any reason or no reason by delivering proper written notice before the due diligence period expires. The exact deadline, delivery requirements, and consequences are controlled by the signed contract. Missing the deadline can materially change the buyer’s rights and financial exposure.</w:t>
      </w:r>
    </w:p>
    <w:p>
      <w:pPr>
        <w:pStyle w:val="Heading2"/>
        <w:spacing w:before="200" w:after="100"/>
      </w:pPr>
      <w:r>
        <w:rPr>
          <w:rFonts w:ascii="Liberation Sans" w:hAnsi="Liberation Sans"/>
          <w:b/>
          <w:color w:val="174A7E"/>
          <w:sz w:val="28"/>
        </w:rPr>
        <w:t>What Happens to the Money?</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Money paid</w:t>
            </w:r>
          </w:p>
        </w:tc>
        <w:tc>
          <w:tcPr>
            <w:tcW w:type="dxa" w:w="4939"/>
            <w:shd w:fill="174A7E"/>
            <w:tcMar>
              <w:top w:w="100" w:type="dxa"/>
              <w:start w:w="120" w:type="dxa"/>
              <w:bottom w:w="100" w:type="dxa"/>
              <w:end w:w="120" w:type="dxa"/>
            </w:tcMar>
          </w:tcPr>
          <w:p>
            <w:r>
              <w:rPr>
                <w:rFonts w:ascii="Liberation Sans" w:hAnsi="Liberation Sans"/>
                <w:b/>
                <w:color w:val="FFFFFF"/>
                <w:sz w:val="19"/>
              </w:rPr>
              <w:t>General treatment under common practice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Due diligence fee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Generally credited at closing. If the buyer terminates, it is generally forfeited to the seller except in limited contractual circumstances.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Earnest money deposit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Generally credited at closing. It is commonly refundable after a proper termination during due diligence, but may be at risk after the deadline or in a buyer breach.</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Inspection costs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Paid to the service provider and generally not refundable.</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Appraisal and lender fees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Refundability depends on whether the service was performed and the lender’s policy.</w:t>
            </w:r>
          </w:p>
        </w:tc>
      </w:tr>
    </w:tbl>
    <w:p>
      <w:pPr>
        <w:spacing w:after="40"/>
      </w:pPr>
    </w:p>
    <w:p>
      <w:pPr>
        <w:pStyle w:val="Heading2"/>
        <w:spacing w:before="200" w:after="100"/>
      </w:pPr>
      <w:r>
        <w:rPr>
          <w:rFonts w:ascii="Liberation Sans" w:hAnsi="Liberation Sans"/>
          <w:b/>
          <w:color w:val="174A7E"/>
          <w:sz w:val="28"/>
        </w:rPr>
        <w:t>A Model Due Diligence Timeline</w:t>
      </w:r>
    </w:p>
    <w:tbl>
      <w:tblPr>
        <w:tblW w:type="auto" w:w="0"/>
        <w:jc w:val="center"/>
        <w:tblLayout w:type="fixed"/>
        <w:tblLook w:firstColumn="1" w:firstRow="1" w:lastColumn="0" w:lastRow="0" w:noHBand="0" w:noVBand="1" w:val="04A0"/>
      </w:tblPr>
      <w:tblGrid>
        <w:gridCol w:w="2232"/>
        <w:gridCol w:w="3240"/>
        <w:gridCol w:w="3888"/>
      </w:tblGrid>
      <w:tr>
        <w:trPr>
          <w:tblHeader w:val="true"/>
          <w:cantSplit/>
        </w:trPr>
        <w:tc>
          <w:tcPr>
            <w:tcW w:type="dxa" w:w="3293"/>
            <w:shd w:fill="174A7E"/>
            <w:tcMar>
              <w:top w:w="100" w:type="dxa"/>
              <w:start w:w="120" w:type="dxa"/>
              <w:bottom w:w="100" w:type="dxa"/>
              <w:end w:w="120" w:type="dxa"/>
            </w:tcMar>
          </w:tcPr>
          <w:p>
            <w:r>
              <w:rPr>
                <w:rFonts w:ascii="Liberation Sans" w:hAnsi="Liberation Sans"/>
                <w:b/>
                <w:color w:val="FFFFFF"/>
                <w:sz w:val="18"/>
              </w:rPr>
              <w:t>Time</w:t>
            </w:r>
          </w:p>
        </w:tc>
        <w:tc>
          <w:tcPr>
            <w:tcW w:type="dxa" w:w="3293"/>
            <w:shd w:fill="174A7E"/>
            <w:tcMar>
              <w:top w:w="100" w:type="dxa"/>
              <w:start w:w="120" w:type="dxa"/>
              <w:bottom w:w="100" w:type="dxa"/>
              <w:end w:w="120" w:type="dxa"/>
            </w:tcMar>
          </w:tcPr>
          <w:p>
            <w:r>
              <w:rPr>
                <w:rFonts w:ascii="Liberation Sans" w:hAnsi="Liberation Sans"/>
                <w:b/>
                <w:color w:val="FFFFFF"/>
                <w:sz w:val="18"/>
              </w:rPr>
              <w:t>Buyer action</w:t>
            </w:r>
          </w:p>
        </w:tc>
        <w:tc>
          <w:tcPr>
            <w:tcW w:type="dxa" w:w="3293"/>
            <w:shd w:fill="174A7E"/>
            <w:tcMar>
              <w:top w:w="100" w:type="dxa"/>
              <w:start w:w="120" w:type="dxa"/>
              <w:bottom w:w="100" w:type="dxa"/>
              <w:end w:w="120" w:type="dxa"/>
            </w:tcMar>
          </w:tcPr>
          <w:p>
            <w:r>
              <w:rPr>
                <w:rFonts w:ascii="Liberation Sans" w:hAnsi="Liberation Sans"/>
                <w:b/>
                <w:color w:val="FFFFFF"/>
                <w:sz w:val="18"/>
              </w:rPr>
              <w:t>Reason</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Day 0–1</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Deliver negotiated deposits; send contract to lender and attorney; schedule inspections.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Availability disappears quickly and deposits may be due immediately.</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Day 1–3</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Order home, septic, well, termite, radon, survey, and specialist services as needed.</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Early scheduling leaves time for follow-up evaluations.</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Day 2–7</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Apply formally for financing; submit documents; order appraisal; request insurance quotes.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Loan, appraisal, and insurance problems can require time to solve.</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Day 5–12</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Review reports; obtain estimates; investigate permits, access, restrictions, and utilities.</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Repair decisions should be based on evidence, not guesses.</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Before deadline</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Negotiate repairs or credits; confirm loan progress, appraisal, insurance, title, and remaining risk.</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The buyer must decide whether to proceed before contractual rights change.</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Deadline day</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Deliver any termination strictly before the stated time and in the required manner.</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A late notice may be ineffective.</w:t>
            </w:r>
          </w:p>
        </w:tc>
      </w:tr>
    </w:tbl>
    <w:p>
      <w:pPr>
        <w:spacing w:after="40"/>
      </w:pPr>
    </w:p>
    <w:p>
      <w:pPr>
        <w:pStyle w:val="Heading2"/>
        <w:spacing w:before="200" w:after="100"/>
      </w:pPr>
      <w:r>
        <w:rPr>
          <w:rFonts w:ascii="Liberation Sans" w:hAnsi="Liberation Sans"/>
          <w:b/>
          <w:color w:val="174A7E"/>
          <w:sz w:val="28"/>
        </w:rPr>
        <w:t>Repair Negotiations During Due Diligence</w:t>
      </w:r>
    </w:p>
    <w:p>
      <w:pPr>
        <w:pStyle w:val="BodyText"/>
        <w:keepLines w:val="0"/>
        <w:spacing w:after="120"/>
      </w:pPr>
      <w:r>
        <w:rPr>
          <w:rFonts w:ascii="Liberation Sans" w:hAnsi="Liberation Sans"/>
          <w:i w:val="0"/>
          <w:color w:val="1F2937"/>
          <w:sz w:val="21"/>
        </w:rPr>
        <w:t>The buyer may request repairs, credits, price changes, or other terms. The seller is generally not required to agree unless the contract already creates that obligation. A repair request does not extend the due diligence period. Continue evaluating the transaction while negotiations are pending.</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Silence Is Not an Agreement</w:t>
            </w:r>
          </w:p>
          <w:p>
            <w:pPr>
              <w:spacing w:after="0"/>
            </w:pPr>
            <w:r>
              <w:rPr>
                <w:rFonts w:ascii="Liberation Sans" w:hAnsi="Liberation Sans"/>
                <w:color w:val="1F2937"/>
                <w:sz w:val="20"/>
              </w:rPr>
              <w:t>A verbal promise, text conversation, estimate, or unsigned repair request may not modify the contract. Material changes should be placed in a properly executed written agreement.</w:t>
            </w:r>
          </w:p>
        </w:tc>
      </w:tr>
    </w:tbl>
    <w:p>
      <w:pPr>
        <w:spacing w:after="20"/>
      </w:pPr>
    </w:p>
    <w:p>
      <w:pPr>
        <w:pStyle w:val="Heading2"/>
        <w:spacing w:before="200" w:after="100"/>
      </w:pPr>
      <w:r>
        <w:rPr>
          <w:rFonts w:ascii="Liberation Sans" w:hAnsi="Liberation Sans"/>
          <w:b/>
          <w:color w:val="174A7E"/>
          <w:sz w:val="28"/>
        </w:rPr>
        <w:t>Financing and Appraisal Risk</w:t>
      </w:r>
    </w:p>
    <w:p>
      <w:pPr>
        <w:pStyle w:val="BodyText"/>
        <w:keepLines w:val="0"/>
        <w:spacing w:after="120"/>
      </w:pPr>
      <w:r>
        <w:rPr>
          <w:rFonts w:ascii="Liberation Sans" w:hAnsi="Liberation Sans"/>
          <w:i w:val="0"/>
          <w:color w:val="1F2937"/>
          <w:sz w:val="21"/>
        </w:rPr>
        <w:t>A pre-approval is not a financing contingency unless the contract creates one. Under common North Carolina practice, buyers should complete loan application, underwriting, appraisal, insurance, and property review within the due diligence period whenever possible. Do not assume a loan denial automatically returns the due diligence fee or earnest money after the deadline.</w:t>
      </w:r>
    </w:p>
    <w:p>
      <w:pPr>
        <w:pStyle w:val="Heading2"/>
        <w:spacing w:before="200" w:after="100"/>
      </w:pPr>
      <w:r>
        <w:rPr>
          <w:rFonts w:ascii="Liberation Sans" w:hAnsi="Liberation Sans"/>
          <w:b/>
          <w:color w:val="174A7E"/>
          <w:sz w:val="28"/>
        </w:rPr>
        <w:t>Due Diligence Decision Sheet</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Decision point</w:t>
            </w:r>
          </w:p>
        </w:tc>
        <w:tc>
          <w:tcPr>
            <w:tcW w:type="dxa" w:w="4939"/>
            <w:shd w:fill="174A7E"/>
            <w:tcMar>
              <w:top w:w="100" w:type="dxa"/>
              <w:start w:w="120" w:type="dxa"/>
              <w:bottom w:w="100" w:type="dxa"/>
              <w:end w:w="120" w:type="dxa"/>
            </w:tcMar>
          </w:tcPr>
          <w:p>
            <w:r>
              <w:rPr>
                <w:rFonts w:ascii="Liberation Sans" w:hAnsi="Liberation Sans"/>
                <w:b/>
                <w:color w:val="FFFFFF"/>
                <w:sz w:val="19"/>
              </w:rPr>
              <w:t>Status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Inspection concerns resolved?</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Yes / No / Accepted risk</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Septic and well acceptable?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Yes / No / Not applicable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Appraisal complete and acceptable?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Yes / No / Pending</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Loan approval status clear?</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Yes / No / Conditions remain</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Insurance available and affordable?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Yes / No / Pending</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Title, survey, access concerns?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Yes / No / Pending</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Repairs/credits signed in writing?</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Yes / No / Not requested</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Full payment and cash to close acceptable?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Yes / No</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Comfortable proceeding after deadline?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Yes / No / Need legal or professional advice</w:t>
            </w:r>
          </w:p>
        </w:tc>
      </w:tr>
    </w:tbl>
    <w:p>
      <w:pPr>
        <w:spacing w:after="40"/>
      </w:pPr>
    </w:p>
    <w:p>
      <w:pPr>
        <w:pageBreakBefore/>
        <w:spacing w:before="120" w:after="40"/>
      </w:pPr>
      <w:r>
        <w:rPr>
          <w:rFonts w:ascii="Liberation Sans" w:hAnsi="Liberation Sans"/>
          <w:b/>
          <w:color w:val="D71920"/>
          <w:sz w:val="20"/>
        </w:rPr>
        <w:t>CHAPTER 10</w:t>
      </w:r>
    </w:p>
    <w:p>
      <w:pPr>
        <w:pStyle w:val="TitleChapter"/>
        <w:spacing w:after="80"/>
      </w:pPr>
      <w:r>
        <w:rPr>
          <w:rFonts w:ascii="Liberation Sans" w:hAnsi="Liberation Sans"/>
          <w:b/>
          <w:color w:val="123451"/>
          <w:sz w:val="46"/>
        </w:rPr>
        <w:t>Understanding Closing Costs</w:t>
      </w:r>
    </w:p>
    <w:p>
      <w:pPr>
        <w:spacing w:after="280"/>
      </w:pPr>
      <w:r>
        <w:rPr>
          <w:rFonts w:ascii="Liberation Sans" w:hAnsi="Liberation Sans"/>
          <w:i/>
          <w:color w:val="6B7280"/>
          <w:sz w:val="22"/>
        </w:rPr>
        <w:t>Down payment and closing costs are different buckets of money.</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Closing costs are the charges and prepaid items required to obtain the mortgage and transfer ownership. The amount varies by loan, lender, attorney, property, insurance, taxes, timing, and negotiated seller concessions. Ask for estimates early and compare the Loan Estimate with the final Closing Disclosure.</w:t>
      </w:r>
    </w:p>
    <w:p>
      <w:pPr>
        <w:pStyle w:val="Heading2"/>
        <w:spacing w:before="200" w:after="100"/>
      </w:pPr>
      <w:r>
        <w:rPr>
          <w:rFonts w:ascii="Liberation Sans" w:hAnsi="Liberation Sans"/>
          <w:b/>
          <w:color w:val="174A7E"/>
          <w:sz w:val="28"/>
        </w:rPr>
        <w:t>Common Buyer Costs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Cost category</w:t>
            </w:r>
          </w:p>
        </w:tc>
        <w:tc>
          <w:tcPr>
            <w:tcW w:type="dxa" w:w="4939"/>
            <w:shd w:fill="174A7E"/>
            <w:tcMar>
              <w:top w:w="100" w:type="dxa"/>
              <w:start w:w="120" w:type="dxa"/>
              <w:bottom w:w="100" w:type="dxa"/>
              <w:end w:w="120" w:type="dxa"/>
            </w:tcMar>
          </w:tcPr>
          <w:p>
            <w:r>
              <w:rPr>
                <w:rFonts w:ascii="Liberation Sans" w:hAnsi="Liberation Sans"/>
                <w:b/>
                <w:color w:val="FFFFFF"/>
                <w:sz w:val="19"/>
              </w:rPr>
              <w:t>Examples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Lender charges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Origination, underwriting, processing, discount points, credit report, flood determination, tax service, or other disclosed fees.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Appraisal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The lender’s valuation of the property. Specialized properties may cost more.</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Attorney and title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Closing attorney, title search, recording, lender title insurance, owner’s title insurance, and related services.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Prepaid interest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Interest from closing through the beginning of the first full payment period.</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Escrow deposits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Initial deposits for property taxes, homeowners insurance, mortgage insurance, or other escrowed items.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Insurance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Homeowners, flood, wind, or other required coverage and possible first-year premium.</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Government and recording</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Recording fees, taxes, and other governmental charges.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HOA and property charges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Transfer fees, dues, assessments, road fees, community well charges, or prorations.</w:t>
            </w:r>
          </w:p>
        </w:tc>
      </w:tr>
    </w:tbl>
    <w:p>
      <w:pPr>
        <w:spacing w:after="40"/>
      </w:pPr>
    </w:p>
    <w:p>
      <w:pPr>
        <w:pStyle w:val="Heading2"/>
        <w:spacing w:before="200" w:after="100"/>
      </w:pPr>
      <w:r>
        <w:rPr>
          <w:rFonts w:ascii="Liberation Sans" w:hAnsi="Liberation Sans"/>
          <w:b/>
          <w:color w:val="174A7E"/>
          <w:sz w:val="28"/>
        </w:rPr>
        <w:t>Costs Often Paid Before Closing</w:t>
      </w:r>
    </w:p>
    <w:p>
      <w:pPr>
        <w:pStyle w:val="ListBullet"/>
        <w:spacing w:after="60"/>
        <w:ind w:left="360" w:hanging="259"/>
      </w:pPr>
      <w:r>
        <w:rPr>
          <w:rFonts w:ascii="Liberation Sans" w:hAnsi="Liberation Sans"/>
          <w:color w:val="1F2937"/>
          <w:sz w:val="20"/>
        </w:rPr>
        <w:t>Due diligence fee and earnest money deposit.</w:t>
      </w:r>
    </w:p>
    <w:p>
      <w:pPr>
        <w:pStyle w:val="ListBullet"/>
        <w:spacing w:after="60"/>
        <w:ind w:left="360" w:hanging="259"/>
      </w:pPr>
      <w:r>
        <w:rPr>
          <w:rFonts w:ascii="Liberation Sans" w:hAnsi="Liberation Sans"/>
          <w:color w:val="1F2937"/>
          <w:sz w:val="20"/>
        </w:rPr>
        <w:t>Home and specialized inspections.</w:t>
      </w:r>
    </w:p>
    <w:p>
      <w:pPr>
        <w:pStyle w:val="ListBullet"/>
        <w:spacing w:after="60"/>
        <w:ind w:left="360" w:hanging="259"/>
      </w:pPr>
      <w:r>
        <w:rPr>
          <w:rFonts w:ascii="Liberation Sans" w:hAnsi="Liberation Sans"/>
          <w:color w:val="1F2937"/>
          <w:sz w:val="20"/>
        </w:rPr>
        <w:t>Appraisal.</w:t>
      </w:r>
    </w:p>
    <w:p>
      <w:pPr>
        <w:pStyle w:val="ListBullet"/>
        <w:spacing w:after="60"/>
        <w:ind w:left="360" w:hanging="259"/>
      </w:pPr>
      <w:r>
        <w:rPr>
          <w:rFonts w:ascii="Liberation Sans" w:hAnsi="Liberation Sans"/>
          <w:color w:val="1F2937"/>
          <w:sz w:val="20"/>
        </w:rPr>
        <w:t>Survey or engineering services.</w:t>
      </w:r>
    </w:p>
    <w:p>
      <w:pPr>
        <w:pStyle w:val="ListBullet"/>
        <w:spacing w:after="60"/>
        <w:ind w:left="360" w:hanging="259"/>
      </w:pPr>
      <w:r>
        <w:rPr>
          <w:rFonts w:ascii="Liberation Sans" w:hAnsi="Liberation Sans"/>
          <w:color w:val="1F2937"/>
          <w:sz w:val="20"/>
        </w:rPr>
        <w:t>Certain insurance or association charges.</w:t>
      </w:r>
    </w:p>
    <w:p>
      <w:pPr>
        <w:pStyle w:val="ListBullet"/>
        <w:spacing w:after="60"/>
        <w:ind w:left="360" w:hanging="259"/>
      </w:pPr>
      <w:r>
        <w:rPr>
          <w:rFonts w:ascii="Liberation Sans" w:hAnsi="Liberation Sans"/>
          <w:color w:val="1F2937"/>
          <w:sz w:val="20"/>
        </w:rPr>
        <w:t>Repair estimates or reinspection fees.</w:t>
      </w:r>
    </w:p>
    <w:p>
      <w:pPr>
        <w:pStyle w:val="Heading2"/>
        <w:spacing w:before="200" w:after="100"/>
      </w:pPr>
      <w:r>
        <w:rPr>
          <w:rFonts w:ascii="Liberation Sans" w:hAnsi="Liberation Sans"/>
          <w:b/>
          <w:color w:val="174A7E"/>
          <w:sz w:val="28"/>
        </w:rPr>
        <w:t>Loan Estimate and Closing Disclosure</w:t>
      </w:r>
    </w:p>
    <w:p>
      <w:pPr>
        <w:pStyle w:val="BodyText"/>
        <w:keepLines w:val="0"/>
        <w:spacing w:after="120"/>
      </w:pPr>
      <w:r>
        <w:rPr>
          <w:rFonts w:ascii="Liberation Sans" w:hAnsi="Liberation Sans"/>
          <w:i w:val="0"/>
          <w:color w:val="1F2937"/>
          <w:sz w:val="21"/>
        </w:rPr>
        <w:t>The Loan Estimate summarizes estimated loan terms, payment, and closing costs early in the application process. The Closing Disclosure provides final or near-final loan terms and costs before consummation. For most covered mortgage transactions, the borrower must receive the Closing Disclosure at least three business days before signing, subject to federal rules and certain changes that can restart the waiting period.</w:t>
      </w:r>
    </w:p>
    <w:tbl>
      <w:tblPr>
        <w:tblW w:type="auto" w:w="0"/>
        <w:jc w:val="center"/>
        <w:tblLayout w:type="fixed"/>
        <w:tblLook w:firstColumn="1" w:firstRow="1" w:lastColumn="0" w:lastRow="0" w:noHBand="0" w:noVBand="1" w:val="04A0"/>
      </w:tblPr>
      <w:tblGrid>
        <w:gridCol w:w="9360"/>
      </w:tblGrid>
      <w:tr>
        <w:trPr>
          <w:cantSplit/>
        </w:trPr>
        <w:tc>
          <w:tcPr>
            <w:tcW w:type="dxa" w:w="9878"/>
            <w:shd w:fill="EAF2F8"/>
            <w:tcMar>
              <w:top w:w="130" w:type="dxa"/>
              <w:start w:w="180" w:type="dxa"/>
              <w:bottom w:w="130" w:type="dxa"/>
              <w:end w:w="180" w:type="dxa"/>
            </w:tcMar>
            <w:tcBorders>
              <w:top w:val="nil"/>
              <w:left w:val="single" w:sz="18" w:color="174A7E"/>
              <w:bottom w:val="nil"/>
              <w:right w:val="nil"/>
            </w:tcBorders>
          </w:tcPr>
          <w:p>
            <w:pPr>
              <w:spacing w:after="60"/>
            </w:pPr>
            <w:r>
              <w:rPr>
                <w:rFonts w:ascii="Liberation Sans" w:hAnsi="Liberation Sans"/>
                <w:b/>
                <w:color w:val="174A7E"/>
                <w:sz w:val="21"/>
              </w:rPr>
              <w:t>Compare the Documents</w:t>
            </w:r>
          </w:p>
          <w:p>
            <w:pPr>
              <w:spacing w:after="0"/>
            </w:pPr>
            <w:r>
              <w:rPr>
                <w:rFonts w:ascii="Liberation Sans" w:hAnsi="Liberation Sans"/>
                <w:color w:val="1F2937"/>
                <w:sz w:val="20"/>
              </w:rPr>
              <w:t>Do not look only at the cash-to-close line. Compare loan amount, interest rate, fixed or adjustable terms, payment, mortgage insurance, points, lender credits, seller credits, escrow, and services you could shop for.</w:t>
            </w:r>
          </w:p>
        </w:tc>
      </w:tr>
    </w:tbl>
    <w:p>
      <w:pPr>
        <w:spacing w:after="20"/>
      </w:pPr>
    </w:p>
    <w:p>
      <w:pPr>
        <w:pStyle w:val="Heading2"/>
        <w:spacing w:before="200" w:after="100"/>
      </w:pPr>
      <w:r>
        <w:rPr>
          <w:rFonts w:ascii="Liberation Sans" w:hAnsi="Liberation Sans"/>
          <w:b/>
          <w:color w:val="174A7E"/>
          <w:sz w:val="28"/>
        </w:rPr>
        <w:t>Seller Costs and Negotiated Contributions</w:t>
      </w:r>
    </w:p>
    <w:p>
      <w:pPr>
        <w:pStyle w:val="BodyText"/>
        <w:keepLines w:val="0"/>
        <w:spacing w:after="120"/>
      </w:pPr>
      <w:r>
        <w:rPr>
          <w:rFonts w:ascii="Liberation Sans" w:hAnsi="Liberation Sans"/>
          <w:i w:val="0"/>
          <w:color w:val="1F2937"/>
          <w:sz w:val="21"/>
        </w:rPr>
        <w:t>A seller may pay brokerage compensation, deed preparation, lien payoff, prorated taxes, negotiated repairs, and seller-side closing expenses. A seller may also agree to contribute toward allowable buyer costs. The exact allocation depends on the contract, loan program, law, and closing statement.</w:t>
      </w:r>
    </w:p>
    <w:p>
      <w:pPr>
        <w:pStyle w:val="Heading2"/>
        <w:spacing w:before="200" w:after="100"/>
      </w:pPr>
      <w:r>
        <w:rPr>
          <w:rFonts w:ascii="Liberation Sans" w:hAnsi="Liberation Sans"/>
          <w:b/>
          <w:color w:val="174A7E"/>
          <w:sz w:val="28"/>
        </w:rPr>
        <w:t>Cash-to-Close Reconciliation</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Calculation</w:t>
            </w:r>
          </w:p>
        </w:tc>
        <w:tc>
          <w:tcPr>
            <w:tcW w:type="dxa" w:w="4939"/>
            <w:shd w:fill="174A7E"/>
            <w:tcMar>
              <w:top w:w="100" w:type="dxa"/>
              <w:start w:w="120" w:type="dxa"/>
              <w:bottom w:w="100" w:type="dxa"/>
              <w:end w:w="120" w:type="dxa"/>
            </w:tcMar>
          </w:tcPr>
          <w:p>
            <w:r>
              <w:rPr>
                <w:rFonts w:ascii="Liberation Sans" w:hAnsi="Liberation Sans"/>
                <w:b/>
                <w:color w:val="FFFFFF"/>
                <w:sz w:val="19"/>
              </w:rPr>
              <w:t>Amount</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Down payment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Buyer closing costs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Prepaids and escrow</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Due diligence fee already paid</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 $____________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Earnest money already paid</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 $____________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Seller/lender credits</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 $____________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Other adjustments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 $____________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Estimated cash to close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Emergency reserves remaining</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$____________</w:t>
            </w:r>
          </w:p>
        </w:tc>
      </w:tr>
    </w:tbl>
    <w:p>
      <w:pPr>
        <w:spacing w:after="40"/>
      </w:pPr>
    </w:p>
    <w:p>
      <w:pPr>
        <w:pageBreakBefore/>
        <w:spacing w:before="120" w:after="40"/>
      </w:pPr>
      <w:r>
        <w:rPr>
          <w:rFonts w:ascii="Liberation Sans" w:hAnsi="Liberation Sans"/>
          <w:b/>
          <w:color w:val="D71920"/>
          <w:sz w:val="20"/>
        </w:rPr>
        <w:t>CHAPTER 11</w:t>
      </w:r>
    </w:p>
    <w:p>
      <w:pPr>
        <w:pStyle w:val="TitleChapter"/>
        <w:spacing w:after="80"/>
      </w:pPr>
      <w:r>
        <w:rPr>
          <w:rFonts w:ascii="Liberation Sans" w:hAnsi="Liberation Sans"/>
          <w:b/>
          <w:color w:val="123451"/>
          <w:sz w:val="46"/>
        </w:rPr>
        <w:t>Closing Day</w:t>
      </w:r>
    </w:p>
    <w:p>
      <w:pPr>
        <w:spacing w:after="280"/>
      </w:pPr>
      <w:r>
        <w:rPr>
          <w:rFonts w:ascii="Liberation Sans" w:hAnsi="Liberation Sans"/>
          <w:i/>
          <w:color w:val="6B7280"/>
          <w:sz w:val="22"/>
        </w:rPr>
        <w:t>Signing is a major step. Recording completes the transfer under common North Carolina practice.</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North Carolina residential closings are supervised by a licensed North Carolina attorney. The attorney coordinates title work, documents, funds, recording, and disbursement. The closing appointment is not the moment to discover that you do not understand the loan or the final numbers. Review documents and ask questions before arrival whenever possible.</w:t>
      </w:r>
    </w:p>
    <w:p>
      <w:pPr>
        <w:pStyle w:val="Heading2"/>
        <w:spacing w:before="200" w:after="100"/>
      </w:pPr>
      <w:r>
        <w:rPr>
          <w:rFonts w:ascii="Liberation Sans" w:hAnsi="Liberation Sans"/>
          <w:b/>
          <w:color w:val="174A7E"/>
          <w:sz w:val="28"/>
        </w:rPr>
        <w:t>Before Closing</w:t>
      </w:r>
    </w:p>
    <w:p>
      <w:pPr>
        <w:pStyle w:val="Checklist"/>
        <w:spacing w:after="60"/>
        <w:ind w:left="360" w:hanging="259"/>
      </w:pPr>
      <w:r>
        <w:rPr>
          <w:rFonts w:ascii="Liberation Sans" w:hAnsi="Liberation Sans"/>
          <w:color w:val="1F2937"/>
          <w:sz w:val="20"/>
        </w:rPr>
        <w:t>☐ Review the Closing Disclosure and compare it with the most recent Loan Estimate.</w:t>
      </w:r>
    </w:p>
    <w:p>
      <w:pPr>
        <w:pStyle w:val="Checklist"/>
        <w:spacing w:after="60"/>
        <w:ind w:left="360" w:hanging="259"/>
      </w:pPr>
      <w:r>
        <w:rPr>
          <w:rFonts w:ascii="Liberation Sans" w:hAnsi="Liberation Sans"/>
          <w:color w:val="1F2937"/>
          <w:sz w:val="20"/>
        </w:rPr>
        <w:t>☐ Confirm the final amount and approved method for bringing funds.</w:t>
      </w:r>
    </w:p>
    <w:p>
      <w:pPr>
        <w:pStyle w:val="Checklist"/>
        <w:spacing w:after="60"/>
        <w:ind w:left="360" w:hanging="259"/>
      </w:pPr>
      <w:r>
        <w:rPr>
          <w:rFonts w:ascii="Liberation Sans" w:hAnsi="Liberation Sans"/>
          <w:color w:val="1F2937"/>
          <w:sz w:val="20"/>
        </w:rPr>
        <w:t>☐ Verify wiring instructions directly with the closing attorney using a trusted phone number.</w:t>
      </w:r>
    </w:p>
    <w:p>
      <w:pPr>
        <w:pStyle w:val="Checklist"/>
        <w:spacing w:after="60"/>
        <w:ind w:left="360" w:hanging="259"/>
      </w:pPr>
      <w:r>
        <w:rPr>
          <w:rFonts w:ascii="Liberation Sans" w:hAnsi="Liberation Sans"/>
          <w:color w:val="1F2937"/>
          <w:sz w:val="20"/>
        </w:rPr>
        <w:t>☐ Confirm identification requirements and how your name will appear on documents.</w:t>
      </w:r>
    </w:p>
    <w:p>
      <w:pPr>
        <w:pStyle w:val="Checklist"/>
        <w:spacing w:after="60"/>
        <w:ind w:left="360" w:hanging="259"/>
      </w:pPr>
      <w:r>
        <w:rPr>
          <w:rFonts w:ascii="Liberation Sans" w:hAnsi="Liberation Sans"/>
          <w:color w:val="1F2937"/>
          <w:sz w:val="20"/>
        </w:rPr>
        <w:t>☐ Complete all lender conditions and respond to final employment or asset verifications.</w:t>
      </w:r>
    </w:p>
    <w:p>
      <w:pPr>
        <w:pStyle w:val="Checklist"/>
        <w:spacing w:after="60"/>
        <w:ind w:left="360" w:hanging="259"/>
      </w:pPr>
      <w:r>
        <w:rPr>
          <w:rFonts w:ascii="Liberation Sans" w:hAnsi="Liberation Sans"/>
          <w:color w:val="1F2937"/>
          <w:sz w:val="20"/>
        </w:rPr>
        <w:t>☐ Obtain active homeowners and other required insurance.</w:t>
      </w:r>
    </w:p>
    <w:p>
      <w:pPr>
        <w:pStyle w:val="Checklist"/>
        <w:spacing w:after="60"/>
        <w:ind w:left="360" w:hanging="259"/>
      </w:pPr>
      <w:r>
        <w:rPr>
          <w:rFonts w:ascii="Liberation Sans" w:hAnsi="Liberation Sans"/>
          <w:color w:val="1F2937"/>
          <w:sz w:val="20"/>
        </w:rPr>
        <w:t>☐ Schedule the final walkthrough as close to closing as practical.</w:t>
      </w:r>
    </w:p>
    <w:p>
      <w:pPr>
        <w:pStyle w:val="Checklist"/>
        <w:spacing w:after="60"/>
        <w:ind w:left="360" w:hanging="259"/>
      </w:pPr>
      <w:r>
        <w:rPr>
          <w:rFonts w:ascii="Liberation Sans" w:hAnsi="Liberation Sans"/>
          <w:color w:val="1F2937"/>
          <w:sz w:val="20"/>
        </w:rPr>
        <w:t>☐ Do not make a financial or employment change before recording.</w:t>
      </w:r>
    </w:p>
    <w:p>
      <w:pPr>
        <w:pStyle w:val="Heading2"/>
        <w:spacing w:before="200" w:after="100"/>
      </w:pPr>
      <w:r>
        <w:rPr>
          <w:rFonts w:ascii="Liberation Sans" w:hAnsi="Liberation Sans"/>
          <w:b/>
          <w:color w:val="174A7E"/>
          <w:sz w:val="28"/>
        </w:rPr>
        <w:t>Final Walkthrough</w:t>
      </w:r>
    </w:p>
    <w:p>
      <w:pPr>
        <w:pStyle w:val="BodyText"/>
        <w:keepLines w:val="0"/>
        <w:spacing w:after="120"/>
      </w:pPr>
      <w:r>
        <w:rPr>
          <w:rFonts w:ascii="Liberation Sans" w:hAnsi="Liberation Sans"/>
          <w:i w:val="0"/>
          <w:color w:val="1F2937"/>
          <w:sz w:val="21"/>
        </w:rPr>
        <w:t>The final walkthrough is not a new inspection. It is an opportunity to confirm that the property is in the expected condition, agreed repairs appear complete, included items remain, and no new damage or occupancy issue has occurred.</w:t>
      </w:r>
    </w:p>
    <w:p>
      <w:pPr>
        <w:pStyle w:val="ListBullet"/>
        <w:spacing w:after="60"/>
        <w:ind w:left="360" w:hanging="259"/>
      </w:pPr>
      <w:r>
        <w:rPr>
          <w:rFonts w:ascii="Liberation Sans" w:hAnsi="Liberation Sans"/>
          <w:color w:val="1F2937"/>
          <w:sz w:val="20"/>
        </w:rPr>
        <w:t>Utilities are on and major systems can be checked.</w:t>
      </w:r>
    </w:p>
    <w:p>
      <w:pPr>
        <w:pStyle w:val="ListBullet"/>
        <w:spacing w:after="60"/>
        <w:ind w:left="360" w:hanging="259"/>
      </w:pPr>
      <w:r>
        <w:rPr>
          <w:rFonts w:ascii="Liberation Sans" w:hAnsi="Liberation Sans"/>
          <w:color w:val="1F2937"/>
          <w:sz w:val="20"/>
        </w:rPr>
        <w:t>The home is substantially in the agreed condition.</w:t>
      </w:r>
    </w:p>
    <w:p>
      <w:pPr>
        <w:pStyle w:val="ListBullet"/>
        <w:spacing w:after="60"/>
        <w:ind w:left="360" w:hanging="259"/>
      </w:pPr>
      <w:r>
        <w:rPr>
          <w:rFonts w:ascii="Liberation Sans" w:hAnsi="Liberation Sans"/>
          <w:color w:val="1F2937"/>
          <w:sz w:val="20"/>
        </w:rPr>
        <w:t>Agreed repairs are complete and receipts or permits are available when required.</w:t>
      </w:r>
    </w:p>
    <w:p>
      <w:pPr>
        <w:pStyle w:val="ListBullet"/>
        <w:spacing w:after="60"/>
        <w:ind w:left="360" w:hanging="259"/>
      </w:pPr>
      <w:r>
        <w:rPr>
          <w:rFonts w:ascii="Liberation Sans" w:hAnsi="Liberation Sans"/>
          <w:color w:val="1F2937"/>
          <w:sz w:val="20"/>
        </w:rPr>
        <w:t>Appliances and personal property included in the contract remain.</w:t>
      </w:r>
    </w:p>
    <w:p>
      <w:pPr>
        <w:pStyle w:val="ListBullet"/>
        <w:spacing w:after="60"/>
        <w:ind w:left="360" w:hanging="259"/>
      </w:pPr>
      <w:r>
        <w:rPr>
          <w:rFonts w:ascii="Liberation Sans" w:hAnsi="Liberation Sans"/>
          <w:color w:val="1F2937"/>
          <w:sz w:val="20"/>
        </w:rPr>
        <w:t>Trash and unwanted items have been removed as agreed.</w:t>
      </w:r>
    </w:p>
    <w:p>
      <w:pPr>
        <w:pStyle w:val="ListBullet"/>
        <w:spacing w:after="60"/>
        <w:ind w:left="360" w:hanging="259"/>
      </w:pPr>
      <w:r>
        <w:rPr>
          <w:rFonts w:ascii="Liberation Sans" w:hAnsi="Liberation Sans"/>
          <w:color w:val="1F2937"/>
          <w:sz w:val="20"/>
        </w:rPr>
        <w:t>No new leak, damage, vandalism, or weather event is visible.</w:t>
      </w:r>
    </w:p>
    <w:p>
      <w:pPr>
        <w:pStyle w:val="ListBullet"/>
        <w:spacing w:after="60"/>
        <w:ind w:left="360" w:hanging="259"/>
      </w:pPr>
      <w:r>
        <w:rPr>
          <w:rFonts w:ascii="Liberation Sans" w:hAnsi="Liberation Sans"/>
          <w:color w:val="1F2937"/>
          <w:sz w:val="20"/>
        </w:rPr>
        <w:t>Keys, remotes, mailbox keys, codes, manuals, and access items are ready for delivery after closing.</w:t>
      </w:r>
    </w:p>
    <w:p>
      <w:pPr>
        <w:pStyle w:val="Heading2"/>
        <w:spacing w:before="200" w:after="100"/>
      </w:pPr>
      <w:r>
        <w:rPr>
          <w:rFonts w:ascii="Liberation Sans" w:hAnsi="Liberation Sans"/>
          <w:b/>
          <w:color w:val="174A7E"/>
          <w:sz w:val="28"/>
        </w:rPr>
        <w:t>Wire Fraud Warning</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STOP BEFORE YOU WIRE</w:t>
            </w:r>
          </w:p>
          <w:p>
            <w:pPr>
              <w:spacing w:after="0"/>
            </w:pPr>
            <w:r>
              <w:rPr>
                <w:rFonts w:ascii="Liberation Sans" w:hAnsi="Liberation Sans"/>
                <w:color w:val="1F2937"/>
                <w:sz w:val="20"/>
              </w:rPr>
              <w:t>Criminals impersonate attorneys, agents, lenders, title companies, buyers, and sellers. Never trust changed wiring instructions received only by email or text. Call the closing attorney using a previously verified number, read the instructions back, and confirm the account before sending funds. If instructions change, stop and verify again.</w:t>
            </w:r>
          </w:p>
        </w:tc>
      </w:tr>
    </w:tbl>
    <w:p>
      <w:pPr>
        <w:spacing w:after="20"/>
      </w:pPr>
    </w:p>
    <w:p>
      <w:pPr>
        <w:pStyle w:val="BodyText"/>
        <w:keepLines w:val="0"/>
        <w:spacing w:after="120"/>
      </w:pPr>
      <w:r>
        <w:rPr>
          <w:rFonts w:ascii="Liberation Sans" w:hAnsi="Liberation Sans"/>
          <w:i w:val="0"/>
          <w:color w:val="1F2937"/>
          <w:sz w:val="21"/>
        </w:rPr>
        <w:t>Do not accept wiring instructions forwarded by an unrelated party. Do not use a phone number contained only in the message that requests the wire. After sending, confirm receipt directly with the attorney’s office.</w:t>
      </w:r>
    </w:p>
    <w:p>
      <w:pPr>
        <w:pStyle w:val="Heading2"/>
        <w:spacing w:before="200" w:after="100"/>
      </w:pPr>
      <w:r>
        <w:rPr>
          <w:rFonts w:ascii="Liberation Sans" w:hAnsi="Liberation Sans"/>
          <w:b/>
          <w:color w:val="174A7E"/>
          <w:sz w:val="28"/>
        </w:rPr>
        <w:t>What You May Sign</w:t>
      </w:r>
    </w:p>
    <w:p>
      <w:pPr>
        <w:pStyle w:val="ListBullet"/>
        <w:spacing w:after="60"/>
        <w:ind w:left="360" w:hanging="259"/>
      </w:pPr>
      <w:r>
        <w:rPr>
          <w:rFonts w:ascii="Liberation Sans" w:hAnsi="Liberation Sans"/>
          <w:color w:val="1F2937"/>
          <w:sz w:val="20"/>
        </w:rPr>
        <w:t>Promissory note and deed of trust for financed purchases.</w:t>
      </w:r>
    </w:p>
    <w:p>
      <w:pPr>
        <w:pStyle w:val="ListBullet"/>
        <w:spacing w:after="60"/>
        <w:ind w:left="360" w:hanging="259"/>
      </w:pPr>
      <w:r>
        <w:rPr>
          <w:rFonts w:ascii="Liberation Sans" w:hAnsi="Liberation Sans"/>
          <w:color w:val="1F2937"/>
          <w:sz w:val="20"/>
        </w:rPr>
        <w:t>Closing Disclosure and settlement statements.</w:t>
      </w:r>
    </w:p>
    <w:p>
      <w:pPr>
        <w:pStyle w:val="ListBullet"/>
        <w:spacing w:after="60"/>
        <w:ind w:left="360" w:hanging="259"/>
      </w:pPr>
      <w:r>
        <w:rPr>
          <w:rFonts w:ascii="Liberation Sans" w:hAnsi="Liberation Sans"/>
          <w:color w:val="1F2937"/>
          <w:sz w:val="20"/>
        </w:rPr>
        <w:t>Affidavits, tax forms, occupancy certifications, and lender disclosures.</w:t>
      </w:r>
    </w:p>
    <w:p>
      <w:pPr>
        <w:pStyle w:val="ListBullet"/>
        <w:spacing w:after="60"/>
        <w:ind w:left="360" w:hanging="259"/>
      </w:pPr>
      <w:r>
        <w:rPr>
          <w:rFonts w:ascii="Liberation Sans" w:hAnsi="Liberation Sans"/>
          <w:color w:val="1F2937"/>
          <w:sz w:val="20"/>
        </w:rPr>
        <w:t>Title and attorney documents.</w:t>
      </w:r>
    </w:p>
    <w:p>
      <w:pPr>
        <w:pStyle w:val="ListBullet"/>
        <w:spacing w:after="60"/>
        <w:ind w:left="360" w:hanging="259"/>
      </w:pPr>
      <w:r>
        <w:rPr>
          <w:rFonts w:ascii="Liberation Sans" w:hAnsi="Liberation Sans"/>
          <w:color w:val="1F2937"/>
          <w:sz w:val="20"/>
        </w:rPr>
        <w:t>Escrow, insurance, servicing, and payment-related forms.</w:t>
      </w:r>
    </w:p>
    <w:p>
      <w:pPr>
        <w:pStyle w:val="ListBullet"/>
        <w:spacing w:after="60"/>
        <w:ind w:left="360" w:hanging="259"/>
      </w:pPr>
      <w:r>
        <w:rPr>
          <w:rFonts w:ascii="Liberation Sans" w:hAnsi="Liberation Sans"/>
          <w:color w:val="1F2937"/>
          <w:sz w:val="20"/>
        </w:rPr>
        <w:t>Deed-related or ownership documents as applicable.</w:t>
      </w:r>
    </w:p>
    <w:p>
      <w:pPr>
        <w:pStyle w:val="Heading2"/>
        <w:spacing w:before="200" w:after="100"/>
      </w:pPr>
      <w:r>
        <w:rPr>
          <w:rFonts w:ascii="Liberation Sans" w:hAnsi="Liberation Sans"/>
          <w:b/>
          <w:color w:val="174A7E"/>
          <w:sz w:val="28"/>
        </w:rPr>
        <w:t>Settlement, Recording, and Keys</w:t>
      </w:r>
    </w:p>
    <w:p>
      <w:pPr>
        <w:pStyle w:val="BodyText"/>
        <w:keepLines w:val="0"/>
        <w:spacing w:after="120"/>
      </w:pPr>
      <w:r>
        <w:rPr>
          <w:rFonts w:ascii="Liberation Sans" w:hAnsi="Liberation Sans"/>
          <w:i w:val="0"/>
          <w:color w:val="1F2937"/>
          <w:sz w:val="21"/>
        </w:rPr>
        <w:t>The parties may sign documents at settlement, but the transaction is commonly considered closed when the deed is recorded. Keys and possession should be released according to the contract and attorney’s confirmation, not merely because the buyer finished signing. Early possession or delayed possession creates legal and insurance risk and should be documented by an attorney-drafted agreement.</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Do Not Start Moving or Renovating Early</w:t>
            </w:r>
          </w:p>
          <w:p>
            <w:pPr>
              <w:spacing w:after="0"/>
            </w:pPr>
            <w:r>
              <w:rPr>
                <w:rFonts w:ascii="Liberation Sans" w:hAnsi="Liberation Sans"/>
                <w:color w:val="1F2937"/>
                <w:sz w:val="20"/>
              </w:rPr>
              <w:t>Until closing is complete and possession is authorized, the buyer does not have the right to move belongings in, change locks, begin repairs, demolish materials, or occupy the property unless a written agreement specifically permits it.</w:t>
            </w:r>
          </w:p>
        </w:tc>
      </w:tr>
    </w:tbl>
    <w:p>
      <w:pPr>
        <w:spacing w:after="20"/>
      </w:pPr>
    </w:p>
    <w:p>
      <w:pPr>
        <w:pStyle w:val="Heading2"/>
        <w:spacing w:before="200" w:after="100"/>
      </w:pPr>
      <w:r>
        <w:rPr>
          <w:rFonts w:ascii="Liberation Sans" w:hAnsi="Liberation Sans"/>
          <w:b/>
          <w:color w:val="174A7E"/>
          <w:sz w:val="28"/>
        </w:rPr>
        <w:t>Your Closing Folder</w:t>
      </w:r>
    </w:p>
    <w:p>
      <w:pPr>
        <w:pStyle w:val="Checklist"/>
        <w:spacing w:after="60"/>
        <w:ind w:left="360" w:hanging="259"/>
      </w:pPr>
      <w:r>
        <w:rPr>
          <w:rFonts w:ascii="Liberation Sans" w:hAnsi="Liberation Sans"/>
          <w:color w:val="1F2937"/>
          <w:sz w:val="20"/>
        </w:rPr>
        <w:t>☐ Signed Closing Disclosure and settlement statement.</w:t>
      </w:r>
    </w:p>
    <w:p>
      <w:pPr>
        <w:pStyle w:val="Checklist"/>
        <w:spacing w:after="60"/>
        <w:ind w:left="360" w:hanging="259"/>
      </w:pPr>
      <w:r>
        <w:rPr>
          <w:rFonts w:ascii="Liberation Sans" w:hAnsi="Liberation Sans"/>
          <w:color w:val="1F2937"/>
          <w:sz w:val="20"/>
        </w:rPr>
        <w:t>☐ Promissory note and deed of trust copies.</w:t>
      </w:r>
    </w:p>
    <w:p>
      <w:pPr>
        <w:pStyle w:val="Checklist"/>
        <w:spacing w:after="60"/>
        <w:ind w:left="360" w:hanging="259"/>
      </w:pPr>
      <w:r>
        <w:rPr>
          <w:rFonts w:ascii="Liberation Sans" w:hAnsi="Liberation Sans"/>
          <w:color w:val="1F2937"/>
          <w:sz w:val="20"/>
        </w:rPr>
        <w:t>☐ Recorded deed or instructions for obtaining it.</w:t>
      </w:r>
    </w:p>
    <w:p>
      <w:pPr>
        <w:pStyle w:val="Checklist"/>
        <w:spacing w:after="60"/>
        <w:ind w:left="360" w:hanging="259"/>
      </w:pPr>
      <w:r>
        <w:rPr>
          <w:rFonts w:ascii="Liberation Sans" w:hAnsi="Liberation Sans"/>
          <w:color w:val="1F2937"/>
          <w:sz w:val="20"/>
        </w:rPr>
        <w:t>☐ Owner’s title insurance policy when issued.</w:t>
      </w:r>
    </w:p>
    <w:p>
      <w:pPr>
        <w:pStyle w:val="Checklist"/>
        <w:spacing w:after="60"/>
        <w:ind w:left="360" w:hanging="259"/>
      </w:pPr>
      <w:r>
        <w:rPr>
          <w:rFonts w:ascii="Liberation Sans" w:hAnsi="Liberation Sans"/>
          <w:color w:val="1F2937"/>
          <w:sz w:val="20"/>
        </w:rPr>
        <w:t>☐ Survey, inspections, warranties, repair receipts, and permits.</w:t>
      </w:r>
    </w:p>
    <w:p>
      <w:pPr>
        <w:pStyle w:val="Checklist"/>
        <w:spacing w:after="60"/>
        <w:ind w:left="360" w:hanging="259"/>
      </w:pPr>
      <w:r>
        <w:rPr>
          <w:rFonts w:ascii="Liberation Sans" w:hAnsi="Liberation Sans"/>
          <w:color w:val="1F2937"/>
          <w:sz w:val="20"/>
        </w:rPr>
        <w:t>☐ Homeowners insurance policy and contact information.</w:t>
      </w:r>
    </w:p>
    <w:p>
      <w:pPr>
        <w:pStyle w:val="Checklist"/>
        <w:spacing w:after="60"/>
        <w:ind w:left="360" w:hanging="259"/>
      </w:pPr>
      <w:r>
        <w:rPr>
          <w:rFonts w:ascii="Liberation Sans" w:hAnsi="Liberation Sans"/>
          <w:color w:val="1F2937"/>
          <w:sz w:val="20"/>
        </w:rPr>
        <w:t>☐ Loan servicer information and first-payment instructions.</w:t>
      </w:r>
    </w:p>
    <w:p>
      <w:pPr>
        <w:pStyle w:val="Checklist"/>
        <w:spacing w:after="60"/>
        <w:ind w:left="360" w:hanging="259"/>
      </w:pPr>
      <w:r>
        <w:rPr>
          <w:rFonts w:ascii="Liberation Sans" w:hAnsi="Liberation Sans"/>
          <w:color w:val="1F2937"/>
          <w:sz w:val="20"/>
        </w:rPr>
        <w:t>☐ HOA, road, well, septic, utility, and security information.</w:t>
      </w:r>
    </w:p>
    <w:p>
      <w:pPr>
        <w:pageBreakBefore/>
        <w:spacing w:before="120" w:after="40"/>
      </w:pPr>
      <w:r>
        <w:rPr>
          <w:rFonts w:ascii="Liberation Sans" w:hAnsi="Liberation Sans"/>
          <w:b/>
          <w:color w:val="D71920"/>
          <w:sz w:val="20"/>
        </w:rPr>
        <w:t>CHAPTER 12</w:t>
      </w:r>
    </w:p>
    <w:p>
      <w:pPr>
        <w:pStyle w:val="TitleChapter"/>
        <w:spacing w:after="80"/>
      </w:pPr>
      <w:r>
        <w:rPr>
          <w:rFonts w:ascii="Liberation Sans" w:hAnsi="Liberation Sans"/>
          <w:b/>
          <w:color w:val="123451"/>
          <w:sz w:val="46"/>
        </w:rPr>
        <w:t>After You Move In</w:t>
      </w:r>
    </w:p>
    <w:p>
      <w:pPr>
        <w:spacing w:after="280"/>
      </w:pPr>
      <w:r>
        <w:rPr>
          <w:rFonts w:ascii="Liberation Sans" w:hAnsi="Liberation Sans"/>
          <w:i/>
          <w:color w:val="6B7280"/>
          <w:sz w:val="22"/>
        </w:rPr>
        <w:t>The first year sets the tone for protecting the home and your finances.</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Closing is the beginning of ownership, not the end of the process. Create systems for payments, maintenance, records, insurance, and emergency savings while the information is still fresh.</w:t>
      </w:r>
    </w:p>
    <w:p>
      <w:pPr>
        <w:pStyle w:val="Heading2"/>
        <w:spacing w:before="200" w:after="100"/>
      </w:pPr>
      <w:r>
        <w:rPr>
          <w:rFonts w:ascii="Liberation Sans" w:hAnsi="Liberation Sans"/>
          <w:b/>
          <w:color w:val="174A7E"/>
          <w:sz w:val="28"/>
        </w:rPr>
        <w:t>First 30 Days</w:t>
      </w:r>
    </w:p>
    <w:p>
      <w:pPr>
        <w:pStyle w:val="ListBullet"/>
        <w:spacing w:after="60"/>
        <w:ind w:left="360" w:hanging="259"/>
      </w:pPr>
      <w:r>
        <w:rPr>
          <w:rFonts w:ascii="Liberation Sans" w:hAnsi="Liberation Sans"/>
          <w:color w:val="1F2937"/>
          <w:sz w:val="20"/>
        </w:rPr>
        <w:t>Confirm the loan servicer and first payment due date. Watch for legitimate servicing-transfer notices.</w:t>
      </w:r>
    </w:p>
    <w:p>
      <w:pPr>
        <w:pStyle w:val="ListBullet"/>
        <w:spacing w:after="60"/>
        <w:ind w:left="360" w:hanging="259"/>
      </w:pPr>
      <w:r>
        <w:rPr>
          <w:rFonts w:ascii="Liberation Sans" w:hAnsi="Liberation Sans"/>
          <w:color w:val="1F2937"/>
          <w:sz w:val="20"/>
        </w:rPr>
        <w:t>Change locks, codes, garage remotes, and security settings.</w:t>
      </w:r>
    </w:p>
    <w:p>
      <w:pPr>
        <w:pStyle w:val="ListBullet"/>
        <w:spacing w:after="60"/>
        <w:ind w:left="360" w:hanging="259"/>
      </w:pPr>
      <w:r>
        <w:rPr>
          <w:rFonts w:ascii="Liberation Sans" w:hAnsi="Liberation Sans"/>
          <w:color w:val="1F2937"/>
          <w:sz w:val="20"/>
        </w:rPr>
        <w:t>Transfer utilities and confirm billing accounts.</w:t>
      </w:r>
    </w:p>
    <w:p>
      <w:pPr>
        <w:pStyle w:val="ListBullet"/>
        <w:spacing w:after="60"/>
        <w:ind w:left="360" w:hanging="259"/>
      </w:pPr>
      <w:r>
        <w:rPr>
          <w:rFonts w:ascii="Liberation Sans" w:hAnsi="Liberation Sans"/>
          <w:color w:val="1F2937"/>
          <w:sz w:val="20"/>
        </w:rPr>
        <w:t>Locate the main water shutoff, electrical panel, septic components, well equipment, HVAC filters, and fire extinguishers.</w:t>
      </w:r>
    </w:p>
    <w:p>
      <w:pPr>
        <w:pStyle w:val="ListBullet"/>
        <w:spacing w:after="60"/>
        <w:ind w:left="360" w:hanging="259"/>
      </w:pPr>
      <w:r>
        <w:rPr>
          <w:rFonts w:ascii="Liberation Sans" w:hAnsi="Liberation Sans"/>
          <w:color w:val="1F2937"/>
          <w:sz w:val="20"/>
        </w:rPr>
        <w:t>Test smoke and carbon monoxide alarms and replace batteries as needed.</w:t>
      </w:r>
    </w:p>
    <w:p>
      <w:pPr>
        <w:pStyle w:val="ListBullet"/>
        <w:spacing w:after="60"/>
        <w:ind w:left="360" w:hanging="259"/>
      </w:pPr>
      <w:r>
        <w:rPr>
          <w:rFonts w:ascii="Liberation Sans" w:hAnsi="Liberation Sans"/>
          <w:color w:val="1F2937"/>
          <w:sz w:val="20"/>
        </w:rPr>
        <w:t>Create a digital and paper home file.</w:t>
      </w:r>
    </w:p>
    <w:p>
      <w:pPr>
        <w:pStyle w:val="ListBullet"/>
        <w:spacing w:after="60"/>
        <w:ind w:left="360" w:hanging="259"/>
      </w:pPr>
      <w:r>
        <w:rPr>
          <w:rFonts w:ascii="Liberation Sans" w:hAnsi="Liberation Sans"/>
          <w:color w:val="1F2937"/>
          <w:sz w:val="20"/>
        </w:rPr>
        <w:t>Update mailing address, insurance, driver records, voter registration, and emergency contacts as appropriate.</w:t>
      </w:r>
    </w:p>
    <w:p>
      <w:pPr>
        <w:pStyle w:val="ListBullet"/>
        <w:spacing w:after="60"/>
        <w:ind w:left="360" w:hanging="259"/>
      </w:pPr>
      <w:r>
        <w:rPr>
          <w:rFonts w:ascii="Liberation Sans" w:hAnsi="Liberation Sans"/>
          <w:color w:val="1F2937"/>
          <w:sz w:val="20"/>
        </w:rPr>
        <w:t>Schedule urgent repairs identified during inspections.</w:t>
      </w:r>
    </w:p>
    <w:p>
      <w:pPr>
        <w:pStyle w:val="Heading2"/>
        <w:spacing w:before="200" w:after="100"/>
      </w:pPr>
      <w:r>
        <w:rPr>
          <w:rFonts w:ascii="Liberation Sans" w:hAnsi="Liberation Sans"/>
          <w:b/>
          <w:color w:val="174A7E"/>
          <w:sz w:val="28"/>
        </w:rPr>
        <w:t>North Carolina Property Tax Relief</w:t>
      </w:r>
    </w:p>
    <w:p>
      <w:pPr>
        <w:pStyle w:val="BodyText"/>
        <w:keepLines w:val="0"/>
        <w:spacing w:after="120"/>
      </w:pPr>
      <w:r>
        <w:rPr>
          <w:rFonts w:ascii="Liberation Sans" w:hAnsi="Liberation Sans"/>
          <w:i w:val="0"/>
          <w:color w:val="1F2937"/>
          <w:sz w:val="21"/>
        </w:rPr>
        <w:t>North Carolina does not provide one automatic general homestead exemption for every owner-occupied home. It offers specific property tax relief programs, including an elderly or disabled exclusion, a disabled veteran exclusion, and a circuit breaker tax deferment for eligible owners. Qualification, income limits, ownership and occupancy requirements, filing forms, and annual deadlines apply. Contact the county tax assessor and review current North Carolina Department of Revenue forms.</w:t>
      </w:r>
    </w:p>
    <w:p>
      <w:pPr>
        <w:pStyle w:val="Heading2"/>
        <w:spacing w:before="200" w:after="100"/>
      </w:pPr>
      <w:r>
        <w:rPr>
          <w:rFonts w:ascii="Liberation Sans" w:hAnsi="Liberation Sans"/>
          <w:b/>
          <w:color w:val="174A7E"/>
          <w:sz w:val="28"/>
        </w:rPr>
        <w:t>Build a Repair Reserve</w:t>
      </w:r>
    </w:p>
    <w:p>
      <w:pPr>
        <w:pStyle w:val="BodyText"/>
        <w:keepLines w:val="0"/>
        <w:spacing w:after="120"/>
      </w:pPr>
      <w:r>
        <w:rPr>
          <w:rFonts w:ascii="Liberation Sans" w:hAnsi="Liberation Sans"/>
          <w:i w:val="0"/>
          <w:color w:val="1F2937"/>
          <w:sz w:val="21"/>
        </w:rPr>
        <w:t>No percentage works for every property. A newer townhome and an older rural home with acreage, well, septic, outbuildings, and a long driveway have different risk. Start a separate home reserve and increase it as you learn the property’s systems and expected replacement dates.</w:t>
      </w:r>
    </w:p>
    <w:p>
      <w:pPr>
        <w:pStyle w:val="ListBullet"/>
        <w:spacing w:after="60"/>
        <w:ind w:left="360" w:hanging="259"/>
      </w:pPr>
      <w:r>
        <w:rPr>
          <w:rFonts w:ascii="Liberation Sans" w:hAnsi="Liberation Sans"/>
          <w:color w:val="1F2937"/>
          <w:sz w:val="20"/>
        </w:rPr>
        <w:t>Immediate safety and water-intrusion repairs.</w:t>
      </w:r>
    </w:p>
    <w:p>
      <w:pPr>
        <w:pStyle w:val="ListBullet"/>
        <w:spacing w:after="60"/>
        <w:ind w:left="360" w:hanging="259"/>
      </w:pPr>
      <w:r>
        <w:rPr>
          <w:rFonts w:ascii="Liberation Sans" w:hAnsi="Liberation Sans"/>
          <w:color w:val="1F2937"/>
          <w:sz w:val="20"/>
        </w:rPr>
        <w:t>Annual service and preventive maintenance.</w:t>
      </w:r>
    </w:p>
    <w:p>
      <w:pPr>
        <w:pStyle w:val="ListBullet"/>
        <w:spacing w:after="60"/>
        <w:ind w:left="360" w:hanging="259"/>
      </w:pPr>
      <w:r>
        <w:rPr>
          <w:rFonts w:ascii="Liberation Sans" w:hAnsi="Liberation Sans"/>
          <w:color w:val="1F2937"/>
          <w:sz w:val="20"/>
        </w:rPr>
        <w:t>Short-term replacements expected within one to three years.</w:t>
      </w:r>
    </w:p>
    <w:p>
      <w:pPr>
        <w:pStyle w:val="ListBullet"/>
        <w:spacing w:after="60"/>
        <w:ind w:left="360" w:hanging="259"/>
      </w:pPr>
      <w:r>
        <w:rPr>
          <w:rFonts w:ascii="Liberation Sans" w:hAnsi="Liberation Sans"/>
          <w:color w:val="1F2937"/>
          <w:sz w:val="20"/>
        </w:rPr>
        <w:t>Long-term capital items such as roof, HVAC, septic, well pump, driveway, and appliances.</w:t>
      </w:r>
    </w:p>
    <w:p>
      <w:pPr>
        <w:pStyle w:val="ListBullet"/>
        <w:spacing w:after="60"/>
        <w:ind w:left="360" w:hanging="259"/>
      </w:pPr>
      <w:r>
        <w:rPr>
          <w:rFonts w:ascii="Liberation Sans" w:hAnsi="Liberation Sans"/>
          <w:color w:val="1F2937"/>
          <w:sz w:val="20"/>
        </w:rPr>
        <w:t>Insurance deductibles and storm-related expenses.</w:t>
      </w:r>
    </w:p>
    <w:p>
      <w:pPr>
        <w:pStyle w:val="Heading2"/>
        <w:spacing w:before="200" w:after="100"/>
      </w:pPr>
      <w:r>
        <w:rPr>
          <w:rFonts w:ascii="Liberation Sans" w:hAnsi="Liberation Sans"/>
          <w:b/>
          <w:color w:val="174A7E"/>
          <w:sz w:val="28"/>
        </w:rPr>
        <w:t>Building Equity</w:t>
      </w:r>
    </w:p>
    <w:p>
      <w:pPr>
        <w:pStyle w:val="BodyText"/>
        <w:keepLines w:val="0"/>
        <w:spacing w:after="120"/>
      </w:pPr>
      <w:r>
        <w:rPr>
          <w:rFonts w:ascii="Liberation Sans" w:hAnsi="Liberation Sans"/>
          <w:i w:val="0"/>
          <w:color w:val="1F2937"/>
          <w:sz w:val="21"/>
        </w:rPr>
        <w:t>Equity is the difference between the home’s value and the debt secured by it. Equity may grow through principal repayment, market appreciation, and improvements that add value. It can also decline if the market changes, the home deteriorates, or additional debt is placed against the property.</w:t>
      </w:r>
    </w:p>
    <w:tbl>
      <w:tblPr>
        <w:tblW w:type="auto" w:w="0"/>
        <w:jc w:val="center"/>
        <w:tblLayout w:type="fixed"/>
        <w:tblLook w:firstColumn="1" w:firstRow="1" w:lastColumn="0" w:lastRow="0" w:noHBand="0" w:noVBand="1" w:val="04A0"/>
      </w:tblPr>
      <w:tblGrid>
        <w:gridCol w:w="9360"/>
      </w:tblGrid>
      <w:tr>
        <w:trPr>
          <w:cantSplit/>
        </w:trPr>
        <w:tc>
          <w:tcPr>
            <w:tcW w:type="dxa" w:w="9878"/>
            <w:shd w:fill="FFF6DF"/>
            <w:tcMar>
              <w:top w:w="130" w:type="dxa"/>
              <w:start w:w="180" w:type="dxa"/>
              <w:bottom w:w="130" w:type="dxa"/>
              <w:end w:w="180" w:type="dxa"/>
            </w:tcMar>
            <w:tcBorders>
              <w:top w:val="nil"/>
              <w:left w:val="single" w:sz="18" w:color="A36A00"/>
              <w:bottom w:val="nil"/>
              <w:right w:val="nil"/>
            </w:tcBorders>
          </w:tcPr>
          <w:p>
            <w:pPr>
              <w:spacing w:after="60"/>
            </w:pPr>
            <w:r>
              <w:rPr>
                <w:rFonts w:ascii="Liberation Sans" w:hAnsi="Liberation Sans"/>
                <w:b/>
                <w:color w:val="A36A00"/>
                <w:sz w:val="21"/>
              </w:rPr>
              <w:t>Not Every Improvement Returns Its Cost</w:t>
            </w:r>
          </w:p>
          <w:p>
            <w:pPr>
              <w:spacing w:after="0"/>
            </w:pPr>
            <w:r>
              <w:rPr>
                <w:rFonts w:ascii="Liberation Sans" w:hAnsi="Liberation Sans"/>
                <w:color w:val="1F2937"/>
                <w:sz w:val="20"/>
              </w:rPr>
              <w:t>Make improvements first for safety, function, durability, and your enjoyment. Before a major project, consider permits, contractor qualifications, financing, neighborhood values, and resale impact.</w:t>
            </w:r>
          </w:p>
        </w:tc>
      </w:tr>
    </w:tbl>
    <w:p>
      <w:pPr>
        <w:spacing w:after="20"/>
      </w:pPr>
    </w:p>
    <w:p>
      <w:pPr>
        <w:pStyle w:val="Heading2"/>
        <w:spacing w:before="200" w:after="100"/>
      </w:pPr>
      <w:r>
        <w:rPr>
          <w:rFonts w:ascii="Liberation Sans" w:hAnsi="Liberation Sans"/>
          <w:b/>
          <w:color w:val="174A7E"/>
          <w:sz w:val="28"/>
        </w:rPr>
        <w:t>Avoid New-Homeowner Scams</w:t>
      </w:r>
    </w:p>
    <w:p>
      <w:pPr>
        <w:pStyle w:val="ListBullet"/>
        <w:spacing w:after="60"/>
        <w:ind w:left="360" w:hanging="259"/>
      </w:pPr>
      <w:r>
        <w:rPr>
          <w:rFonts w:ascii="Liberation Sans" w:hAnsi="Liberation Sans"/>
          <w:color w:val="1F2937"/>
          <w:sz w:val="20"/>
        </w:rPr>
        <w:t>Official-looking deed copy solicitations charging excessive fees.</w:t>
      </w:r>
    </w:p>
    <w:p>
      <w:pPr>
        <w:pStyle w:val="ListBullet"/>
        <w:spacing w:after="60"/>
        <w:ind w:left="360" w:hanging="259"/>
      </w:pPr>
      <w:r>
        <w:rPr>
          <w:rFonts w:ascii="Liberation Sans" w:hAnsi="Liberation Sans"/>
          <w:color w:val="1F2937"/>
          <w:sz w:val="20"/>
        </w:rPr>
        <w:t>Mortgage relief or refinancing offers demanding upfront payment.</w:t>
      </w:r>
    </w:p>
    <w:p>
      <w:pPr>
        <w:pStyle w:val="ListBullet"/>
        <w:spacing w:after="60"/>
        <w:ind w:left="360" w:hanging="259"/>
      </w:pPr>
      <w:r>
        <w:rPr>
          <w:rFonts w:ascii="Liberation Sans" w:hAnsi="Liberation Sans"/>
          <w:color w:val="1F2937"/>
          <w:sz w:val="20"/>
        </w:rPr>
        <w:t>Contractors pressuring immediate deposits after storms.</w:t>
      </w:r>
    </w:p>
    <w:p>
      <w:pPr>
        <w:pStyle w:val="ListBullet"/>
        <w:spacing w:after="60"/>
        <w:ind w:left="360" w:hanging="259"/>
      </w:pPr>
      <w:r>
        <w:rPr>
          <w:rFonts w:ascii="Liberation Sans" w:hAnsi="Liberation Sans"/>
          <w:color w:val="1F2937"/>
          <w:sz w:val="20"/>
        </w:rPr>
        <w:t>Home warranty notices designed to appear connected to the lender.</w:t>
      </w:r>
    </w:p>
    <w:p>
      <w:pPr>
        <w:pStyle w:val="ListBullet"/>
        <w:spacing w:after="60"/>
        <w:ind w:left="360" w:hanging="259"/>
      </w:pPr>
      <w:r>
        <w:rPr>
          <w:rFonts w:ascii="Liberation Sans" w:hAnsi="Liberation Sans"/>
          <w:color w:val="1F2937"/>
          <w:sz w:val="20"/>
        </w:rPr>
        <w:t>Tax, insurance, or loan-servicing messages with unfamiliar payment instructions.</w:t>
      </w:r>
    </w:p>
    <w:p>
      <w:pPr>
        <w:pStyle w:val="ListBullet"/>
        <w:spacing w:after="60"/>
        <w:ind w:left="360" w:hanging="259"/>
      </w:pPr>
      <w:r>
        <w:rPr>
          <w:rFonts w:ascii="Liberation Sans" w:hAnsi="Liberation Sans"/>
          <w:color w:val="1F2937"/>
          <w:sz w:val="20"/>
        </w:rPr>
        <w:t>Requests to confirm personal information through an unsolicited link.</w:t>
      </w:r>
    </w:p>
    <w:p>
      <w:pPr>
        <w:pStyle w:val="Heading2"/>
        <w:spacing w:before="200" w:after="100"/>
      </w:pPr>
      <w:r>
        <w:rPr>
          <w:rFonts w:ascii="Liberation Sans" w:hAnsi="Liberation Sans"/>
          <w:b/>
          <w:color w:val="174A7E"/>
          <w:sz w:val="28"/>
        </w:rPr>
        <w:t>First-Year Priorities</w:t>
      </w:r>
    </w:p>
    <w:p>
      <w:pPr>
        <w:pStyle w:val="Checklist"/>
        <w:spacing w:after="60"/>
        <w:ind w:left="360" w:hanging="259"/>
      </w:pPr>
      <w:r>
        <w:rPr>
          <w:rFonts w:ascii="Liberation Sans" w:hAnsi="Liberation Sans"/>
          <w:color w:val="1F2937"/>
          <w:sz w:val="20"/>
        </w:rPr>
        <w:t>☐ Make every mortgage payment on time.</w:t>
      </w:r>
    </w:p>
    <w:p>
      <w:pPr>
        <w:pStyle w:val="Checklist"/>
        <w:spacing w:after="60"/>
        <w:ind w:left="360" w:hanging="259"/>
      </w:pPr>
      <w:r>
        <w:rPr>
          <w:rFonts w:ascii="Liberation Sans" w:hAnsi="Liberation Sans"/>
          <w:color w:val="1F2937"/>
          <w:sz w:val="20"/>
        </w:rPr>
        <w:t>☐ Keep homeowners insurance active and review coverage annually.</w:t>
      </w:r>
    </w:p>
    <w:p>
      <w:pPr>
        <w:pStyle w:val="Checklist"/>
        <w:spacing w:after="60"/>
        <w:ind w:left="360" w:hanging="259"/>
      </w:pPr>
      <w:r>
        <w:rPr>
          <w:rFonts w:ascii="Liberation Sans" w:hAnsi="Liberation Sans"/>
          <w:color w:val="1F2937"/>
          <w:sz w:val="20"/>
        </w:rPr>
        <w:t>☐ Track maintenance and save receipts.</w:t>
      </w:r>
    </w:p>
    <w:p>
      <w:pPr>
        <w:pStyle w:val="Checklist"/>
        <w:spacing w:after="60"/>
        <w:ind w:left="360" w:hanging="259"/>
      </w:pPr>
      <w:r>
        <w:rPr>
          <w:rFonts w:ascii="Liberation Sans" w:hAnsi="Liberation Sans"/>
          <w:color w:val="1F2937"/>
          <w:sz w:val="20"/>
        </w:rPr>
        <w:t>☐ Rebuild savings after closing.</w:t>
      </w:r>
    </w:p>
    <w:p>
      <w:pPr>
        <w:pStyle w:val="Checklist"/>
        <w:spacing w:after="60"/>
        <w:ind w:left="360" w:hanging="259"/>
      </w:pPr>
      <w:r>
        <w:rPr>
          <w:rFonts w:ascii="Liberation Sans" w:hAnsi="Liberation Sans"/>
          <w:color w:val="1F2937"/>
          <w:sz w:val="20"/>
        </w:rPr>
        <w:t>☐ Avoid using home equity for short-lived spending without understanding the risk.</w:t>
      </w:r>
    </w:p>
    <w:p>
      <w:pPr>
        <w:pStyle w:val="Checklist"/>
        <w:spacing w:after="60"/>
        <w:ind w:left="360" w:hanging="259"/>
      </w:pPr>
      <w:r>
        <w:rPr>
          <w:rFonts w:ascii="Liberation Sans" w:hAnsi="Liberation Sans"/>
          <w:color w:val="1F2937"/>
          <w:sz w:val="20"/>
        </w:rPr>
        <w:t>☐ Review estate planning, beneficiary designations, and ownership documents with appropriate professionals.</w:t>
      </w:r>
    </w:p>
    <w:p>
      <w:pPr>
        <w:pageBreakBefore/>
        <w:spacing w:before="120" w:after="40"/>
      </w:pPr>
      <w:r>
        <w:rPr>
          <w:rFonts w:ascii="Liberation Sans" w:hAnsi="Liberation Sans"/>
          <w:b/>
          <w:color w:val="D71920"/>
          <w:sz w:val="20"/>
        </w:rPr>
        <w:t>CHAPTER ESPECIAL</w:t>
      </w:r>
    </w:p>
    <w:p>
      <w:pPr>
        <w:pStyle w:val="TitleChapter"/>
        <w:spacing w:after="80"/>
      </w:pPr>
      <w:r>
        <w:rPr>
          <w:rFonts w:ascii="Liberation Sans" w:hAnsi="Liberation Sans"/>
          <w:b/>
          <w:color w:val="123451"/>
          <w:sz w:val="46"/>
        </w:rPr>
        <w:t>Guía de Compra de Vivienda para Familias Hispanas</w:t>
      </w:r>
    </w:p>
    <w:p>
      <w:pPr>
        <w:spacing w:after="280"/>
      </w:pPr>
      <w:r>
        <w:rPr>
          <w:rFonts w:ascii="Liberation Sans" w:hAnsi="Liberation Sans"/>
          <w:i/>
          <w:color w:val="6B7280"/>
          <w:sz w:val="22"/>
        </w:rPr>
        <w:t>Información clara sobre financiamiento, documentos y el proceso de compra.</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Comprar una casa en los Estados Unidos puede sentirse complicado, especialmente cuando los documentos, las explicaciones y los términos legales están en inglés. Esta sección resume los pasos principales en español. No sustituye una consulta legal, migratoria, financiera o tributaria.</w:t>
      </w:r>
    </w:p>
    <w:p>
      <w:pPr>
        <w:pStyle w:val="Heading2"/>
        <w:spacing w:before="200" w:after="100"/>
      </w:pPr>
      <w:r>
        <w:rPr>
          <w:rFonts w:ascii="Liberation Sans" w:hAnsi="Liberation Sans"/>
          <w:b/>
          <w:color w:val="174A7E"/>
          <w:sz w:val="28"/>
        </w:rPr>
        <w:t>Paso 1: Prepararse</w:t>
      </w:r>
    </w:p>
    <w:p>
      <w:pPr>
        <w:pStyle w:val="ListBullet"/>
        <w:spacing w:after="60"/>
        <w:ind w:left="360" w:hanging="259"/>
      </w:pPr>
      <w:r>
        <w:rPr>
          <w:rFonts w:ascii="Liberation Sans" w:hAnsi="Liberation Sans"/>
          <w:color w:val="1F2937"/>
          <w:sz w:val="20"/>
        </w:rPr>
        <w:t>Revisar ingresos, deudas, crédito y ahorros.</w:t>
      </w:r>
    </w:p>
    <w:p>
      <w:pPr>
        <w:pStyle w:val="ListBullet"/>
        <w:spacing w:after="60"/>
        <w:ind w:left="360" w:hanging="259"/>
      </w:pPr>
      <w:r>
        <w:rPr>
          <w:rFonts w:ascii="Liberation Sans" w:hAnsi="Liberation Sans"/>
          <w:color w:val="1F2937"/>
          <w:sz w:val="20"/>
        </w:rPr>
        <w:t>Calcular un pago mensual cómodo, no solamente el máximo aprobado.</w:t>
      </w:r>
    </w:p>
    <w:p>
      <w:pPr>
        <w:pStyle w:val="ListBullet"/>
        <w:spacing w:after="60"/>
        <w:ind w:left="360" w:hanging="259"/>
      </w:pPr>
      <w:r>
        <w:rPr>
          <w:rFonts w:ascii="Liberation Sans" w:hAnsi="Liberation Sans"/>
          <w:color w:val="1F2937"/>
          <w:sz w:val="20"/>
        </w:rPr>
        <w:t>Guardar dinero para inspecciones, depósito, cierre, mudanza y emergencias.</w:t>
      </w:r>
    </w:p>
    <w:p>
      <w:pPr>
        <w:pStyle w:val="ListBullet"/>
        <w:spacing w:after="60"/>
        <w:ind w:left="360" w:hanging="259"/>
      </w:pPr>
      <w:r>
        <w:rPr>
          <w:rFonts w:ascii="Liberation Sans" w:hAnsi="Liberation Sans"/>
          <w:color w:val="1F2937"/>
          <w:sz w:val="20"/>
        </w:rPr>
        <w:t>Evitar abrir cuentas nuevas, comprar vehículos o hacer depósitos en efectivo sin consultar al prestamista.</w:t>
      </w:r>
    </w:p>
    <w:p>
      <w:pPr>
        <w:pStyle w:val="ListBullet"/>
        <w:spacing w:after="60"/>
        <w:ind w:left="360" w:hanging="259"/>
      </w:pPr>
      <w:r>
        <w:rPr>
          <w:rFonts w:ascii="Liberation Sans" w:hAnsi="Liberation Sans"/>
          <w:color w:val="1F2937"/>
          <w:sz w:val="20"/>
        </w:rPr>
        <w:t>Organizar documentos personales y financieros.</w:t>
      </w:r>
    </w:p>
    <w:p>
      <w:pPr>
        <w:pStyle w:val="Heading2"/>
        <w:spacing w:before="200" w:after="100"/>
      </w:pPr>
      <w:r>
        <w:rPr>
          <w:rFonts w:ascii="Liberation Sans" w:hAnsi="Liberation Sans"/>
          <w:b/>
          <w:color w:val="174A7E"/>
          <w:sz w:val="28"/>
        </w:rPr>
        <w:t>Paso 2: Obtener una Preaprobación</w:t>
      </w:r>
    </w:p>
    <w:p>
      <w:pPr>
        <w:pStyle w:val="BodyText"/>
        <w:keepLines w:val="0"/>
        <w:spacing w:after="120"/>
      </w:pPr>
      <w:r>
        <w:rPr>
          <w:rFonts w:ascii="Liberation Sans" w:hAnsi="Liberation Sans"/>
          <w:i w:val="0"/>
          <w:color w:val="1F2937"/>
          <w:sz w:val="21"/>
        </w:rPr>
        <w:t>La preaprobación ayuda a entender el precio, pago mensual, dinero necesario y programas disponibles. No es una garantía final. El préstamo todavía depende de la propiedad, tasación, seguro, título, empleo, crédito y documentación final.</w:t>
      </w:r>
    </w:p>
    <w:p>
      <w:pPr>
        <w:pStyle w:val="ListBullet"/>
        <w:spacing w:after="60"/>
        <w:ind w:left="360" w:hanging="259"/>
      </w:pPr>
      <w:r>
        <w:rPr>
          <w:rFonts w:ascii="Liberation Sans" w:hAnsi="Liberation Sans"/>
          <w:color w:val="1F2937"/>
          <w:sz w:val="20"/>
        </w:rPr>
        <w:t>Identificación con foto.</w:t>
      </w:r>
    </w:p>
    <w:p>
      <w:pPr>
        <w:pStyle w:val="ListBullet"/>
        <w:spacing w:after="60"/>
        <w:ind w:left="360" w:hanging="259"/>
      </w:pPr>
      <w:r>
        <w:rPr>
          <w:rFonts w:ascii="Liberation Sans" w:hAnsi="Liberation Sans"/>
          <w:color w:val="1F2937"/>
          <w:sz w:val="20"/>
        </w:rPr>
        <w:t>Número de Seguro Social o documentación de ITIN, según el programa.</w:t>
      </w:r>
    </w:p>
    <w:p>
      <w:pPr>
        <w:pStyle w:val="ListBullet"/>
        <w:spacing w:after="60"/>
        <w:ind w:left="360" w:hanging="259"/>
      </w:pPr>
      <w:r>
        <w:rPr>
          <w:rFonts w:ascii="Liberation Sans" w:hAnsi="Liberation Sans"/>
          <w:color w:val="1F2937"/>
          <w:sz w:val="20"/>
        </w:rPr>
        <w:t>Talones de pago, formularios W-2 o 1099, cartas de beneficios o estados de pensión.</w:t>
      </w:r>
    </w:p>
    <w:p>
      <w:pPr>
        <w:pStyle w:val="ListBullet"/>
        <w:spacing w:after="60"/>
        <w:ind w:left="360" w:hanging="259"/>
      </w:pPr>
      <w:r>
        <w:rPr>
          <w:rFonts w:ascii="Liberation Sans" w:hAnsi="Liberation Sans"/>
          <w:color w:val="1F2937"/>
          <w:sz w:val="20"/>
        </w:rPr>
        <w:t>Declaraciones de impuestos cuando sean necesarias.</w:t>
      </w:r>
    </w:p>
    <w:p>
      <w:pPr>
        <w:pStyle w:val="ListBullet"/>
        <w:spacing w:after="60"/>
        <w:ind w:left="360" w:hanging="259"/>
      </w:pPr>
      <w:r>
        <w:rPr>
          <w:rFonts w:ascii="Liberation Sans" w:hAnsi="Liberation Sans"/>
          <w:color w:val="1F2937"/>
          <w:sz w:val="20"/>
        </w:rPr>
        <w:t>Estados de cuentas bancarias y evidencia del dinero para el cierre.</w:t>
      </w:r>
    </w:p>
    <w:p>
      <w:pPr>
        <w:pStyle w:val="ListBullet"/>
        <w:spacing w:after="60"/>
        <w:ind w:left="360" w:hanging="259"/>
      </w:pPr>
      <w:r>
        <w:rPr>
          <w:rFonts w:ascii="Liberation Sans" w:hAnsi="Liberation Sans"/>
          <w:color w:val="1F2937"/>
          <w:sz w:val="20"/>
        </w:rPr>
        <w:t>Historial de empleo y vivienda.</w:t>
      </w:r>
    </w:p>
    <w:p>
      <w:pPr>
        <w:pStyle w:val="ListBullet"/>
        <w:spacing w:after="60"/>
        <w:ind w:left="360" w:hanging="259"/>
      </w:pPr>
      <w:r>
        <w:rPr>
          <w:rFonts w:ascii="Liberation Sans" w:hAnsi="Liberation Sans"/>
          <w:color w:val="1F2937"/>
          <w:sz w:val="20"/>
        </w:rPr>
        <w:t>Documentos de bancarrota, divorcio, manutención, colecciones u otras obligaciones cuando apliquen.</w:t>
      </w:r>
    </w:p>
    <w:p>
      <w:pPr>
        <w:pStyle w:val="Heading2"/>
        <w:spacing w:before="200" w:after="100"/>
      </w:pPr>
      <w:r>
        <w:rPr>
          <w:rFonts w:ascii="Liberation Sans" w:hAnsi="Liberation Sans"/>
          <w:b/>
          <w:color w:val="174A7E"/>
          <w:sz w:val="28"/>
        </w:rPr>
        <w:t>Préstamos con ITIN</w:t>
      </w:r>
    </w:p>
    <w:p>
      <w:pPr>
        <w:pStyle w:val="BodyText"/>
        <w:keepLines w:val="0"/>
        <w:spacing w:after="120"/>
      </w:pPr>
      <w:r>
        <w:rPr>
          <w:rFonts w:ascii="Liberation Sans" w:hAnsi="Liberation Sans"/>
          <w:i w:val="0"/>
          <w:color w:val="1F2937"/>
          <w:sz w:val="21"/>
        </w:rPr>
        <w:t>Algunos prestamistas ofrecen préstamos para personas con ITIN que no tienen número de Seguro Social. No existe un solo programa universal. Cada prestamista puede tener requisitos diferentes de enganche, reservas, crédito, ingresos, identificación y tipo de propiedad.</w:t>
      </w:r>
    </w:p>
    <w:tbl>
      <w:tblPr>
        <w:tblW w:type="auto" w:w="0"/>
        <w:jc w:val="center"/>
        <w:tblLayout w:type="fixed"/>
        <w:tblLook w:firstColumn="1" w:firstRow="1" w:lastColumn="0" w:lastRow="0" w:noHBand="0" w:noVBand="1" w:val="04A0"/>
      </w:tblPr>
      <w:tblGrid>
        <w:gridCol w:w="9360"/>
      </w:tblGrid>
      <w:tr>
        <w:trPr>
          <w:cantSplit/>
        </w:trPr>
        <w:tc>
          <w:tcPr>
            <w:tcW w:type="dxa" w:w="9878"/>
            <w:shd w:fill="FDEDEE"/>
            <w:tcMar>
              <w:top w:w="130" w:type="dxa"/>
              <w:start w:w="180" w:type="dxa"/>
              <w:bottom w:w="130" w:type="dxa"/>
              <w:end w:w="180" w:type="dxa"/>
            </w:tcMar>
            <w:tcBorders>
              <w:top w:val="nil"/>
              <w:left w:val="single" w:sz="18" w:color="D71920"/>
              <w:bottom w:val="nil"/>
              <w:right w:val="nil"/>
            </w:tcBorders>
          </w:tcPr>
          <w:p>
            <w:pPr>
              <w:spacing w:after="60"/>
            </w:pPr>
            <w:r>
              <w:rPr>
                <w:rFonts w:ascii="Liberation Sans" w:hAnsi="Liberation Sans"/>
                <w:b/>
                <w:color w:val="D71920"/>
                <w:sz w:val="21"/>
              </w:rPr>
              <w:t>Importante</w:t>
            </w:r>
          </w:p>
          <w:p>
            <w:pPr>
              <w:spacing w:after="0"/>
            </w:pPr>
            <w:r>
              <w:rPr>
                <w:rFonts w:ascii="Liberation Sans" w:hAnsi="Liberation Sans"/>
                <w:color w:val="1F2937"/>
                <w:sz w:val="20"/>
              </w:rPr>
              <w:t>Obtener un préstamo hipotecario no cambia el estatus migratorio ni reemplaza el consejo de un abogado de inmigración. No comparta información personal con personas no autorizadas que prometan “arreglar papeles” por medio de una compra de vivienda.</w:t>
            </w:r>
          </w:p>
        </w:tc>
      </w:tr>
    </w:tbl>
    <w:p>
      <w:pPr>
        <w:spacing w:after="20"/>
      </w:pPr>
    </w:p>
    <w:p>
      <w:pPr>
        <w:pStyle w:val="Heading2"/>
        <w:spacing w:before="200" w:after="100"/>
      </w:pPr>
      <w:r>
        <w:rPr>
          <w:rFonts w:ascii="Liberation Sans" w:hAnsi="Liberation Sans"/>
          <w:b/>
          <w:color w:val="174A7E"/>
          <w:sz w:val="28"/>
        </w:rPr>
        <w:t>Crédito Tradicional y Crédito Alternativo</w:t>
      </w:r>
    </w:p>
    <w:p>
      <w:pPr>
        <w:pStyle w:val="BodyText"/>
        <w:keepLines w:val="0"/>
        <w:spacing w:after="120"/>
      </w:pPr>
      <w:r>
        <w:rPr>
          <w:rFonts w:ascii="Liberation Sans" w:hAnsi="Liberation Sans"/>
          <w:i w:val="0"/>
          <w:color w:val="1F2937"/>
          <w:sz w:val="21"/>
        </w:rPr>
        <w:t>Algunos programas pueden considerar historial tradicional de crédito. Otros pueden evaluar pagos de renta, servicios, teléfono, seguro u otras obligaciones cuando el producto lo permite. Guarde recibos, estados de cuenta, contratos y evidencia de pagos puntuales. La disponibilidad depende del prestamista y del programa.</w:t>
      </w:r>
    </w:p>
    <w:p>
      <w:pPr>
        <w:pStyle w:val="Heading2"/>
        <w:spacing w:before="200" w:after="100"/>
      </w:pPr>
      <w:r>
        <w:rPr>
          <w:rFonts w:ascii="Liberation Sans" w:hAnsi="Liberation Sans"/>
          <w:b/>
          <w:color w:val="174A7E"/>
          <w:sz w:val="28"/>
        </w:rPr>
        <w:t>Fondos de Regalo</w:t>
      </w:r>
    </w:p>
    <w:p>
      <w:pPr>
        <w:pStyle w:val="BodyText"/>
        <w:keepLines w:val="0"/>
        <w:spacing w:after="120"/>
      </w:pPr>
      <w:r>
        <w:rPr>
          <w:rFonts w:ascii="Liberation Sans" w:hAnsi="Liberation Sans"/>
          <w:i w:val="0"/>
          <w:color w:val="1F2937"/>
          <w:sz w:val="21"/>
        </w:rPr>
        <w:t>Ciertos préstamos permiten fondos de regalo de familiares u otras fuentes aprobadas. El prestamista puede exigir una carta de regalo, evidencia de la cuenta del donante, transferencia documentada y confirmación de que el dinero no debe ser pagado. No deposite efectivo ni cambie el origen del dinero sin avisar al oficial de préstamos.</w:t>
      </w:r>
    </w:p>
    <w:p>
      <w:pPr>
        <w:pStyle w:val="Heading2"/>
        <w:spacing w:before="200" w:after="100"/>
      </w:pPr>
      <w:r>
        <w:rPr>
          <w:rFonts w:ascii="Liberation Sans" w:hAnsi="Liberation Sans"/>
          <w:b/>
          <w:color w:val="174A7E"/>
          <w:sz w:val="28"/>
        </w:rPr>
        <w:t>El Contrato en Carolina del Norte</w:t>
      </w:r>
    </w:p>
    <w:p>
      <w:pPr>
        <w:pStyle w:val="ListBullet"/>
        <w:spacing w:after="60"/>
        <w:ind w:left="360" w:hanging="259"/>
      </w:pPr>
      <w:r>
        <w:rPr>
          <w:rFonts w:ascii="Liberation Sans" w:hAnsi="Liberation Sans"/>
          <w:color w:val="1F2937"/>
          <w:sz w:val="20"/>
        </w:rPr>
        <w:t>El precio es solamente una parte de la oferta.</w:t>
      </w:r>
    </w:p>
    <w:p>
      <w:pPr>
        <w:pStyle w:val="ListBullet"/>
        <w:spacing w:after="60"/>
        <w:ind w:left="360" w:hanging="259"/>
      </w:pPr>
      <w:r>
        <w:rPr>
          <w:rFonts w:ascii="Liberation Sans" w:hAnsi="Liberation Sans"/>
          <w:color w:val="1F2937"/>
          <w:sz w:val="20"/>
        </w:rPr>
        <w:t>La tarifa de debida diligencia y el depósito de garantía son negociables.</w:t>
      </w:r>
    </w:p>
    <w:p>
      <w:pPr>
        <w:pStyle w:val="ListBullet"/>
        <w:spacing w:after="60"/>
        <w:ind w:left="360" w:hanging="259"/>
      </w:pPr>
      <w:r>
        <w:rPr>
          <w:rFonts w:ascii="Liberation Sans" w:hAnsi="Liberation Sans"/>
          <w:color w:val="1F2937"/>
          <w:sz w:val="20"/>
        </w:rPr>
        <w:t>La tarifa de debida diligencia generalmente no se devuelve si el comprador cancela, salvo circunstancias limitadas del contrato.</w:t>
      </w:r>
    </w:p>
    <w:p>
      <w:pPr>
        <w:pStyle w:val="ListBullet"/>
        <w:spacing w:after="60"/>
        <w:ind w:left="360" w:hanging="259"/>
      </w:pPr>
      <w:r>
        <w:rPr>
          <w:rFonts w:ascii="Liberation Sans" w:hAnsi="Liberation Sans"/>
          <w:color w:val="1F2937"/>
          <w:sz w:val="20"/>
        </w:rPr>
        <w:t>El comprador debe completar inspecciones, financiamiento, tasación, seguro y otras investigaciones antes de la fecha límite.</w:t>
      </w:r>
    </w:p>
    <w:p>
      <w:pPr>
        <w:pStyle w:val="ListBullet"/>
        <w:spacing w:after="60"/>
        <w:ind w:left="360" w:hanging="259"/>
      </w:pPr>
      <w:r>
        <w:rPr>
          <w:rFonts w:ascii="Liberation Sans" w:hAnsi="Liberation Sans"/>
          <w:color w:val="1F2937"/>
          <w:sz w:val="20"/>
        </w:rPr>
        <w:t>Una promesa verbal no reemplaza un acuerdo escrito y firmado.</w:t>
      </w:r>
    </w:p>
    <w:p>
      <w:pPr>
        <w:pStyle w:val="ListBullet"/>
        <w:spacing w:after="60"/>
        <w:ind w:left="360" w:hanging="259"/>
      </w:pPr>
      <w:r>
        <w:rPr>
          <w:rFonts w:ascii="Liberation Sans" w:hAnsi="Liberation Sans"/>
          <w:color w:val="1F2937"/>
          <w:sz w:val="20"/>
        </w:rPr>
        <w:t>Consulte a un abogado de Carolina del Norte para preguntas legales.</w:t>
      </w:r>
    </w:p>
    <w:p>
      <w:pPr>
        <w:pStyle w:val="Heading2"/>
        <w:spacing w:before="200" w:after="100"/>
      </w:pPr>
      <w:r>
        <w:rPr>
          <w:rFonts w:ascii="Liberation Sans" w:hAnsi="Liberation Sans"/>
          <w:b/>
          <w:color w:val="174A7E"/>
          <w:sz w:val="28"/>
        </w:rPr>
        <w:t>Inspecciones Importantes</w:t>
      </w:r>
    </w:p>
    <w:p>
      <w:pPr>
        <w:pStyle w:val="ListBullet"/>
        <w:spacing w:after="60"/>
        <w:ind w:left="360" w:hanging="259"/>
      </w:pPr>
      <w:r>
        <w:rPr>
          <w:rFonts w:ascii="Liberation Sans" w:hAnsi="Liberation Sans"/>
          <w:color w:val="1F2937"/>
          <w:sz w:val="20"/>
        </w:rPr>
        <w:t>Inspección general de la casa.</w:t>
      </w:r>
    </w:p>
    <w:p>
      <w:pPr>
        <w:pStyle w:val="ListBullet"/>
        <w:spacing w:after="60"/>
        <w:ind w:left="360" w:hanging="259"/>
      </w:pPr>
      <w:r>
        <w:rPr>
          <w:rFonts w:ascii="Liberation Sans" w:hAnsi="Liberation Sans"/>
          <w:color w:val="1F2937"/>
          <w:sz w:val="20"/>
        </w:rPr>
        <w:t>Inspección del sistema séptico.</w:t>
      </w:r>
    </w:p>
    <w:p>
      <w:pPr>
        <w:pStyle w:val="ListBullet"/>
        <w:spacing w:after="60"/>
        <w:ind w:left="360" w:hanging="259"/>
      </w:pPr>
      <w:r>
        <w:rPr>
          <w:rFonts w:ascii="Liberation Sans" w:hAnsi="Liberation Sans"/>
          <w:color w:val="1F2937"/>
          <w:sz w:val="20"/>
        </w:rPr>
        <w:t>Prueba de agua y evaluación del pozo.</w:t>
      </w:r>
    </w:p>
    <w:p>
      <w:pPr>
        <w:pStyle w:val="ListBullet"/>
        <w:spacing w:after="60"/>
        <w:ind w:left="360" w:hanging="259"/>
      </w:pPr>
      <w:r>
        <w:rPr>
          <w:rFonts w:ascii="Liberation Sans" w:hAnsi="Liberation Sans"/>
          <w:color w:val="1F2937"/>
          <w:sz w:val="20"/>
        </w:rPr>
        <w:t>Inspección de termitas y organismos que destruyen madera.</w:t>
      </w:r>
    </w:p>
    <w:p>
      <w:pPr>
        <w:pStyle w:val="ListBullet"/>
        <w:spacing w:after="60"/>
        <w:ind w:left="360" w:hanging="259"/>
      </w:pPr>
      <w:r>
        <w:rPr>
          <w:rFonts w:ascii="Liberation Sans" w:hAnsi="Liberation Sans"/>
          <w:color w:val="1F2937"/>
          <w:sz w:val="20"/>
        </w:rPr>
        <w:t>Prueba de radón.</w:t>
      </w:r>
    </w:p>
    <w:p>
      <w:pPr>
        <w:pStyle w:val="ListBullet"/>
        <w:spacing w:after="60"/>
        <w:ind w:left="360" w:hanging="259"/>
      </w:pPr>
      <w:r>
        <w:rPr>
          <w:rFonts w:ascii="Liberation Sans" w:hAnsi="Liberation Sans"/>
          <w:color w:val="1F2937"/>
          <w:sz w:val="20"/>
        </w:rPr>
        <w:t>Evaluaciones especializadas de estructura, techo, electricidad, plomería o calefacción cuando sean necesarias.</w:t>
      </w:r>
    </w:p>
    <w:p>
      <w:pPr>
        <w:pStyle w:val="ListBullet"/>
        <w:spacing w:after="60"/>
        <w:ind w:left="360" w:hanging="259"/>
      </w:pPr>
      <w:r>
        <w:rPr>
          <w:rFonts w:ascii="Liberation Sans" w:hAnsi="Liberation Sans"/>
          <w:color w:val="1F2937"/>
          <w:sz w:val="20"/>
        </w:rPr>
        <w:t>Encuesta del terreno para límites, accesos y servidumbres.</w:t>
      </w:r>
    </w:p>
    <w:p>
      <w:pPr>
        <w:pStyle w:val="Heading2"/>
        <w:spacing w:before="200" w:after="100"/>
      </w:pPr>
      <w:r>
        <w:rPr>
          <w:rFonts w:ascii="Liberation Sans" w:hAnsi="Liberation Sans"/>
          <w:b/>
          <w:color w:val="174A7E"/>
          <w:sz w:val="28"/>
        </w:rPr>
        <w:t>Mitos Comunes</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Mito</w:t>
            </w:r>
          </w:p>
        </w:tc>
        <w:tc>
          <w:tcPr>
            <w:tcW w:type="dxa" w:w="4939"/>
            <w:shd w:fill="174A7E"/>
            <w:tcMar>
              <w:top w:w="100" w:type="dxa"/>
              <w:start w:w="120" w:type="dxa"/>
              <w:bottom w:w="100" w:type="dxa"/>
              <w:end w:w="120" w:type="dxa"/>
            </w:tcMar>
          </w:tcPr>
          <w:p>
            <w:r>
              <w:rPr>
                <w:rFonts w:ascii="Liberation Sans" w:hAnsi="Liberation Sans"/>
                <w:b/>
                <w:color w:val="FFFFFF"/>
                <w:sz w:val="19"/>
              </w:rPr>
              <w:t>Realidad</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“Necesito 20% de enganche.”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Existen préstamos con enganches menores y programas con financiamiento de 100% para compradores elegibles.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“No puedo comprar porque soy primer comprador.”</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Ser primer comprador puede abrir opciones; no es una desventaja.</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“Mi crédito no es perfecto, por eso no califico.”</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El crédito es importante, pero la aprobación considera muchos factores.</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“La preaprobación significa que el préstamo ya está garantizado.”</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La aprobación final depende de condiciones adicionales y de la propiedad.</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“El agente del vendedor también me representa.”</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El agente de listado representa al vendedor, salvo una relación diferente legalmente establecida y explicada.</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“Si mando el dinero a la cuenta del correo electrónico, estoy seguro.”</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Nunca envíe dinero sin verificar directamente con el abogado de cierre usando un número confiable.</w:t>
            </w:r>
          </w:p>
        </w:tc>
      </w:tr>
    </w:tbl>
    <w:p>
      <w:pPr>
        <w:spacing w:after="40"/>
      </w:pPr>
    </w:p>
    <w:p>
      <w:pPr>
        <w:pStyle w:val="Heading2"/>
        <w:spacing w:before="200" w:after="100"/>
      </w:pPr>
      <w:r>
        <w:rPr>
          <w:rFonts w:ascii="Liberation Sans" w:hAnsi="Liberation Sans"/>
          <w:b/>
          <w:color w:val="174A7E"/>
          <w:sz w:val="28"/>
        </w:rPr>
        <w:t>Preguntas que Debe Hacer</w:t>
      </w:r>
    </w:p>
    <w:p>
      <w:pPr>
        <w:pStyle w:val="Checklist"/>
        <w:spacing w:after="60"/>
        <w:ind w:left="360" w:hanging="259"/>
      </w:pPr>
      <w:r>
        <w:rPr>
          <w:rFonts w:ascii="Liberation Sans" w:hAnsi="Liberation Sans"/>
          <w:color w:val="1F2937"/>
          <w:sz w:val="20"/>
        </w:rPr>
        <w:t>☐ ¿Cuál es el pago mensual completo?</w:t>
      </w:r>
    </w:p>
    <w:p>
      <w:pPr>
        <w:pStyle w:val="Checklist"/>
        <w:spacing w:after="60"/>
        <w:ind w:left="360" w:hanging="259"/>
      </w:pPr>
      <w:r>
        <w:rPr>
          <w:rFonts w:ascii="Liberation Sans" w:hAnsi="Liberation Sans"/>
          <w:color w:val="1F2937"/>
          <w:sz w:val="20"/>
        </w:rPr>
        <w:t>☐ ¿Cuánto dinero necesito antes y durante el cierre?</w:t>
      </w:r>
    </w:p>
    <w:p>
      <w:pPr>
        <w:pStyle w:val="Checklist"/>
        <w:spacing w:after="60"/>
        <w:ind w:left="360" w:hanging="259"/>
      </w:pPr>
      <w:r>
        <w:rPr>
          <w:rFonts w:ascii="Liberation Sans" w:hAnsi="Liberation Sans"/>
          <w:color w:val="1F2937"/>
          <w:sz w:val="20"/>
        </w:rPr>
        <w:t>☐ ¿Qué documentos faltan?</w:t>
      </w:r>
    </w:p>
    <w:p>
      <w:pPr>
        <w:pStyle w:val="Checklist"/>
        <w:spacing w:after="60"/>
        <w:ind w:left="360" w:hanging="259"/>
      </w:pPr>
      <w:r>
        <w:rPr>
          <w:rFonts w:ascii="Liberation Sans" w:hAnsi="Liberation Sans"/>
          <w:color w:val="1F2937"/>
          <w:sz w:val="20"/>
        </w:rPr>
        <w:t>☐ ¿Qué puede cambiar mi aprobación?</w:t>
      </w:r>
    </w:p>
    <w:p>
      <w:pPr>
        <w:pStyle w:val="Checklist"/>
        <w:spacing w:after="60"/>
        <w:ind w:left="360" w:hanging="259"/>
      </w:pPr>
      <w:r>
        <w:rPr>
          <w:rFonts w:ascii="Liberation Sans" w:hAnsi="Liberation Sans"/>
          <w:color w:val="1F2937"/>
          <w:sz w:val="20"/>
        </w:rPr>
        <w:t>☐ ¿Qué inspecciones necesita esta propiedad?</w:t>
      </w:r>
    </w:p>
    <w:p>
      <w:pPr>
        <w:pStyle w:val="Checklist"/>
        <w:spacing w:after="60"/>
        <w:ind w:left="360" w:hanging="259"/>
      </w:pPr>
      <w:r>
        <w:rPr>
          <w:rFonts w:ascii="Liberation Sans" w:hAnsi="Liberation Sans"/>
          <w:color w:val="1F2937"/>
          <w:sz w:val="20"/>
        </w:rPr>
        <w:t>☐ ¿Qué dinero puedo perder si cancelo?</w:t>
      </w:r>
    </w:p>
    <w:p>
      <w:pPr>
        <w:pStyle w:val="Checklist"/>
        <w:spacing w:after="60"/>
        <w:ind w:left="360" w:hanging="259"/>
      </w:pPr>
      <w:r>
        <w:rPr>
          <w:rFonts w:ascii="Liberation Sans" w:hAnsi="Liberation Sans"/>
          <w:color w:val="1F2937"/>
          <w:sz w:val="20"/>
        </w:rPr>
        <w:t>☐ ¿Quién me representa y cómo se paga su compensación?</w:t>
      </w:r>
    </w:p>
    <w:p>
      <w:pPr>
        <w:pStyle w:val="Checklist"/>
        <w:spacing w:after="60"/>
        <w:ind w:left="360" w:hanging="259"/>
      </w:pPr>
      <w:r>
        <w:rPr>
          <w:rFonts w:ascii="Liberation Sans" w:hAnsi="Liberation Sans"/>
          <w:color w:val="1F2937"/>
          <w:sz w:val="20"/>
        </w:rPr>
        <w:t>☐ ¿Cuándo recibo las llaves?</w:t>
      </w:r>
    </w:p>
    <w:p>
      <w:pPr>
        <w:pStyle w:val="Checklist"/>
        <w:spacing w:after="60"/>
        <w:ind w:left="360" w:hanging="259"/>
      </w:pPr>
      <w:r>
        <w:rPr>
          <w:rFonts w:ascii="Liberation Sans" w:hAnsi="Liberation Sans"/>
          <w:color w:val="1F2937"/>
          <w:sz w:val="20"/>
        </w:rPr>
        <w:t>☐ ¿A quién llamo si no entiendo un documento?</w:t>
      </w:r>
    </w:p>
    <w:tbl>
      <w:tblPr>
        <w:tblW w:type="auto" w:w="0"/>
        <w:jc w:val="center"/>
        <w:tblLayout w:type="fixed"/>
        <w:tblLook w:firstColumn="1" w:firstRow="1" w:lastColumn="0" w:lastRow="0" w:noHBand="0" w:noVBand="1" w:val="04A0"/>
      </w:tblPr>
      <w:tblGrid>
        <w:gridCol w:w="9360"/>
      </w:tblGrid>
      <w:tr>
        <w:trPr>
          <w:cantSplit/>
        </w:trPr>
        <w:tc>
          <w:tcPr>
            <w:tcW w:type="dxa" w:w="9878"/>
            <w:shd w:fill="EAF5EF"/>
            <w:tcMar>
              <w:top w:w="130" w:type="dxa"/>
              <w:start w:w="180" w:type="dxa"/>
              <w:bottom w:w="130" w:type="dxa"/>
              <w:end w:w="180" w:type="dxa"/>
            </w:tcMar>
            <w:tcBorders>
              <w:top w:val="nil"/>
              <w:left w:val="single" w:sz="18" w:color="2E6B4F"/>
              <w:bottom w:val="nil"/>
              <w:right w:val="nil"/>
            </w:tcBorders>
          </w:tcPr>
          <w:p>
            <w:pPr>
              <w:spacing w:after="60"/>
            </w:pPr>
            <w:r>
              <w:rPr>
                <w:rFonts w:ascii="Liberation Sans" w:hAnsi="Liberation Sans"/>
                <w:b/>
                <w:color w:val="2E6B4F"/>
                <w:sz w:val="21"/>
              </w:rPr>
              <w:t>No Tenga Pena de Preguntar</w:t>
            </w:r>
          </w:p>
          <w:p>
            <w:pPr>
              <w:spacing w:after="0"/>
            </w:pPr>
            <w:r>
              <w:rPr>
                <w:rFonts w:ascii="Liberation Sans" w:hAnsi="Liberation Sans"/>
                <w:color w:val="1F2937"/>
                <w:sz w:val="20"/>
              </w:rPr>
              <w:t>Una compra de vivienda es demasiado importante para quedarse callado. Pida explicaciones en español, solicite un intérprete calificado cuando sea necesario y no firme un documento que no entiende.</w:t>
            </w:r>
          </w:p>
        </w:tc>
      </w:tr>
    </w:tbl>
    <w:p>
      <w:pPr>
        <w:spacing w:after="20"/>
      </w:pPr>
    </w:p>
    <w:p>
      <w:pPr>
        <w:pageBreakBefore/>
        <w:spacing w:before="120" w:after="40"/>
      </w:pPr>
      <w:r>
        <w:rPr>
          <w:rFonts w:ascii="Liberation Sans" w:hAnsi="Liberation Sans"/>
          <w:b/>
          <w:color w:val="D71920"/>
          <w:sz w:val="20"/>
        </w:rPr>
        <w:t>CHAPTER RECURSOS</w:t>
      </w:r>
    </w:p>
    <w:p>
      <w:pPr>
        <w:pStyle w:val="TitleChapter"/>
        <w:spacing w:after="80"/>
      </w:pPr>
      <w:r>
        <w:rPr>
          <w:rFonts w:ascii="Liberation Sans" w:hAnsi="Liberation Sans"/>
          <w:b/>
          <w:color w:val="123451"/>
          <w:sz w:val="46"/>
        </w:rPr>
        <w:t>Buyer Checklists and Worksheets</w:t>
      </w:r>
    </w:p>
    <w:p>
      <w:pPr>
        <w:spacing w:after="280"/>
      </w:pPr>
      <w:r>
        <w:rPr>
          <w:rFonts w:ascii="Liberation Sans" w:hAnsi="Liberation Sans"/>
          <w:i/>
          <w:color w:val="6B7280"/>
          <w:sz w:val="22"/>
        </w:rPr>
        <w:t>Practical tools to use from preparation through the first year of ownership.</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Heading2"/>
        <w:spacing w:before="200" w:after="100"/>
      </w:pPr>
      <w:r>
        <w:rPr>
          <w:rFonts w:ascii="Liberation Sans" w:hAnsi="Liberation Sans"/>
          <w:b/>
          <w:color w:val="174A7E"/>
          <w:sz w:val="28"/>
        </w:rPr>
        <w:t>Mortgage Document Checklist</w:t>
      </w:r>
    </w:p>
    <w:p>
      <w:pPr>
        <w:pStyle w:val="Checklist"/>
        <w:spacing w:after="60"/>
        <w:ind w:left="360" w:hanging="259"/>
      </w:pPr>
      <w:r>
        <w:rPr>
          <w:rFonts w:ascii="Liberation Sans" w:hAnsi="Liberation Sans"/>
          <w:color w:val="1F2937"/>
          <w:sz w:val="20"/>
        </w:rPr>
        <w:t>☐ Government-issued photo identification.</w:t>
      </w:r>
    </w:p>
    <w:p>
      <w:pPr>
        <w:pStyle w:val="Checklist"/>
        <w:spacing w:after="60"/>
        <w:ind w:left="360" w:hanging="259"/>
      </w:pPr>
      <w:r>
        <w:rPr>
          <w:rFonts w:ascii="Liberation Sans" w:hAnsi="Liberation Sans"/>
          <w:color w:val="1F2937"/>
          <w:sz w:val="20"/>
        </w:rPr>
        <w:t>☐ Social Security number or ITIN documentation as applicable.</w:t>
      </w:r>
    </w:p>
    <w:p>
      <w:pPr>
        <w:pStyle w:val="Checklist"/>
        <w:spacing w:after="60"/>
        <w:ind w:left="360" w:hanging="259"/>
      </w:pPr>
      <w:r>
        <w:rPr>
          <w:rFonts w:ascii="Liberation Sans" w:hAnsi="Liberation Sans"/>
          <w:color w:val="1F2937"/>
          <w:sz w:val="20"/>
        </w:rPr>
        <w:t>☐ Most recent pay stubs covering the requested period.</w:t>
      </w:r>
    </w:p>
    <w:p>
      <w:pPr>
        <w:pStyle w:val="Checklist"/>
        <w:spacing w:after="60"/>
        <w:ind w:left="360" w:hanging="259"/>
      </w:pPr>
      <w:r>
        <w:rPr>
          <w:rFonts w:ascii="Liberation Sans" w:hAnsi="Liberation Sans"/>
          <w:color w:val="1F2937"/>
          <w:sz w:val="20"/>
        </w:rPr>
        <w:t>☐ W-2s and/or 1099s for the requested years.</w:t>
      </w:r>
    </w:p>
    <w:p>
      <w:pPr>
        <w:pStyle w:val="Checklist"/>
        <w:spacing w:after="60"/>
        <w:ind w:left="360" w:hanging="259"/>
      </w:pPr>
      <w:r>
        <w:rPr>
          <w:rFonts w:ascii="Liberation Sans" w:hAnsi="Liberation Sans"/>
          <w:color w:val="1F2937"/>
          <w:sz w:val="20"/>
        </w:rPr>
        <w:t>☐ Personal and business tax returns when required.</w:t>
      </w:r>
    </w:p>
    <w:p>
      <w:pPr>
        <w:pStyle w:val="Checklist"/>
        <w:spacing w:after="60"/>
        <w:ind w:left="360" w:hanging="259"/>
      </w:pPr>
      <w:r>
        <w:rPr>
          <w:rFonts w:ascii="Liberation Sans" w:hAnsi="Liberation Sans"/>
          <w:color w:val="1F2937"/>
          <w:sz w:val="20"/>
        </w:rPr>
        <w:t>☐ Bank statements with all pages, even blank pages.</w:t>
      </w:r>
    </w:p>
    <w:p>
      <w:pPr>
        <w:pStyle w:val="Checklist"/>
        <w:spacing w:after="60"/>
        <w:ind w:left="360" w:hanging="259"/>
      </w:pPr>
      <w:r>
        <w:rPr>
          <w:rFonts w:ascii="Liberation Sans" w:hAnsi="Liberation Sans"/>
          <w:color w:val="1F2937"/>
          <w:sz w:val="20"/>
        </w:rPr>
        <w:t>☐ Retirement, investment, and asset statements.</w:t>
      </w:r>
    </w:p>
    <w:p>
      <w:pPr>
        <w:pStyle w:val="Checklist"/>
        <w:spacing w:after="60"/>
        <w:ind w:left="360" w:hanging="259"/>
      </w:pPr>
      <w:r>
        <w:rPr>
          <w:rFonts w:ascii="Liberation Sans" w:hAnsi="Liberation Sans"/>
          <w:color w:val="1F2937"/>
          <w:sz w:val="20"/>
        </w:rPr>
        <w:t>☐ Gift documentation and donor records when applicable.</w:t>
      </w:r>
    </w:p>
    <w:p>
      <w:pPr>
        <w:pStyle w:val="Checklist"/>
        <w:spacing w:after="60"/>
        <w:ind w:left="360" w:hanging="259"/>
      </w:pPr>
      <w:r>
        <w:rPr>
          <w:rFonts w:ascii="Liberation Sans" w:hAnsi="Liberation Sans"/>
          <w:color w:val="1F2937"/>
          <w:sz w:val="20"/>
        </w:rPr>
        <w:t>☐ Current mortgage, rent, or housing history.</w:t>
      </w:r>
    </w:p>
    <w:p>
      <w:pPr>
        <w:pStyle w:val="Checklist"/>
        <w:spacing w:after="60"/>
        <w:ind w:left="360" w:hanging="259"/>
      </w:pPr>
      <w:r>
        <w:rPr>
          <w:rFonts w:ascii="Liberation Sans" w:hAnsi="Liberation Sans"/>
          <w:color w:val="1F2937"/>
          <w:sz w:val="20"/>
        </w:rPr>
        <w:t>☐ Employment contact information.</w:t>
      </w:r>
    </w:p>
    <w:p>
      <w:pPr>
        <w:pStyle w:val="Checklist"/>
        <w:spacing w:after="60"/>
        <w:ind w:left="360" w:hanging="259"/>
      </w:pPr>
      <w:r>
        <w:rPr>
          <w:rFonts w:ascii="Liberation Sans" w:hAnsi="Liberation Sans"/>
          <w:color w:val="1F2937"/>
          <w:sz w:val="20"/>
        </w:rPr>
        <w:t>☐ Bankruptcy, foreclosure, divorce, support, or credit-event records.</w:t>
      </w:r>
    </w:p>
    <w:p>
      <w:pPr>
        <w:pStyle w:val="Checklist"/>
        <w:spacing w:after="60"/>
        <w:ind w:left="360" w:hanging="259"/>
      </w:pPr>
      <w:r>
        <w:rPr>
          <w:rFonts w:ascii="Liberation Sans" w:hAnsi="Liberation Sans"/>
          <w:color w:val="1F2937"/>
          <w:sz w:val="20"/>
        </w:rPr>
        <w:t>☐ Explanation letters only when requested and factually accurate.</w:t>
      </w:r>
    </w:p>
    <w:p>
      <w:pPr>
        <w:pStyle w:val="Checklist"/>
        <w:spacing w:after="60"/>
        <w:ind w:left="360" w:hanging="259"/>
      </w:pPr>
      <w:r>
        <w:rPr>
          <w:rFonts w:ascii="Liberation Sans" w:hAnsi="Liberation Sans"/>
          <w:color w:val="1F2937"/>
          <w:sz w:val="20"/>
        </w:rPr>
        <w:t>☐ Homeowners insurance contact information.</w:t>
      </w:r>
    </w:p>
    <w:p>
      <w:pPr>
        <w:pStyle w:val="Checklist"/>
        <w:spacing w:after="60"/>
        <w:ind w:left="360" w:hanging="259"/>
      </w:pPr>
      <w:r>
        <w:rPr>
          <w:rFonts w:ascii="Liberation Sans" w:hAnsi="Liberation Sans"/>
          <w:color w:val="1F2937"/>
          <w:sz w:val="20"/>
        </w:rPr>
        <w:t>☐ Purchase contract and all addenda after acceptance.</w:t>
      </w:r>
    </w:p>
    <w:p>
      <w:pPr>
        <w:pStyle w:val="Heading2"/>
        <w:spacing w:before="200" w:after="100"/>
      </w:pPr>
      <w:r>
        <w:rPr>
          <w:rFonts w:ascii="Liberation Sans" w:hAnsi="Liberation Sans"/>
          <w:b/>
          <w:color w:val="174A7E"/>
          <w:sz w:val="28"/>
        </w:rPr>
        <w:t>Home Inspection Checklist</w:t>
      </w:r>
    </w:p>
    <w:p>
      <w:pPr>
        <w:pStyle w:val="Checklist"/>
        <w:spacing w:after="60"/>
        <w:ind w:left="360" w:hanging="259"/>
      </w:pPr>
      <w:r>
        <w:rPr>
          <w:rFonts w:ascii="Liberation Sans" w:hAnsi="Liberation Sans"/>
          <w:color w:val="1F2937"/>
          <w:sz w:val="20"/>
        </w:rPr>
        <w:t>☐ Roof age, condition, flashing, and leaks.</w:t>
      </w:r>
    </w:p>
    <w:p>
      <w:pPr>
        <w:pStyle w:val="Checklist"/>
        <w:spacing w:after="60"/>
        <w:ind w:left="360" w:hanging="259"/>
      </w:pPr>
      <w:r>
        <w:rPr>
          <w:rFonts w:ascii="Liberation Sans" w:hAnsi="Liberation Sans"/>
          <w:color w:val="1F2937"/>
          <w:sz w:val="20"/>
        </w:rPr>
        <w:t>☐ Foundation, crawlspace, basement, framing, and moisture.</w:t>
      </w:r>
    </w:p>
    <w:p>
      <w:pPr>
        <w:pStyle w:val="Checklist"/>
        <w:spacing w:after="60"/>
        <w:ind w:left="360" w:hanging="259"/>
      </w:pPr>
      <w:r>
        <w:rPr>
          <w:rFonts w:ascii="Liberation Sans" w:hAnsi="Liberation Sans"/>
          <w:color w:val="1F2937"/>
          <w:sz w:val="20"/>
        </w:rPr>
        <w:t>☐ Drainage, gutters, grading, retaining walls, and erosion.</w:t>
      </w:r>
    </w:p>
    <w:p>
      <w:pPr>
        <w:pStyle w:val="Checklist"/>
        <w:spacing w:after="60"/>
        <w:ind w:left="360" w:hanging="259"/>
      </w:pPr>
      <w:r>
        <w:rPr>
          <w:rFonts w:ascii="Liberation Sans" w:hAnsi="Liberation Sans"/>
          <w:color w:val="1F2937"/>
          <w:sz w:val="20"/>
        </w:rPr>
        <w:t>☐ Electrical panel, wiring, outlets, grounding, and safety concerns.</w:t>
      </w:r>
    </w:p>
    <w:p>
      <w:pPr>
        <w:pStyle w:val="Checklist"/>
        <w:spacing w:after="60"/>
        <w:ind w:left="360" w:hanging="259"/>
      </w:pPr>
      <w:r>
        <w:rPr>
          <w:rFonts w:ascii="Liberation Sans" w:hAnsi="Liberation Sans"/>
          <w:color w:val="1F2937"/>
          <w:sz w:val="20"/>
        </w:rPr>
        <w:t>☐ Plumbing supply, drains, fixtures, water heater, and leaks.</w:t>
      </w:r>
    </w:p>
    <w:p>
      <w:pPr>
        <w:pStyle w:val="Checklist"/>
        <w:spacing w:after="60"/>
        <w:ind w:left="360" w:hanging="259"/>
      </w:pPr>
      <w:r>
        <w:rPr>
          <w:rFonts w:ascii="Liberation Sans" w:hAnsi="Liberation Sans"/>
          <w:color w:val="1F2937"/>
          <w:sz w:val="20"/>
        </w:rPr>
        <w:t>☐ HVAC age, operation, distribution, filters, and service history.</w:t>
      </w:r>
    </w:p>
    <w:p>
      <w:pPr>
        <w:pStyle w:val="Checklist"/>
        <w:spacing w:after="60"/>
        <w:ind w:left="360" w:hanging="259"/>
      </w:pPr>
      <w:r>
        <w:rPr>
          <w:rFonts w:ascii="Liberation Sans" w:hAnsi="Liberation Sans"/>
          <w:color w:val="1F2937"/>
          <w:sz w:val="20"/>
        </w:rPr>
        <w:t>☐ Windows, doors, insulation, ventilation, and visible energy concerns.</w:t>
      </w:r>
    </w:p>
    <w:p>
      <w:pPr>
        <w:pStyle w:val="Checklist"/>
        <w:spacing w:after="60"/>
        <w:ind w:left="360" w:hanging="259"/>
      </w:pPr>
      <w:r>
        <w:rPr>
          <w:rFonts w:ascii="Liberation Sans" w:hAnsi="Liberation Sans"/>
          <w:color w:val="1F2937"/>
          <w:sz w:val="20"/>
        </w:rPr>
        <w:t>☐ Decks, porches, stairs, railings, garages, and outbuildings.</w:t>
      </w:r>
    </w:p>
    <w:p>
      <w:pPr>
        <w:pStyle w:val="Checklist"/>
        <w:spacing w:after="60"/>
        <w:ind w:left="360" w:hanging="259"/>
      </w:pPr>
      <w:r>
        <w:rPr>
          <w:rFonts w:ascii="Liberation Sans" w:hAnsi="Liberation Sans"/>
          <w:color w:val="1F2937"/>
          <w:sz w:val="20"/>
        </w:rPr>
        <w:t>☐ Appliances and included equipment.</w:t>
      </w:r>
    </w:p>
    <w:p>
      <w:pPr>
        <w:pStyle w:val="Checklist"/>
        <w:spacing w:after="60"/>
        <w:ind w:left="360" w:hanging="259"/>
      </w:pPr>
      <w:r>
        <w:rPr>
          <w:rFonts w:ascii="Liberation Sans" w:hAnsi="Liberation Sans"/>
          <w:color w:val="1F2937"/>
          <w:sz w:val="20"/>
        </w:rPr>
        <w:t>☐ Septic, well, termite, radon, chimney, and specialist inspections.</w:t>
      </w:r>
    </w:p>
    <w:p>
      <w:pPr>
        <w:pStyle w:val="Checklist"/>
        <w:spacing w:after="60"/>
        <w:ind w:left="360" w:hanging="259"/>
      </w:pPr>
      <w:r>
        <w:rPr>
          <w:rFonts w:ascii="Liberation Sans" w:hAnsi="Liberation Sans"/>
          <w:color w:val="1F2937"/>
          <w:sz w:val="20"/>
        </w:rPr>
        <w:t>☐ Permits, repairs, warranties, and contractor documentation.</w:t>
      </w:r>
    </w:p>
    <w:p>
      <w:pPr>
        <w:pStyle w:val="Heading2"/>
        <w:spacing w:before="200" w:after="100"/>
      </w:pPr>
      <w:r>
        <w:rPr>
          <w:rFonts w:ascii="Liberation Sans" w:hAnsi="Liberation Sans"/>
          <w:b/>
          <w:color w:val="174A7E"/>
          <w:sz w:val="28"/>
        </w:rPr>
        <w:t>Moving Checklist</w:t>
      </w:r>
    </w:p>
    <w:p>
      <w:pPr>
        <w:pStyle w:val="Checklist"/>
        <w:spacing w:after="60"/>
        <w:ind w:left="360" w:hanging="259"/>
      </w:pPr>
      <w:r>
        <w:rPr>
          <w:rFonts w:ascii="Liberation Sans" w:hAnsi="Liberation Sans"/>
          <w:color w:val="1F2937"/>
          <w:sz w:val="20"/>
        </w:rPr>
        <w:t>☐ Confirm recording and key-release instructions.</w:t>
      </w:r>
    </w:p>
    <w:p>
      <w:pPr>
        <w:pStyle w:val="Checklist"/>
        <w:spacing w:after="60"/>
        <w:ind w:left="360" w:hanging="259"/>
      </w:pPr>
      <w:r>
        <w:rPr>
          <w:rFonts w:ascii="Liberation Sans" w:hAnsi="Liberation Sans"/>
          <w:color w:val="1F2937"/>
          <w:sz w:val="20"/>
        </w:rPr>
        <w:t>☐ Schedule movers after authorized possession.</w:t>
      </w:r>
    </w:p>
    <w:p>
      <w:pPr>
        <w:pStyle w:val="Checklist"/>
        <w:spacing w:after="60"/>
        <w:ind w:left="360" w:hanging="259"/>
      </w:pPr>
      <w:r>
        <w:rPr>
          <w:rFonts w:ascii="Liberation Sans" w:hAnsi="Liberation Sans"/>
          <w:color w:val="1F2937"/>
          <w:sz w:val="20"/>
        </w:rPr>
        <w:t>☐ Transfer electricity, water, sewer, trash, gas/propane, internet, and security.</w:t>
      </w:r>
    </w:p>
    <w:p>
      <w:pPr>
        <w:pStyle w:val="Checklist"/>
        <w:spacing w:after="60"/>
        <w:ind w:left="360" w:hanging="259"/>
      </w:pPr>
      <w:r>
        <w:rPr>
          <w:rFonts w:ascii="Liberation Sans" w:hAnsi="Liberation Sans"/>
          <w:color w:val="1F2937"/>
          <w:sz w:val="20"/>
        </w:rPr>
        <w:t>☐ Change address with postal service, employer, banks, insurers, licensing agencies, and subscriptions.</w:t>
      </w:r>
    </w:p>
    <w:p>
      <w:pPr>
        <w:pStyle w:val="Checklist"/>
        <w:spacing w:after="60"/>
        <w:ind w:left="360" w:hanging="259"/>
      </w:pPr>
      <w:r>
        <w:rPr>
          <w:rFonts w:ascii="Liberation Sans" w:hAnsi="Liberation Sans"/>
          <w:color w:val="1F2937"/>
          <w:sz w:val="20"/>
        </w:rPr>
        <w:t>☐ Prepare medication, identification, closing documents, valuables, and essentials separately.</w:t>
      </w:r>
    </w:p>
    <w:p>
      <w:pPr>
        <w:pStyle w:val="Checklist"/>
        <w:spacing w:after="60"/>
        <w:ind w:left="360" w:hanging="259"/>
      </w:pPr>
      <w:r>
        <w:rPr>
          <w:rFonts w:ascii="Liberation Sans" w:hAnsi="Liberation Sans"/>
          <w:color w:val="1F2937"/>
          <w:sz w:val="20"/>
        </w:rPr>
        <w:t>☐ Photograph valuable items and condition before moving.</w:t>
      </w:r>
    </w:p>
    <w:p>
      <w:pPr>
        <w:pStyle w:val="Checklist"/>
        <w:spacing w:after="60"/>
        <w:ind w:left="360" w:hanging="259"/>
      </w:pPr>
      <w:r>
        <w:rPr>
          <w:rFonts w:ascii="Liberation Sans" w:hAnsi="Liberation Sans"/>
          <w:color w:val="1F2937"/>
          <w:sz w:val="20"/>
        </w:rPr>
        <w:t>☐ Change locks and codes.</w:t>
      </w:r>
    </w:p>
    <w:p>
      <w:pPr>
        <w:pStyle w:val="Checklist"/>
        <w:spacing w:after="60"/>
        <w:ind w:left="360" w:hanging="259"/>
      </w:pPr>
      <w:r>
        <w:rPr>
          <w:rFonts w:ascii="Liberation Sans" w:hAnsi="Liberation Sans"/>
          <w:color w:val="1F2937"/>
          <w:sz w:val="20"/>
        </w:rPr>
        <w:t>☐ Update emergency contacts and school records.</w:t>
      </w:r>
    </w:p>
    <w:p>
      <w:pPr>
        <w:pStyle w:val="Checklist"/>
        <w:spacing w:after="60"/>
        <w:ind w:left="360" w:hanging="259"/>
      </w:pPr>
      <w:r>
        <w:rPr>
          <w:rFonts w:ascii="Liberation Sans" w:hAnsi="Liberation Sans"/>
          <w:color w:val="1F2937"/>
          <w:sz w:val="20"/>
        </w:rPr>
        <w:t>☐ Keep inspection and contractor information accessible.</w:t>
      </w:r>
    </w:p>
    <w:p>
      <w:pPr>
        <w:pStyle w:val="Heading2"/>
        <w:spacing w:before="200" w:after="100"/>
      </w:pPr>
      <w:r>
        <w:rPr>
          <w:rFonts w:ascii="Liberation Sans" w:hAnsi="Liberation Sans"/>
          <w:b/>
          <w:color w:val="174A7E"/>
          <w:sz w:val="28"/>
        </w:rPr>
        <w:t>Utility Transfer Checklist</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Service</w:t>
            </w:r>
          </w:p>
        </w:tc>
        <w:tc>
          <w:tcPr>
            <w:tcW w:type="dxa" w:w="4939"/>
            <w:shd w:fill="174A7E"/>
            <w:tcMar>
              <w:top w:w="100" w:type="dxa"/>
              <w:start w:w="120" w:type="dxa"/>
              <w:bottom w:w="100" w:type="dxa"/>
              <w:end w:w="120" w:type="dxa"/>
            </w:tcMar>
          </w:tcPr>
          <w:p>
            <w:r>
              <w:rPr>
                <w:rFonts w:ascii="Liberation Sans" w:hAnsi="Liberation Sans"/>
                <w:b/>
                <w:color w:val="FFFFFF"/>
                <w:sz w:val="19"/>
              </w:rPr>
              <w:t>Details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Electric provider</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Company: __________________  Start date: __________  Account: 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Water/sewer or well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Provider/system contact: 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Propane/natural gas/oil</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Company: __________________  Tank owned/leased: 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Trash/recycling</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Provider and schedule: 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Internet</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Provider/speed/install date: 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Security</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Provider/codes/transfer: 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HOA/road/community well</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Contact, fees, payment method: ________________________</w:t>
            </w:r>
          </w:p>
        </w:tc>
      </w:tr>
    </w:tbl>
    <w:p>
      <w:pPr>
        <w:spacing w:after="40"/>
      </w:pPr>
    </w:p>
    <w:p>
      <w:pPr>
        <w:pStyle w:val="Heading2"/>
        <w:spacing w:before="200" w:after="100"/>
      </w:pPr>
      <w:r>
        <w:rPr>
          <w:rFonts w:ascii="Liberation Sans" w:hAnsi="Liberation Sans"/>
          <w:b/>
          <w:color w:val="174A7E"/>
          <w:sz w:val="28"/>
        </w:rPr>
        <w:t>First-Year Home Maintenance Calendar</w:t>
      </w:r>
    </w:p>
    <w:tbl>
      <w:tblPr>
        <w:tblW w:type="auto" w:w="0"/>
        <w:jc w:val="center"/>
        <w:tblLayout w:type="fixed"/>
        <w:tblLook w:firstColumn="1" w:firstRow="1" w:lastColumn="0" w:lastRow="0" w:noHBand="0" w:noVBand="1" w:val="04A0"/>
      </w:tblPr>
      <w:tblGrid>
        <w:gridCol w:w="2232"/>
        <w:gridCol w:w="3240"/>
        <w:gridCol w:w="3888"/>
      </w:tblGrid>
      <w:tr>
        <w:trPr>
          <w:tblHeader w:val="true"/>
          <w:cantSplit/>
        </w:trPr>
        <w:tc>
          <w:tcPr>
            <w:tcW w:type="dxa" w:w="3293"/>
            <w:shd w:fill="174A7E"/>
            <w:tcMar>
              <w:top w:w="100" w:type="dxa"/>
              <w:start w:w="120" w:type="dxa"/>
              <w:bottom w:w="100" w:type="dxa"/>
              <w:end w:w="120" w:type="dxa"/>
            </w:tcMar>
          </w:tcPr>
          <w:p>
            <w:r>
              <w:rPr>
                <w:rFonts w:ascii="Liberation Sans" w:hAnsi="Liberation Sans"/>
                <w:b/>
                <w:color w:val="FFFFFF"/>
                <w:sz w:val="18"/>
              </w:rPr>
              <w:t>Timing</w:t>
            </w:r>
          </w:p>
        </w:tc>
        <w:tc>
          <w:tcPr>
            <w:tcW w:type="dxa" w:w="3293"/>
            <w:shd w:fill="174A7E"/>
            <w:tcMar>
              <w:top w:w="100" w:type="dxa"/>
              <w:start w:w="120" w:type="dxa"/>
              <w:bottom w:w="100" w:type="dxa"/>
              <w:end w:w="120" w:type="dxa"/>
            </w:tcMar>
          </w:tcPr>
          <w:p>
            <w:r>
              <w:rPr>
                <w:rFonts w:ascii="Liberation Sans" w:hAnsi="Liberation Sans"/>
                <w:b/>
                <w:color w:val="FFFFFF"/>
                <w:sz w:val="18"/>
              </w:rPr>
              <w:t>Tasks</w:t>
            </w:r>
          </w:p>
        </w:tc>
        <w:tc>
          <w:tcPr>
            <w:tcW w:type="dxa" w:w="3293"/>
            <w:shd w:fill="174A7E"/>
            <w:tcMar>
              <w:top w:w="100" w:type="dxa"/>
              <w:start w:w="120" w:type="dxa"/>
              <w:bottom w:w="100" w:type="dxa"/>
              <w:end w:w="120" w:type="dxa"/>
            </w:tcMar>
          </w:tcPr>
          <w:p>
            <w:r>
              <w:rPr>
                <w:rFonts w:ascii="Liberation Sans" w:hAnsi="Liberation Sans"/>
                <w:b/>
                <w:color w:val="FFFFFF"/>
                <w:sz w:val="18"/>
              </w:rPr>
              <w:t>Notes</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Monthly</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Check filters, leaks, alarms, drains, moisture, pests, and unusual utility changes.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Create a simple recurring reminder.</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Spring</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Inspect roof, gutters, grading, exterior caulk, decks, HVAC cooling, septic area, and storm drainage.</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Address water before cosmetic work.</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Summer</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Maintain vegetation, watch crawlspace humidity, clean exterior equipment, service well treatment, and inspect driveways.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Rural growth can hide drainage and pest issues.</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Fall</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Service heating, clean gutters, inspect chimney/fireplace, winterize exterior faucets, and review generator/propane.</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Schedule contractors before cold weather.</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Winter</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Watch for frozen pipes, roof or gutter damage, indoor humidity, carbon monoxide, and emergency access.</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Keep shutoff and emergency information visible.</w:t>
            </w:r>
          </w:p>
        </w:tc>
      </w:tr>
      <w:tr>
        <w:trPr>
          <w:cantSplit/>
        </w:trPr>
        <w:tc>
          <w:tcPr>
            <w:tcW w:type="dxa" w:w="2232"/>
            <w:shd w:fill="F2F4F6"/>
            <w:tcMar>
              <w:top w:w="100" w:type="dxa"/>
              <w:start w:w="120" w:type="dxa"/>
              <w:bottom w:w="100" w:type="dxa"/>
              <w:end w:w="120" w:type="dxa"/>
            </w:tcMar>
            <w:vAlign w:val="top"/>
          </w:tcPr>
          <w:p>
            <w:r>
              <w:rPr>
                <w:rFonts w:ascii="Liberation Sans" w:hAnsi="Liberation Sans"/>
                <w:b/>
                <w:color w:val="123451"/>
                <w:sz w:val="17"/>
              </w:rPr>
              <w:t>Annually</w:t>
            </w:r>
          </w:p>
        </w:tc>
        <w:tc>
          <w:tcPr>
            <w:tcW w:type="dxa" w:w="3240"/>
            <w:shd w:fill="F2F4F6"/>
            <w:tcMar>
              <w:top w:w="100" w:type="dxa"/>
              <w:start w:w="120" w:type="dxa"/>
              <w:bottom w:w="100" w:type="dxa"/>
              <w:end w:w="120" w:type="dxa"/>
            </w:tcMar>
            <w:vAlign w:val="top"/>
          </w:tcPr>
          <w:p>
            <w:r>
              <w:rPr>
                <w:rFonts w:ascii="Liberation Sans" w:hAnsi="Liberation Sans"/>
                <w:b w:val="0"/>
                <w:color w:val="1F2937"/>
                <w:sz w:val="17"/>
              </w:rPr>
              <w:t>Review insurance, taxes, escrow, credit, estate documents, maintenance records, and reserve goals.</w:t>
            </w:r>
          </w:p>
        </w:tc>
        <w:tc>
          <w:tcPr>
            <w:tcW w:type="dxa" w:w="3888"/>
            <w:shd w:fill="F2F4F6"/>
            <w:tcMar>
              <w:top w:w="100" w:type="dxa"/>
              <w:start w:w="120" w:type="dxa"/>
              <w:bottom w:w="100" w:type="dxa"/>
              <w:end w:w="120" w:type="dxa"/>
            </w:tcMar>
            <w:vAlign w:val="top"/>
          </w:tcPr>
          <w:p>
            <w:r>
              <w:rPr>
                <w:rFonts w:ascii="Liberation Sans" w:hAnsi="Liberation Sans"/>
                <w:b w:val="0"/>
                <w:color w:val="1F2937"/>
                <w:sz w:val="17"/>
              </w:rPr>
              <w:t>Update replacement timelines.</w:t>
            </w:r>
          </w:p>
        </w:tc>
      </w:tr>
      <w:tr>
        <w:trPr>
          <w:cantSplit/>
        </w:trPr>
        <w:tc>
          <w:tcPr>
            <w:tcW w:type="dxa" w:w="2232"/>
            <w:shd w:fill="FFFFFF"/>
            <w:tcMar>
              <w:top w:w="100" w:type="dxa"/>
              <w:start w:w="120" w:type="dxa"/>
              <w:bottom w:w="100" w:type="dxa"/>
              <w:end w:w="120" w:type="dxa"/>
            </w:tcMar>
            <w:vAlign w:val="top"/>
          </w:tcPr>
          <w:p>
            <w:r>
              <w:rPr>
                <w:rFonts w:ascii="Liberation Sans" w:hAnsi="Liberation Sans"/>
                <w:b/>
                <w:color w:val="123451"/>
                <w:sz w:val="17"/>
              </w:rPr>
              <w:t>As recommended</w:t>
            </w:r>
          </w:p>
        </w:tc>
        <w:tc>
          <w:tcPr>
            <w:tcW w:type="dxa" w:w="3240"/>
            <w:shd w:fill="FFFFFF"/>
            <w:tcMar>
              <w:top w:w="100" w:type="dxa"/>
              <w:start w:w="120" w:type="dxa"/>
              <w:bottom w:w="100" w:type="dxa"/>
              <w:end w:w="120" w:type="dxa"/>
            </w:tcMar>
            <w:vAlign w:val="top"/>
          </w:tcPr>
          <w:p>
            <w:r>
              <w:rPr>
                <w:rFonts w:ascii="Liberation Sans" w:hAnsi="Liberation Sans"/>
                <w:b w:val="0"/>
                <w:color w:val="1F2937"/>
                <w:sz w:val="17"/>
              </w:rPr>
              <w:t>Pump septic, test well, mitigate radon, service HVAC, inspect chimney, and maintain private road.</w:t>
            </w:r>
          </w:p>
        </w:tc>
        <w:tc>
          <w:tcPr>
            <w:tcW w:type="dxa" w:w="3888"/>
            <w:shd w:fill="FFFFFF"/>
            <w:tcMar>
              <w:top w:w="100" w:type="dxa"/>
              <w:start w:w="120" w:type="dxa"/>
              <w:bottom w:w="100" w:type="dxa"/>
              <w:end w:w="120" w:type="dxa"/>
            </w:tcMar>
            <w:vAlign w:val="top"/>
          </w:tcPr>
          <w:p>
            <w:r>
              <w:rPr>
                <w:rFonts w:ascii="Liberation Sans" w:hAnsi="Liberation Sans"/>
                <w:b w:val="0"/>
                <w:color w:val="1F2937"/>
                <w:sz w:val="17"/>
              </w:rPr>
              <w:t>Follow system-specific professional guidance.</w:t>
            </w:r>
          </w:p>
        </w:tc>
      </w:tr>
    </w:tbl>
    <w:p>
      <w:pPr>
        <w:spacing w:after="40"/>
      </w:pPr>
    </w:p>
    <w:p>
      <w:pPr>
        <w:pStyle w:val="Heading2"/>
        <w:spacing w:before="200" w:after="100"/>
      </w:pPr>
      <w:r>
        <w:rPr>
          <w:rFonts w:ascii="Liberation Sans" w:hAnsi="Liberation Sans"/>
          <w:b/>
          <w:color w:val="174A7E"/>
          <w:sz w:val="28"/>
        </w:rPr>
        <w:t>Home Systems Inventory</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System</w:t>
            </w:r>
          </w:p>
        </w:tc>
        <w:tc>
          <w:tcPr>
            <w:tcW w:type="dxa" w:w="4939"/>
            <w:shd w:fill="174A7E"/>
            <w:tcMar>
              <w:top w:w="100" w:type="dxa"/>
              <w:start w:w="120" w:type="dxa"/>
              <w:bottom w:w="100" w:type="dxa"/>
              <w:end w:w="120" w:type="dxa"/>
            </w:tcMar>
          </w:tcPr>
          <w:p>
            <w:r>
              <w:rPr>
                <w:rFonts w:ascii="Liberation Sans" w:hAnsi="Liberation Sans"/>
                <w:b/>
                <w:color w:val="FFFFFF"/>
                <w:sz w:val="19"/>
              </w:rPr>
              <w:t>Details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Roof</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Type/age/warranty: 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HVAC</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Type/age/service company: ________________________________________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Water heater</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Type/age/location: 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Electrical panel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Location/main shutoff: 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Water shutoff</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Location: __________________________________________________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Well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Depth/pump/treatment/contact: _____________________________________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Septic</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Tank/field/permit/pump date: 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Propane or fuel</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Tank ownership/provider: __________________________________</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Generator</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Type/fuel/service: _____________________________________________</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Insurance</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Carrier/policy/deductible/contact: ______________________________</w:t>
            </w:r>
          </w:p>
        </w:tc>
      </w:tr>
    </w:tbl>
    <w:p>
      <w:pPr>
        <w:spacing w:after="40"/>
      </w:pPr>
    </w:p>
    <w:p>
      <w:pPr>
        <w:pageBreakBefore/>
        <w:spacing w:before="120" w:after="40"/>
      </w:pPr>
      <w:r>
        <w:rPr>
          <w:rFonts w:ascii="Liberation Sans" w:hAnsi="Liberation Sans"/>
          <w:b/>
          <w:color w:val="D71920"/>
          <w:sz w:val="20"/>
        </w:rPr>
        <w:t>CHAPTER FAQ</w:t>
      </w:r>
    </w:p>
    <w:p>
      <w:pPr>
        <w:pStyle w:val="TitleChapter"/>
        <w:spacing w:after="80"/>
      </w:pPr>
      <w:r>
        <w:rPr>
          <w:rFonts w:ascii="Liberation Sans" w:hAnsi="Liberation Sans"/>
          <w:b/>
          <w:color w:val="123451"/>
          <w:sz w:val="46"/>
        </w:rPr>
        <w:t>Frequently Asked Questions</w:t>
      </w:r>
    </w:p>
    <w:p>
      <w:pPr>
        <w:spacing w:after="280"/>
      </w:pPr>
      <w:r>
        <w:rPr>
          <w:rFonts w:ascii="Liberation Sans" w:hAnsi="Liberation Sans"/>
          <w:i/>
          <w:color w:val="6B7280"/>
          <w:sz w:val="22"/>
        </w:rPr>
        <w:t>Plain-language answers to questions buyers ask every week.</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spacing w:before="140" w:after="40"/>
      </w:pPr>
      <w:r>
        <w:rPr>
          <w:rFonts w:ascii="Liberation Sans" w:hAnsi="Liberation Sans"/>
          <w:b/>
          <w:color w:val="174A7E"/>
          <w:sz w:val="22"/>
        </w:rPr>
        <w:t>How much down payment do I need?</w:t>
      </w:r>
    </w:p>
    <w:p>
      <w:pPr>
        <w:pStyle w:val="BodyText"/>
        <w:keepLines w:val="0"/>
        <w:spacing w:after="100"/>
      </w:pPr>
      <w:r>
        <w:rPr>
          <w:rFonts w:ascii="Liberation Sans" w:hAnsi="Liberation Sans"/>
          <w:i w:val="0"/>
          <w:color w:val="1F2937"/>
          <w:sz w:val="21"/>
        </w:rPr>
        <w:t>It depends on the loan. Eligible options may range from no down payment to 3%, 3.5%, 5%, or more. Down payment is separate from closing costs, deposits, inspections, and reserves.</w:t>
      </w:r>
    </w:p>
    <w:p>
      <w:pPr>
        <w:spacing w:before="140" w:after="40"/>
      </w:pPr>
      <w:r>
        <w:rPr>
          <w:rFonts w:ascii="Liberation Sans" w:hAnsi="Liberation Sans"/>
          <w:b/>
          <w:color w:val="174A7E"/>
          <w:sz w:val="22"/>
        </w:rPr>
        <w:t>Do I need 20% down?</w:t>
      </w:r>
    </w:p>
    <w:p>
      <w:pPr>
        <w:pStyle w:val="BodyText"/>
        <w:keepLines w:val="0"/>
        <w:spacing w:after="100"/>
      </w:pPr>
      <w:r>
        <w:rPr>
          <w:rFonts w:ascii="Liberation Sans" w:hAnsi="Liberation Sans"/>
          <w:i w:val="0"/>
          <w:color w:val="1F2937"/>
          <w:sz w:val="21"/>
        </w:rPr>
        <w:t>No. Twenty percent may eliminate certain mortgage insurance on some conventional loans, but many buyers use lower-down-payment programs.</w:t>
      </w:r>
    </w:p>
    <w:p>
      <w:pPr>
        <w:spacing w:before="140" w:after="40"/>
      </w:pPr>
      <w:r>
        <w:rPr>
          <w:rFonts w:ascii="Liberation Sans" w:hAnsi="Liberation Sans"/>
          <w:b/>
          <w:color w:val="174A7E"/>
          <w:sz w:val="22"/>
        </w:rPr>
        <w:t>What credit score is required?</w:t>
      </w:r>
    </w:p>
    <w:p>
      <w:pPr>
        <w:pStyle w:val="BodyText"/>
        <w:keepLines w:val="0"/>
        <w:spacing w:after="100"/>
      </w:pPr>
      <w:r>
        <w:rPr>
          <w:rFonts w:ascii="Liberation Sans" w:hAnsi="Liberation Sans"/>
          <w:i w:val="0"/>
          <w:color w:val="1F2937"/>
          <w:sz w:val="21"/>
        </w:rPr>
        <w:t>There is no universal score. Program rules, automated underwriting, lender overlays, income, debts, assets, reserves, payment history, and property all matter.</w:t>
      </w:r>
    </w:p>
    <w:p>
      <w:pPr>
        <w:spacing w:before="140" w:after="40"/>
      </w:pPr>
      <w:r>
        <w:rPr>
          <w:rFonts w:ascii="Liberation Sans" w:hAnsi="Liberation Sans"/>
          <w:b/>
          <w:color w:val="174A7E"/>
          <w:sz w:val="22"/>
        </w:rPr>
        <w:t>Can I buy after bankruptcy?</w:t>
      </w:r>
    </w:p>
    <w:p>
      <w:pPr>
        <w:pStyle w:val="BodyText"/>
        <w:keepLines w:val="0"/>
        <w:spacing w:after="100"/>
      </w:pPr>
      <w:r>
        <w:rPr>
          <w:rFonts w:ascii="Liberation Sans" w:hAnsi="Liberation Sans"/>
          <w:i w:val="0"/>
          <w:color w:val="1F2937"/>
          <w:sz w:val="21"/>
        </w:rPr>
        <w:t>Possibly. Waiting periods and exceptions vary by bankruptcy type, loan program, discharge or dismissal date, re-established credit, and circumstances.</w:t>
      </w:r>
    </w:p>
    <w:p>
      <w:pPr>
        <w:spacing w:before="140" w:after="40"/>
      </w:pPr>
      <w:r>
        <w:rPr>
          <w:rFonts w:ascii="Liberation Sans" w:hAnsi="Liberation Sans"/>
          <w:b/>
          <w:color w:val="174A7E"/>
          <w:sz w:val="22"/>
        </w:rPr>
        <w:t>Can I buy after foreclosure or short sale?</w:t>
      </w:r>
    </w:p>
    <w:p>
      <w:pPr>
        <w:pStyle w:val="BodyText"/>
        <w:keepLines w:val="0"/>
        <w:spacing w:after="100"/>
      </w:pPr>
      <w:r>
        <w:rPr>
          <w:rFonts w:ascii="Liberation Sans" w:hAnsi="Liberation Sans"/>
          <w:i w:val="0"/>
          <w:color w:val="1F2937"/>
          <w:sz w:val="21"/>
        </w:rPr>
        <w:t>Possibly. Program-specific waiting periods and documentation apply. Begin planning well before the desired purchase date.</w:t>
      </w:r>
    </w:p>
    <w:p>
      <w:pPr>
        <w:spacing w:before="140" w:after="40"/>
      </w:pPr>
      <w:r>
        <w:rPr>
          <w:rFonts w:ascii="Liberation Sans" w:hAnsi="Liberation Sans"/>
          <w:b/>
          <w:color w:val="174A7E"/>
          <w:sz w:val="22"/>
        </w:rPr>
        <w:t>Can I use gift funds?</w:t>
      </w:r>
    </w:p>
    <w:p>
      <w:pPr>
        <w:pStyle w:val="BodyText"/>
        <w:keepLines w:val="0"/>
        <w:spacing w:after="100"/>
      </w:pPr>
      <w:r>
        <w:rPr>
          <w:rFonts w:ascii="Liberation Sans" w:hAnsi="Liberation Sans"/>
          <w:i w:val="0"/>
          <w:color w:val="1F2937"/>
          <w:sz w:val="21"/>
        </w:rPr>
        <w:t>Many programs allow gifts from acceptable donors. The lender must document the donor, relationship, source, transfer, and absence of repayment.</w:t>
      </w:r>
    </w:p>
    <w:p>
      <w:pPr>
        <w:spacing w:before="140" w:after="40"/>
      </w:pPr>
      <w:r>
        <w:rPr>
          <w:rFonts w:ascii="Liberation Sans" w:hAnsi="Liberation Sans"/>
          <w:b/>
          <w:color w:val="174A7E"/>
          <w:sz w:val="22"/>
        </w:rPr>
        <w:t>Can I use cash I saved at home?</w:t>
      </w:r>
    </w:p>
    <w:p>
      <w:pPr>
        <w:pStyle w:val="BodyText"/>
        <w:keepLines w:val="0"/>
        <w:spacing w:after="100"/>
      </w:pPr>
      <w:r>
        <w:rPr>
          <w:rFonts w:ascii="Liberation Sans" w:hAnsi="Liberation Sans"/>
          <w:i w:val="0"/>
          <w:color w:val="1F2937"/>
          <w:sz w:val="21"/>
        </w:rPr>
        <w:t>Cash that cannot be documented may not be acceptable for mortgage funds. Deposit and sourcing rules vary. Ask before moving it.</w:t>
      </w:r>
    </w:p>
    <w:p>
      <w:pPr>
        <w:spacing w:before="140" w:after="40"/>
      </w:pPr>
      <w:r>
        <w:rPr>
          <w:rFonts w:ascii="Liberation Sans" w:hAnsi="Liberation Sans"/>
          <w:b/>
          <w:color w:val="174A7E"/>
          <w:sz w:val="22"/>
        </w:rPr>
        <w:t>Can I change jobs while buying?</w:t>
      </w:r>
    </w:p>
    <w:p>
      <w:pPr>
        <w:pStyle w:val="BodyText"/>
        <w:keepLines w:val="0"/>
        <w:spacing w:after="100"/>
      </w:pPr>
      <w:r>
        <w:rPr>
          <w:rFonts w:ascii="Liberation Sans" w:hAnsi="Liberation Sans"/>
          <w:i w:val="0"/>
          <w:color w:val="1F2937"/>
          <w:sz w:val="21"/>
        </w:rPr>
        <w:t>A job change can affect income continuity and approval. Some changes are manageable; others are not. Discuss the details before acting.</w:t>
      </w:r>
    </w:p>
    <w:p>
      <w:pPr>
        <w:spacing w:before="140" w:after="40"/>
      </w:pPr>
      <w:r>
        <w:rPr>
          <w:rFonts w:ascii="Liberation Sans" w:hAnsi="Liberation Sans"/>
          <w:b/>
          <w:color w:val="174A7E"/>
          <w:sz w:val="22"/>
        </w:rPr>
        <w:t>Can I buy a manufactured home?</w:t>
      </w:r>
    </w:p>
    <w:p>
      <w:pPr>
        <w:pStyle w:val="BodyText"/>
        <w:keepLines w:val="0"/>
        <w:spacing w:after="100"/>
      </w:pPr>
      <w:r>
        <w:rPr>
          <w:rFonts w:ascii="Liberation Sans" w:hAnsi="Liberation Sans"/>
          <w:i w:val="0"/>
          <w:color w:val="1F2937"/>
          <w:sz w:val="21"/>
        </w:rPr>
        <w:t>Yes, with eligible financing and property conditions. Title status, foundation, HUD labels, data plate, moving history, age, additions, land, and insurance may matter.</w:t>
      </w:r>
    </w:p>
    <w:p>
      <w:pPr>
        <w:spacing w:before="140" w:after="40"/>
      </w:pPr>
      <w:r>
        <w:rPr>
          <w:rFonts w:ascii="Liberation Sans" w:hAnsi="Liberation Sans"/>
          <w:b/>
          <w:color w:val="174A7E"/>
          <w:sz w:val="22"/>
        </w:rPr>
        <w:t>Does the home inspection determine value?</w:t>
      </w:r>
    </w:p>
    <w:p>
      <w:pPr>
        <w:pStyle w:val="BodyText"/>
        <w:keepLines w:val="0"/>
        <w:spacing w:after="100"/>
      </w:pPr>
      <w:r>
        <w:rPr>
          <w:rFonts w:ascii="Liberation Sans" w:hAnsi="Liberation Sans"/>
          <w:i w:val="0"/>
          <w:color w:val="1F2937"/>
          <w:sz w:val="21"/>
        </w:rPr>
        <w:t>No. The inspection evaluates condition within its scope. The appraisal addresses value and lender property requirements.</w:t>
      </w:r>
    </w:p>
    <w:p>
      <w:pPr>
        <w:spacing w:before="140" w:after="40"/>
      </w:pPr>
      <w:r>
        <w:rPr>
          <w:rFonts w:ascii="Liberation Sans" w:hAnsi="Liberation Sans"/>
          <w:b/>
          <w:color w:val="174A7E"/>
          <w:sz w:val="22"/>
        </w:rPr>
        <w:t>Does an appraisal guarantee the house is safe?</w:t>
      </w:r>
    </w:p>
    <w:p>
      <w:pPr>
        <w:pStyle w:val="BodyText"/>
        <w:keepLines w:val="0"/>
        <w:spacing w:after="100"/>
      </w:pPr>
      <w:r>
        <w:rPr>
          <w:rFonts w:ascii="Liberation Sans" w:hAnsi="Liberation Sans"/>
          <w:i w:val="0"/>
          <w:color w:val="1F2937"/>
          <w:sz w:val="21"/>
        </w:rPr>
        <w:t>No. An appraisal is not a full home inspection or warranty.</w:t>
      </w:r>
    </w:p>
    <w:p>
      <w:pPr>
        <w:spacing w:before="140" w:after="40"/>
      </w:pPr>
      <w:r>
        <w:rPr>
          <w:rFonts w:ascii="Liberation Sans" w:hAnsi="Liberation Sans"/>
          <w:b/>
          <w:color w:val="174A7E"/>
          <w:sz w:val="22"/>
        </w:rPr>
        <w:t>Can the seller refuse repairs?</w:t>
      </w:r>
    </w:p>
    <w:p>
      <w:pPr>
        <w:pStyle w:val="BodyText"/>
        <w:keepLines w:val="0"/>
        <w:spacing w:after="100"/>
      </w:pPr>
      <w:r>
        <w:rPr>
          <w:rFonts w:ascii="Liberation Sans" w:hAnsi="Liberation Sans"/>
          <w:i w:val="0"/>
          <w:color w:val="1F2937"/>
          <w:sz w:val="21"/>
        </w:rPr>
        <w:t>Generally, repair requests are negotiable unless the seller already agreed in writing. The buyer must decide whether to accept, renegotiate, or terminate within contractual rights.</w:t>
      </w:r>
    </w:p>
    <w:p>
      <w:pPr>
        <w:spacing w:before="140" w:after="40"/>
      </w:pPr>
      <w:r>
        <w:rPr>
          <w:rFonts w:ascii="Liberation Sans" w:hAnsi="Liberation Sans"/>
          <w:b/>
          <w:color w:val="174A7E"/>
          <w:sz w:val="22"/>
        </w:rPr>
        <w:t>Do I get the due diligence fee back?</w:t>
      </w:r>
    </w:p>
    <w:p>
      <w:pPr>
        <w:pStyle w:val="BodyText"/>
        <w:keepLines w:val="0"/>
        <w:spacing w:after="100"/>
      </w:pPr>
      <w:r>
        <w:rPr>
          <w:rFonts w:ascii="Liberation Sans" w:hAnsi="Liberation Sans"/>
          <w:i w:val="0"/>
          <w:color w:val="1F2937"/>
          <w:sz w:val="21"/>
        </w:rPr>
        <w:t>It is generally credited at closing. If the transaction terminates, it is generally nonrefundable except in limited contractual circumstances.</w:t>
      </w:r>
    </w:p>
    <w:p>
      <w:pPr>
        <w:spacing w:before="140" w:after="40"/>
      </w:pPr>
      <w:r>
        <w:rPr>
          <w:rFonts w:ascii="Liberation Sans" w:hAnsi="Liberation Sans"/>
          <w:b/>
          <w:color w:val="174A7E"/>
          <w:sz w:val="22"/>
        </w:rPr>
        <w:t>Do I get earnest money back?</w:t>
      </w:r>
    </w:p>
    <w:p>
      <w:pPr>
        <w:pStyle w:val="BodyText"/>
        <w:keepLines w:val="0"/>
        <w:spacing w:after="100"/>
      </w:pPr>
      <w:r>
        <w:rPr>
          <w:rFonts w:ascii="Liberation Sans" w:hAnsi="Liberation Sans"/>
          <w:i w:val="0"/>
          <w:color w:val="1F2937"/>
          <w:sz w:val="21"/>
        </w:rPr>
        <w:t>It may be refundable after proper termination during due diligence under the standard contract. It can be at risk after the deadline or in a breach. Read the signed contract.</w:t>
      </w:r>
    </w:p>
    <w:p>
      <w:pPr>
        <w:spacing w:before="140" w:after="40"/>
      </w:pPr>
      <w:r>
        <w:rPr>
          <w:rFonts w:ascii="Liberation Sans" w:hAnsi="Liberation Sans"/>
          <w:b/>
          <w:color w:val="174A7E"/>
          <w:sz w:val="22"/>
        </w:rPr>
        <w:t>What if the house does not appraise?</w:t>
      </w:r>
    </w:p>
    <w:p>
      <w:pPr>
        <w:pStyle w:val="BodyText"/>
        <w:keepLines w:val="0"/>
        <w:spacing w:after="100"/>
      </w:pPr>
      <w:r>
        <w:rPr>
          <w:rFonts w:ascii="Liberation Sans" w:hAnsi="Liberation Sans"/>
          <w:i w:val="0"/>
          <w:color w:val="1F2937"/>
          <w:sz w:val="21"/>
        </w:rPr>
        <w:t>Options may include price negotiation, buyer funds, reconsideration of value, loan restructuring, or termination if the contract permits. Do not assume an automatic right without reviewing the contract.</w:t>
      </w:r>
    </w:p>
    <w:p>
      <w:pPr>
        <w:spacing w:before="140" w:after="40"/>
      </w:pPr>
      <w:r>
        <w:rPr>
          <w:rFonts w:ascii="Liberation Sans" w:hAnsi="Liberation Sans"/>
          <w:b/>
          <w:color w:val="174A7E"/>
          <w:sz w:val="22"/>
        </w:rPr>
        <w:t>Can the seller pay my closing costs?</w:t>
      </w:r>
    </w:p>
    <w:p>
      <w:pPr>
        <w:pStyle w:val="BodyText"/>
        <w:keepLines w:val="0"/>
        <w:spacing w:after="100"/>
      </w:pPr>
      <w:r>
        <w:rPr>
          <w:rFonts w:ascii="Liberation Sans" w:hAnsi="Liberation Sans"/>
          <w:i w:val="0"/>
          <w:color w:val="1F2937"/>
          <w:sz w:val="21"/>
        </w:rPr>
        <w:t>The seller may agree to pay allowable costs within loan-program and appraisal limits. The credit must be written into the contract or amendment.</w:t>
      </w:r>
    </w:p>
    <w:p>
      <w:pPr>
        <w:spacing w:before="140" w:after="40"/>
      </w:pPr>
      <w:r>
        <w:rPr>
          <w:rFonts w:ascii="Liberation Sans" w:hAnsi="Liberation Sans"/>
          <w:b/>
          <w:color w:val="174A7E"/>
          <w:sz w:val="22"/>
        </w:rPr>
        <w:t>When do I get the keys?</w:t>
      </w:r>
    </w:p>
    <w:p>
      <w:pPr>
        <w:pStyle w:val="BodyText"/>
        <w:keepLines w:val="0"/>
        <w:spacing w:after="100"/>
      </w:pPr>
      <w:r>
        <w:rPr>
          <w:rFonts w:ascii="Liberation Sans" w:hAnsi="Liberation Sans"/>
          <w:i w:val="0"/>
          <w:color w:val="1F2937"/>
          <w:sz w:val="21"/>
        </w:rPr>
        <w:t>Usually after the deed records and the closing attorney confirms completion, unless a different written possession agreement applies.</w:t>
      </w:r>
    </w:p>
    <w:p>
      <w:pPr>
        <w:spacing w:before="140" w:after="40"/>
      </w:pPr>
      <w:r>
        <w:rPr>
          <w:rFonts w:ascii="Liberation Sans" w:hAnsi="Liberation Sans"/>
          <w:b/>
          <w:color w:val="174A7E"/>
          <w:sz w:val="22"/>
        </w:rPr>
        <w:t>Can I move things in before closing?</w:t>
      </w:r>
    </w:p>
    <w:p>
      <w:pPr>
        <w:pStyle w:val="BodyText"/>
        <w:keepLines w:val="0"/>
        <w:spacing w:after="100"/>
      </w:pPr>
      <w:r>
        <w:rPr>
          <w:rFonts w:ascii="Liberation Sans" w:hAnsi="Liberation Sans"/>
          <w:i w:val="0"/>
          <w:color w:val="1F2937"/>
          <w:sz w:val="21"/>
        </w:rPr>
        <w:t>Not without the seller’s express permission and a written agreement addressing possession, liability, insurance, utilities, and risk. Early possession is generally discouraged.</w:t>
      </w:r>
    </w:p>
    <w:p>
      <w:pPr>
        <w:spacing w:before="140" w:after="40"/>
      </w:pPr>
      <w:r>
        <w:rPr>
          <w:rFonts w:ascii="Liberation Sans" w:hAnsi="Liberation Sans"/>
          <w:b/>
          <w:color w:val="174A7E"/>
          <w:sz w:val="22"/>
        </w:rPr>
        <w:t>Can I buy with an ITIN?</w:t>
      </w:r>
    </w:p>
    <w:p>
      <w:pPr>
        <w:pStyle w:val="BodyText"/>
        <w:keepLines w:val="0"/>
        <w:spacing w:after="100"/>
      </w:pPr>
      <w:r>
        <w:rPr>
          <w:rFonts w:ascii="Liberation Sans" w:hAnsi="Liberation Sans"/>
          <w:i w:val="0"/>
          <w:color w:val="1F2937"/>
          <w:sz w:val="21"/>
        </w:rPr>
        <w:t>Some lenders offer ITIN products. Terms and documentation vary, and the loan does not determine immigration status.</w:t>
      </w:r>
    </w:p>
    <w:p>
      <w:pPr>
        <w:spacing w:before="140" w:after="40"/>
      </w:pPr>
      <w:r>
        <w:rPr>
          <w:rFonts w:ascii="Liberation Sans" w:hAnsi="Liberation Sans"/>
          <w:b/>
          <w:color w:val="174A7E"/>
          <w:sz w:val="22"/>
        </w:rPr>
        <w:t>Should I waive inspections to win an offer?</w:t>
      </w:r>
    </w:p>
    <w:p>
      <w:pPr>
        <w:pStyle w:val="BodyText"/>
        <w:keepLines w:val="0"/>
        <w:spacing w:after="100"/>
      </w:pPr>
      <w:r>
        <w:rPr>
          <w:rFonts w:ascii="Liberation Sans" w:hAnsi="Liberation Sans"/>
          <w:i w:val="0"/>
          <w:color w:val="1F2937"/>
          <w:sz w:val="21"/>
        </w:rPr>
        <w:t>Waiving investigation can create significant financial risk. Consider the property, your reserves, market conditions, and professional advice before limiting rights.</w:t>
      </w:r>
    </w:p>
    <w:p>
      <w:pPr>
        <w:pageBreakBefore/>
        <w:spacing w:before="120" w:after="40"/>
      </w:pPr>
      <w:r>
        <w:rPr>
          <w:rFonts w:ascii="Liberation Sans" w:hAnsi="Liberation Sans"/>
          <w:b/>
          <w:color w:val="D71920"/>
          <w:sz w:val="20"/>
        </w:rPr>
        <w:t>CHAPTER GLOSSARY</w:t>
      </w:r>
    </w:p>
    <w:p>
      <w:pPr>
        <w:pStyle w:val="TitleChapter"/>
        <w:spacing w:after="80"/>
      </w:pPr>
      <w:r>
        <w:rPr>
          <w:rFonts w:ascii="Liberation Sans" w:hAnsi="Liberation Sans"/>
          <w:b/>
          <w:color w:val="123451"/>
          <w:sz w:val="46"/>
        </w:rPr>
        <w:t>Homebuying Terms in Plain Language</w:t>
      </w:r>
    </w:p>
    <w:p>
      <w:pPr>
        <w:spacing w:after="280"/>
      </w:pPr>
      <w:r>
        <w:rPr>
          <w:rFonts w:ascii="Liberation Sans" w:hAnsi="Liberation Sans"/>
          <w:i/>
          <w:color w:val="6B7280"/>
          <w:sz w:val="22"/>
        </w:rPr>
        <w:t>A quick reference for conversations, documents, and deadlines.</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tbl>
      <w:tblPr>
        <w:tblW w:type="auto" w:w="0"/>
        <w:jc w:val="center"/>
        <w:tblLayout w:type="fixed"/>
        <w:tblLook w:firstColumn="1" w:firstRow="1" w:lastColumn="0" w:lastRow="0" w:noHBand="0" w:noVBand="1" w:val="04A0"/>
      </w:tblPr>
      <w:tblGrid>
        <w:gridCol w:w="2448"/>
        <w:gridCol w:w="6912"/>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Term</w:t>
            </w:r>
          </w:p>
        </w:tc>
        <w:tc>
          <w:tcPr>
            <w:tcW w:type="dxa" w:w="4939"/>
            <w:shd w:fill="174A7E"/>
            <w:tcMar>
              <w:top w:w="100" w:type="dxa"/>
              <w:start w:w="120" w:type="dxa"/>
              <w:bottom w:w="100" w:type="dxa"/>
              <w:end w:w="120" w:type="dxa"/>
            </w:tcMar>
          </w:tcPr>
          <w:p>
            <w:r>
              <w:rPr>
                <w:rFonts w:ascii="Liberation Sans" w:hAnsi="Liberation Sans"/>
                <w:b/>
                <w:color w:val="FFFFFF"/>
                <w:sz w:val="19"/>
              </w:rPr>
              <w:t>Meaning</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Appraisal</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lender-ordered opinion of market value and property acceptability.</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APR</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Annual Percentage Rate, a standardized measure reflecting interest and certain loan costs.</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Closing</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Completion of the real estate transfer. In common North Carolina contract usage, closing occurs upon deed recordation.</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Closing Disclosure</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 federal mortgage form showing final loan terms, payment, and closing costs.</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Collateral</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The property that secures the mortgage loan.</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Comparable sale</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 recent sale used to help evaluate market value.</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Contingency</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contractual condition or right tied to a specified event. Do not assume one exists unless it is written.</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Deed</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The legal instrument used to transfer title to real property.</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Deed of trust</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The security instrument used for many North Carolina mortgage loans.</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Debt-to-income ratio</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 comparison of qualifying monthly debts with gross monthly income.</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Down payment</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The buyer’s contribution toward the purchase price, excluding most closing costs.</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Due diligence</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The buyer’s contractual investigation and decision process during the negotiated period.</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Due diligence fee</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negotiated fee paid to the seller for the due diligence right under common North Carolina practice.</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Earnest money deposit</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 negotiated deposit generally held in escrow and governed by the contract.</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Equity</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The difference between property value and debt secured by the property.</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Escrow</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An arrangement in which funds or documents are held by a neutral party; also used for lender collection of taxes and insurance.</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Fixed-rate mortgage</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loan with an interest rate that does not change during the fixed term.</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Flood zone</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 mapped area with a particular flood-risk designation. Insurance and lender requirements may apply.</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Homeowners association</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An organization that may enforce restrictions and collect dues for a community.</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Inspection</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An evaluation of accessible property systems and conditions within the inspector’s scope.</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Loan Estimate</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federal form summarizing estimated mortgage terms, payment, and closing costs.</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Loan-to-value ratio</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The loan amount compared with the property value or purchase price under program rules.</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Mortgage insurance</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Coverage that protects the lender or guarantor when required by the loan program.</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Pre-approval</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A lender’s conditional assessment based on reviewed borrower information; not final loan approval.</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Prepaid expense</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cost paid at closing for a future period, such as interest or insurance.</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Principal</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The amount borrowed or the remaining loan balance, excluding interest.</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Private road agreement</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written agreement addressing access and maintenance of a non-public road.</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Recording</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Filing a legal instrument in the county public records.</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Seller concession</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An agreed seller contribution toward allowable buyer transaction costs.</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Settlement</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The document-signing and funds-coordination process before final recording and disbursement.</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Survey</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A professional depiction of boundaries, improvements, easements, and potential encroachments.</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Title</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Legal ownership rights in real property.</w:t>
            </w:r>
          </w:p>
        </w:tc>
      </w:tr>
      <w:tr>
        <w:trPr>
          <w:cantSplit/>
        </w:trPr>
        <w:tc>
          <w:tcPr>
            <w:tcW w:type="dxa" w:w="2448"/>
            <w:shd w:fill="FFFFFF"/>
            <w:tcMar>
              <w:top w:w="100" w:type="dxa"/>
              <w:start w:w="120" w:type="dxa"/>
              <w:bottom w:w="100" w:type="dxa"/>
              <w:end w:w="120" w:type="dxa"/>
            </w:tcMar>
            <w:vAlign w:val="top"/>
          </w:tcPr>
          <w:p>
            <w:r>
              <w:rPr>
                <w:rFonts w:ascii="Liberation Sans" w:hAnsi="Liberation Sans"/>
                <w:b/>
                <w:color w:val="123451"/>
                <w:sz w:val="19"/>
              </w:rPr>
              <w:t>Title insurance</w:t>
            </w:r>
          </w:p>
        </w:tc>
        <w:tc>
          <w:tcPr>
            <w:tcW w:type="dxa" w:w="6912"/>
            <w:shd w:fill="FFFFFF"/>
            <w:tcMar>
              <w:top w:w="100" w:type="dxa"/>
              <w:start w:w="120" w:type="dxa"/>
              <w:bottom w:w="100" w:type="dxa"/>
              <w:end w:w="120" w:type="dxa"/>
            </w:tcMar>
            <w:vAlign w:val="top"/>
          </w:tcPr>
          <w:p>
            <w:r>
              <w:rPr>
                <w:rFonts w:ascii="Liberation Sans" w:hAnsi="Liberation Sans"/>
                <w:color w:val="1F2937"/>
                <w:sz w:val="19"/>
              </w:rPr>
              <w:t>Insurance against covered title defects, subject to policy terms and exclusions.</w:t>
            </w:r>
          </w:p>
        </w:tc>
      </w:tr>
      <w:tr>
        <w:trPr>
          <w:cantSplit/>
        </w:trPr>
        <w:tc>
          <w:tcPr>
            <w:tcW w:type="dxa" w:w="2448"/>
            <w:shd w:fill="F2F4F6"/>
            <w:tcMar>
              <w:top w:w="100" w:type="dxa"/>
              <w:start w:w="120" w:type="dxa"/>
              <w:bottom w:w="100" w:type="dxa"/>
              <w:end w:w="120" w:type="dxa"/>
            </w:tcMar>
            <w:vAlign w:val="top"/>
          </w:tcPr>
          <w:p>
            <w:r>
              <w:rPr>
                <w:rFonts w:ascii="Liberation Sans" w:hAnsi="Liberation Sans"/>
                <w:b/>
                <w:color w:val="123451"/>
                <w:sz w:val="19"/>
              </w:rPr>
              <w:t>Underwriting</w:t>
            </w:r>
          </w:p>
        </w:tc>
        <w:tc>
          <w:tcPr>
            <w:tcW w:type="dxa" w:w="6912"/>
            <w:shd w:fill="F2F4F6"/>
            <w:tcMar>
              <w:top w:w="100" w:type="dxa"/>
              <w:start w:w="120" w:type="dxa"/>
              <w:bottom w:w="100" w:type="dxa"/>
              <w:end w:w="120" w:type="dxa"/>
            </w:tcMar>
            <w:vAlign w:val="top"/>
          </w:tcPr>
          <w:p>
            <w:r>
              <w:rPr>
                <w:rFonts w:ascii="Liberation Sans" w:hAnsi="Liberation Sans"/>
                <w:color w:val="1F2937"/>
                <w:sz w:val="19"/>
              </w:rPr>
              <w:t>The lender’s evaluation of borrower, property, documentation, and program eligibility.</w:t>
            </w:r>
          </w:p>
        </w:tc>
      </w:tr>
    </w:tbl>
    <w:p>
      <w:pPr>
        <w:spacing w:after="40"/>
      </w:pPr>
    </w:p>
    <w:p>
      <w:pPr>
        <w:pageBreakBefore/>
        <w:spacing w:before="120" w:after="40"/>
      </w:pPr>
      <w:r>
        <w:rPr>
          <w:rFonts w:ascii="Liberation Sans" w:hAnsi="Liberation Sans"/>
          <w:b/>
          <w:color w:val="D71920"/>
          <w:sz w:val="20"/>
        </w:rPr>
        <w:t>CHAPTER ABOUT</w:t>
      </w:r>
    </w:p>
    <w:p>
      <w:pPr>
        <w:pStyle w:val="TitleChapter"/>
        <w:spacing w:after="80"/>
      </w:pPr>
      <w:r>
        <w:rPr>
          <w:rFonts w:ascii="Liberation Sans" w:hAnsi="Liberation Sans"/>
          <w:b/>
          <w:color w:val="123451"/>
          <w:sz w:val="46"/>
        </w:rPr>
        <w:t>About Francine Mira</w:t>
      </w:r>
    </w:p>
    <w:p>
      <w:pPr>
        <w:spacing w:after="280"/>
      </w:pPr>
      <w:r>
        <w:rPr>
          <w:rFonts w:ascii="Liberation Sans" w:hAnsi="Liberation Sans"/>
          <w:i/>
          <w:color w:val="6B7280"/>
          <w:sz w:val="22"/>
        </w:rPr>
        <w:t>A bilingual guide for the path to homeownership.</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pStyle w:val="BodyText"/>
        <w:keepLines w:val="0"/>
        <w:spacing w:after="120"/>
      </w:pPr>
      <w:r>
        <w:rPr>
          <w:rFonts w:ascii="Liberation Sans" w:hAnsi="Liberation Sans"/>
          <w:i w:val="0"/>
          <w:color w:val="1F2937"/>
          <w:sz w:val="21"/>
        </w:rPr>
        <w:t>Francine Mira is a North Carolina REALTOR® and Mortgage Loan Originator serving families who want clear, practical guidance through the homebuying process. Her work is grounded in education, communication, and the belief that people should understand the decisions they are making, not simply be told where to sign.</w:t>
      </w:r>
    </w:p>
    <w:p>
      <w:pPr>
        <w:pStyle w:val="BodyText"/>
        <w:keepLines w:val="0"/>
        <w:spacing w:after="120"/>
      </w:pPr>
      <w:r>
        <w:rPr>
          <w:rFonts w:ascii="Liberation Sans" w:hAnsi="Liberation Sans"/>
          <w:i w:val="0"/>
          <w:color w:val="1F2937"/>
          <w:sz w:val="21"/>
        </w:rPr>
        <w:t>Her journey began in Puerto Rico and continued in North Carolina, where she built a life, raised a family, and developed a career centered on helping people move forward. Before real estate and mortgage lending, she spent many years working in the construction-related business world. That experience shaped the way she looks at homes: not only as listings, but as systems, structures, budgets, responsibilities, and opportunities.</w:t>
      </w:r>
    </w:p>
    <w:p>
      <w:pPr>
        <w:pStyle w:val="BodyText"/>
        <w:keepLines w:val="0"/>
        <w:spacing w:after="120"/>
      </w:pPr>
      <w:r>
        <w:rPr>
          <w:rFonts w:ascii="Liberation Sans" w:hAnsi="Liberation Sans"/>
          <w:i w:val="0"/>
          <w:color w:val="1F2937"/>
          <w:sz w:val="21"/>
        </w:rPr>
        <w:t>As a bilingual professional, Francine is especially passionate about helping first-time buyers and Hispanic families access reliable homeownership information in English and Spanish. She understands how intimidating the process can feel when language, credit, documentation, rural property issues, and unfamiliar rules all meet at once.</w:t>
      </w:r>
    </w:p>
    <w:p>
      <w:pPr>
        <w:pStyle w:val="BodyText"/>
        <w:keepLines w:val="0"/>
        <w:spacing w:after="120"/>
      </w:pPr>
      <w:r>
        <w:rPr>
          <w:rFonts w:ascii="Liberation Sans" w:hAnsi="Liberation Sans"/>
          <w:i w:val="0"/>
          <w:color w:val="1F2937"/>
          <w:sz w:val="21"/>
        </w:rPr>
        <w:t>This guide is part of a larger mission: to make homeownership education easier to find across Western North Carolina, and to help buyers approach the process with confidence, preparation, and realistic expectations.</w:t>
      </w:r>
    </w:p>
    <w:p>
      <w:pPr>
        <w:pStyle w:val="Heading2"/>
        <w:spacing w:before="200" w:after="100"/>
      </w:pPr>
      <w:r>
        <w:rPr>
          <w:rFonts w:ascii="Liberation Sans" w:hAnsi="Liberation Sans"/>
          <w:b/>
          <w:color w:val="174A7E"/>
          <w:sz w:val="28"/>
        </w:rPr>
        <w:t>Professional Information</w:t>
      </w:r>
    </w:p>
    <w:tbl>
      <w:tblPr>
        <w:tblW w:type="auto" w:w="0"/>
        <w:jc w:val="center"/>
        <w:tblLayout w:type="fixed"/>
        <w:tblLook w:firstColumn="1" w:firstRow="1" w:lastColumn="0" w:lastRow="0" w:noHBand="0" w:noVBand="1" w:val="04A0"/>
      </w:tblPr>
      <w:tblGrid>
        <w:gridCol w:w="3024"/>
        <w:gridCol w:w="6336"/>
      </w:tblGrid>
      <w:tr>
        <w:trPr>
          <w:tblHeader w:val="true"/>
          <w:cantSplit/>
        </w:trPr>
        <w:tc>
          <w:tcPr>
            <w:tcW w:type="dxa" w:w="4939"/>
            <w:shd w:fill="174A7E"/>
            <w:tcMar>
              <w:top w:w="100" w:type="dxa"/>
              <w:start w:w="120" w:type="dxa"/>
              <w:bottom w:w="100" w:type="dxa"/>
              <w:end w:w="120" w:type="dxa"/>
            </w:tcMar>
          </w:tcPr>
          <w:p>
            <w:r>
              <w:rPr>
                <w:rFonts w:ascii="Liberation Sans" w:hAnsi="Liberation Sans"/>
                <w:b/>
                <w:color w:val="FFFFFF"/>
                <w:sz w:val="19"/>
              </w:rPr>
              <w:t>Area</w:t>
            </w:r>
          </w:p>
        </w:tc>
        <w:tc>
          <w:tcPr>
            <w:tcW w:type="dxa" w:w="4939"/>
            <w:shd w:fill="174A7E"/>
            <w:tcMar>
              <w:top w:w="100" w:type="dxa"/>
              <w:start w:w="120" w:type="dxa"/>
              <w:bottom w:w="100" w:type="dxa"/>
              <w:end w:w="120" w:type="dxa"/>
            </w:tcMar>
          </w:tcPr>
          <w:p>
            <w:r>
              <w:rPr>
                <w:rFonts w:ascii="Liberation Sans" w:hAnsi="Liberation Sans"/>
                <w:b/>
                <w:color w:val="FFFFFF"/>
                <w:sz w:val="19"/>
              </w:rPr>
              <w:t>Details</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Real estate</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Francine Mira, NC REALTOR® • NC License #326076 • RE/MAX Journey • 121 Laurel Drive, Rutherfordton, NC 28139</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Real estate contact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704-974-6460 • francinemira@remax.net</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Mortgage lending</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Mortgage Loan Originator • NMLS #2603041 • Mathewson Mortgage Capital LLC • 649 S Post Road, Shelby, NC</w:t>
            </w:r>
          </w:p>
        </w:tc>
      </w:tr>
      <w:tr>
        <w:trPr>
          <w:cantSplit/>
        </w:trPr>
        <w:tc>
          <w:tcPr>
            <w:tcW w:type="dxa" w:w="3024"/>
            <w:shd w:fill="F2F4F6"/>
            <w:tcMar>
              <w:top w:w="100" w:type="dxa"/>
              <w:start w:w="120" w:type="dxa"/>
              <w:bottom w:w="100" w:type="dxa"/>
              <w:end w:w="120" w:type="dxa"/>
            </w:tcMar>
            <w:vAlign w:val="top"/>
          </w:tcPr>
          <w:p>
            <w:r>
              <w:rPr>
                <w:rFonts w:ascii="Liberation Sans" w:hAnsi="Liberation Sans"/>
                <w:b/>
                <w:color w:val="123451"/>
                <w:sz w:val="19"/>
              </w:rPr>
              <w:t>Mortgage contact</w:t>
            </w:r>
          </w:p>
        </w:tc>
        <w:tc>
          <w:tcPr>
            <w:tcW w:type="dxa" w:w="6336"/>
            <w:shd w:fill="F2F4F6"/>
            <w:tcMar>
              <w:top w:w="100" w:type="dxa"/>
              <w:start w:w="120" w:type="dxa"/>
              <w:bottom w:w="100" w:type="dxa"/>
              <w:end w:w="120" w:type="dxa"/>
            </w:tcMar>
            <w:vAlign w:val="top"/>
          </w:tcPr>
          <w:p>
            <w:r>
              <w:rPr>
                <w:rFonts w:ascii="Liberation Sans" w:hAnsi="Liberation Sans"/>
                <w:color w:val="1F2937"/>
                <w:sz w:val="19"/>
              </w:rPr>
              <w:t>828-429-8368 • francine@mmcapitalllc.com</w:t>
            </w:r>
          </w:p>
        </w:tc>
      </w:tr>
      <w:tr>
        <w:trPr>
          <w:cantSplit/>
        </w:trPr>
        <w:tc>
          <w:tcPr>
            <w:tcW w:type="dxa" w:w="3024"/>
            <w:shd w:fill="FFFFFF"/>
            <w:tcMar>
              <w:top w:w="100" w:type="dxa"/>
              <w:start w:w="120" w:type="dxa"/>
              <w:bottom w:w="100" w:type="dxa"/>
              <w:end w:w="120" w:type="dxa"/>
            </w:tcMar>
            <w:vAlign w:val="top"/>
          </w:tcPr>
          <w:p>
            <w:r>
              <w:rPr>
                <w:rFonts w:ascii="Liberation Sans" w:hAnsi="Liberation Sans"/>
                <w:b/>
                <w:color w:val="123451"/>
                <w:sz w:val="19"/>
              </w:rPr>
              <w:t>Service focus</w:t>
            </w:r>
          </w:p>
        </w:tc>
        <w:tc>
          <w:tcPr>
            <w:tcW w:type="dxa" w:w="6336"/>
            <w:shd w:fill="FFFFFF"/>
            <w:tcMar>
              <w:top w:w="100" w:type="dxa"/>
              <w:start w:w="120" w:type="dxa"/>
              <w:bottom w:w="100" w:type="dxa"/>
              <w:end w:w="120" w:type="dxa"/>
            </w:tcMar>
            <w:vAlign w:val="top"/>
          </w:tcPr>
          <w:p>
            <w:r>
              <w:rPr>
                <w:rFonts w:ascii="Liberation Sans" w:hAnsi="Liberation Sans"/>
                <w:color w:val="1F2937"/>
                <w:sz w:val="19"/>
              </w:rPr>
              <w:t>Western North Carolina homebuyers, first-time buyers, rural properties, bilingual education, and mortgage guidance.</w:t>
            </w:r>
          </w:p>
        </w:tc>
      </w:tr>
    </w:tbl>
    <w:p>
      <w:pPr>
        <w:spacing w:after="40"/>
      </w:pPr>
    </w:p>
    <w:tbl>
      <w:tblPr>
        <w:tblW w:type="auto" w:w="0"/>
        <w:jc w:val="center"/>
        <w:tblLayout w:type="fixed"/>
        <w:tblLook w:firstColumn="1" w:firstRow="1" w:lastColumn="0" w:lastRow="0" w:noHBand="0" w:noVBand="1" w:val="04A0"/>
      </w:tblPr>
      <w:tblGrid>
        <w:gridCol w:w="9360"/>
      </w:tblGrid>
      <w:tr>
        <w:trPr>
          <w:cantSplit/>
        </w:trPr>
        <w:tc>
          <w:tcPr>
            <w:tcW w:type="dxa" w:w="9878"/>
            <w:shd w:fill="EAF5EF"/>
            <w:tcMar>
              <w:top w:w="130" w:type="dxa"/>
              <w:start w:w="180" w:type="dxa"/>
              <w:bottom w:w="130" w:type="dxa"/>
              <w:end w:w="180" w:type="dxa"/>
            </w:tcMar>
            <w:tcBorders>
              <w:top w:val="nil"/>
              <w:left w:val="single" w:sz="18" w:color="2E6B4F"/>
              <w:bottom w:val="nil"/>
              <w:right w:val="nil"/>
            </w:tcBorders>
          </w:tcPr>
          <w:p>
            <w:pPr>
              <w:spacing w:after="60"/>
            </w:pPr>
            <w:r>
              <w:rPr>
                <w:rFonts w:ascii="Liberation Sans" w:hAnsi="Liberation Sans"/>
                <w:b/>
                <w:color w:val="2E6B4F"/>
                <w:sz w:val="21"/>
              </w:rPr>
              <w:t>A Note From Francine</w:t>
            </w:r>
          </w:p>
          <w:p>
            <w:pPr>
              <w:spacing w:after="0"/>
            </w:pPr>
            <w:r>
              <w:rPr>
                <w:rFonts w:ascii="Liberation Sans" w:hAnsi="Liberation Sans"/>
                <w:color w:val="1F2937"/>
                <w:sz w:val="20"/>
              </w:rPr>
              <w:t>Homeownership is not about having every answer before you begin. It is about building a trustworthy team, asking the next right question, and making one informed decision at a time. Paso a paso.</w:t>
            </w:r>
          </w:p>
        </w:tc>
      </w:tr>
    </w:tbl>
    <w:p>
      <w:pPr>
        <w:spacing w:after="20"/>
      </w:pPr>
    </w:p>
    <w:p>
      <w:pPr>
        <w:pageBreakBefore/>
        <w:spacing w:before="120" w:after="40"/>
      </w:pPr>
      <w:r>
        <w:rPr>
          <w:rFonts w:ascii="Liberation Sans" w:hAnsi="Liberation Sans"/>
          <w:b/>
          <w:color w:val="D71920"/>
          <w:sz w:val="20"/>
        </w:rPr>
        <w:t>CHAPTER SOURCES</w:t>
      </w:r>
    </w:p>
    <w:p>
      <w:pPr>
        <w:pStyle w:val="TitleChapter"/>
        <w:spacing w:after="80"/>
      </w:pPr>
      <w:r>
        <w:rPr>
          <w:rFonts w:ascii="Liberation Sans" w:hAnsi="Liberation Sans"/>
          <w:b/>
          <w:color w:val="123451"/>
          <w:sz w:val="46"/>
        </w:rPr>
        <w:t>Official Resources and References</w:t>
      </w:r>
    </w:p>
    <w:p>
      <w:pPr>
        <w:spacing w:after="280"/>
      </w:pPr>
      <w:r>
        <w:rPr>
          <w:rFonts w:ascii="Liberation Sans" w:hAnsi="Liberation Sans"/>
          <w:i/>
          <w:color w:val="6B7280"/>
          <w:sz w:val="22"/>
        </w:rPr>
        <w:t>Verify current rules, limits, eligibility, and consumer guidance directly with authoritative sources.</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spacing w:before="100"/>
      </w:pPr>
      <w:r>
        <w:rPr>
          <w:rFonts w:ascii="Liberation Sans" w:hAnsi="Liberation Sans"/>
          <w:b/>
          <w:color w:val="174A7E"/>
          <w:sz w:val="21"/>
        </w:rPr>
        <w:t>Consumer Financial Protection Bureau</w:t>
      </w:r>
    </w:p>
    <w:p>
      <w:pPr>
        <w:pStyle w:val="BodyText"/>
        <w:ind w:left="288"/>
      </w:pPr>
      <w:r>
        <w:rPr>
          <w:rFonts w:ascii="Liberation Sans" w:hAnsi="Liberation Sans"/>
          <w:color w:val="1F2937"/>
          <w:sz w:val="19"/>
        </w:rPr>
        <w:t xml:space="preserve">Mortgage preparation, Loan Estimate, Closing Disclosure, closing costs, credit, and homebuying tools. </w:t>
      </w:r>
      <w:hyperlink r:id="rId13">
        <w:r>
          <w:rPr>
            <w:color w:val="174A7E"/>
            <w:u w:val="single"/>
            <w:rFonts w:ascii="Liberation Sans" w:hAnsi="Liberation Sans"/>
          </w:rPr>
          <w:t>https://www.consumerfinance.gov/owning-a-home/</w:t>
        </w:r>
      </w:hyperlink>
    </w:p>
    <w:p>
      <w:pPr>
        <w:spacing w:before="100"/>
      </w:pPr>
      <w:r>
        <w:rPr>
          <w:rFonts w:ascii="Liberation Sans" w:hAnsi="Liberation Sans"/>
          <w:b/>
          <w:color w:val="174A7E"/>
          <w:sz w:val="21"/>
        </w:rPr>
        <w:t>AnnualCreditReport.com</w:t>
      </w:r>
    </w:p>
    <w:p>
      <w:pPr>
        <w:pStyle w:val="BodyText"/>
        <w:ind w:left="288"/>
      </w:pPr>
      <w:r>
        <w:rPr>
          <w:rFonts w:ascii="Liberation Sans" w:hAnsi="Liberation Sans"/>
          <w:color w:val="1F2937"/>
          <w:sz w:val="19"/>
        </w:rPr>
        <w:t xml:space="preserve">Official federally authorized source for free credit reports. </w:t>
      </w:r>
      <w:hyperlink r:id="rId14">
        <w:r>
          <w:rPr>
            <w:color w:val="174A7E"/>
            <w:u w:val="single"/>
            <w:rFonts w:ascii="Liberation Sans" w:hAnsi="Liberation Sans"/>
          </w:rPr>
          <w:t>https://www.annualcreditreport.com/</w:t>
        </w:r>
      </w:hyperlink>
    </w:p>
    <w:p>
      <w:pPr>
        <w:spacing w:before="100"/>
      </w:pPr>
      <w:r>
        <w:rPr>
          <w:rFonts w:ascii="Liberation Sans" w:hAnsi="Liberation Sans"/>
          <w:b/>
          <w:color w:val="174A7E"/>
          <w:sz w:val="21"/>
        </w:rPr>
        <w:t>U.S. Department of Housing and Urban Development / FHA</w:t>
      </w:r>
    </w:p>
    <w:p>
      <w:pPr>
        <w:pStyle w:val="BodyText"/>
        <w:ind w:left="288"/>
      </w:pPr>
      <w:r>
        <w:rPr>
          <w:rFonts w:ascii="Liberation Sans" w:hAnsi="Liberation Sans"/>
          <w:color w:val="1F2937"/>
          <w:sz w:val="19"/>
        </w:rPr>
        <w:t xml:space="preserve">FHA home loans, mortgage insurance, housing counseling, and homebuyer information. </w:t>
      </w:r>
      <w:hyperlink r:id="rId15">
        <w:r>
          <w:rPr>
            <w:color w:val="174A7E"/>
            <w:u w:val="single"/>
            <w:rFonts w:ascii="Liberation Sans" w:hAnsi="Liberation Sans"/>
          </w:rPr>
          <w:t>https://www.hud.gov/fha</w:t>
        </w:r>
      </w:hyperlink>
    </w:p>
    <w:p>
      <w:pPr>
        <w:spacing w:before="100"/>
      </w:pPr>
      <w:r>
        <w:rPr>
          <w:rFonts w:ascii="Liberation Sans" w:hAnsi="Liberation Sans"/>
          <w:b/>
          <w:color w:val="174A7E"/>
          <w:sz w:val="21"/>
        </w:rPr>
        <w:t>U.S. Department of Veterans Affairs</w:t>
      </w:r>
    </w:p>
    <w:p>
      <w:pPr>
        <w:pStyle w:val="BodyText"/>
        <w:ind w:left="288"/>
      </w:pPr>
      <w:r>
        <w:rPr>
          <w:rFonts w:ascii="Liberation Sans" w:hAnsi="Liberation Sans"/>
          <w:color w:val="1F2937"/>
          <w:sz w:val="19"/>
        </w:rPr>
        <w:t xml:space="preserve">VA home loan eligibility, Certificate of Eligibility, funding fee, and purchase process. </w:t>
      </w:r>
      <w:hyperlink r:id="rId16">
        <w:r>
          <w:rPr>
            <w:color w:val="174A7E"/>
            <w:u w:val="single"/>
            <w:rFonts w:ascii="Liberation Sans" w:hAnsi="Liberation Sans"/>
          </w:rPr>
          <w:t>https://www.va.gov/housing-assistance/home-loans/</w:t>
        </w:r>
      </w:hyperlink>
    </w:p>
    <w:p>
      <w:pPr>
        <w:spacing w:before="100"/>
      </w:pPr>
      <w:r>
        <w:rPr>
          <w:rFonts w:ascii="Liberation Sans" w:hAnsi="Liberation Sans"/>
          <w:b/>
          <w:color w:val="174A7E"/>
          <w:sz w:val="21"/>
        </w:rPr>
        <w:t>USDA Rural Development</w:t>
      </w:r>
    </w:p>
    <w:p>
      <w:pPr>
        <w:pStyle w:val="BodyText"/>
        <w:ind w:left="288"/>
      </w:pPr>
      <w:r>
        <w:rPr>
          <w:rFonts w:ascii="Liberation Sans" w:hAnsi="Liberation Sans"/>
          <w:color w:val="1F2937"/>
          <w:sz w:val="19"/>
        </w:rPr>
        <w:t xml:space="preserve">Single Family Housing Guaranteed and Direct Loan programs and property eligibility. </w:t>
      </w:r>
      <w:hyperlink r:id="rId17">
        <w:r>
          <w:rPr>
            <w:color w:val="174A7E"/>
            <w:u w:val="single"/>
            <w:rFonts w:ascii="Liberation Sans" w:hAnsi="Liberation Sans"/>
          </w:rPr>
          <w:t>https://www.rd.usda.gov/programs-services/single-family-housing-programs</w:t>
        </w:r>
      </w:hyperlink>
    </w:p>
    <w:p>
      <w:pPr>
        <w:spacing w:before="100"/>
      </w:pPr>
      <w:r>
        <w:rPr>
          <w:rFonts w:ascii="Liberation Sans" w:hAnsi="Liberation Sans"/>
          <w:b/>
          <w:color w:val="174A7E"/>
          <w:sz w:val="21"/>
        </w:rPr>
        <w:t>Fannie Mae HomeReady®</w:t>
      </w:r>
    </w:p>
    <w:p>
      <w:pPr>
        <w:pStyle w:val="BodyText"/>
        <w:ind w:left="288"/>
      </w:pPr>
      <w:r>
        <w:rPr>
          <w:rFonts w:ascii="Liberation Sans" w:hAnsi="Liberation Sans"/>
          <w:color w:val="1F2937"/>
          <w:sz w:val="19"/>
        </w:rPr>
        <w:t xml:space="preserve">Current HomeReady program features and eligibility. </w:t>
      </w:r>
      <w:hyperlink r:id="rId18">
        <w:r>
          <w:rPr>
            <w:color w:val="174A7E"/>
            <w:u w:val="single"/>
            <w:rFonts w:ascii="Liberation Sans" w:hAnsi="Liberation Sans"/>
          </w:rPr>
          <w:t>https://singlefamily.fanniemae.com/originating-underwriting/mortgage-products/homeready-mortgage</w:t>
        </w:r>
      </w:hyperlink>
    </w:p>
    <w:p>
      <w:pPr>
        <w:spacing w:before="100"/>
      </w:pPr>
      <w:r>
        <w:rPr>
          <w:rFonts w:ascii="Liberation Sans" w:hAnsi="Liberation Sans"/>
          <w:b/>
          <w:color w:val="174A7E"/>
          <w:sz w:val="21"/>
        </w:rPr>
        <w:t>Freddie Mac Home Possible®</w:t>
      </w:r>
    </w:p>
    <w:p>
      <w:pPr>
        <w:pStyle w:val="BodyText"/>
        <w:ind w:left="288"/>
      </w:pPr>
      <w:r>
        <w:rPr>
          <w:rFonts w:ascii="Liberation Sans" w:hAnsi="Liberation Sans"/>
          <w:color w:val="1F2937"/>
          <w:sz w:val="19"/>
        </w:rPr>
        <w:t xml:space="preserve">Current Home Possible program features and eligibility. </w:t>
      </w:r>
      <w:hyperlink r:id="rId19">
        <w:r>
          <w:rPr>
            <w:color w:val="174A7E"/>
            <w:u w:val="single"/>
            <w:rFonts w:ascii="Liberation Sans" w:hAnsi="Liberation Sans"/>
          </w:rPr>
          <w:t>https://sf.freddiemac.com/working-with-us/origination-underwriting/mortgage-products/home-possible</w:t>
        </w:r>
      </w:hyperlink>
    </w:p>
    <w:p>
      <w:pPr>
        <w:spacing w:before="100"/>
      </w:pPr>
      <w:r>
        <w:rPr>
          <w:rFonts w:ascii="Liberation Sans" w:hAnsi="Liberation Sans"/>
          <w:b/>
          <w:color w:val="174A7E"/>
          <w:sz w:val="21"/>
        </w:rPr>
        <w:t>North Carolina Housing Finance Agency</w:t>
      </w:r>
    </w:p>
    <w:p>
      <w:pPr>
        <w:pStyle w:val="BodyText"/>
        <w:ind w:left="288"/>
      </w:pPr>
      <w:r>
        <w:rPr>
          <w:rFonts w:ascii="Liberation Sans" w:hAnsi="Liberation Sans"/>
          <w:color w:val="1F2937"/>
          <w:sz w:val="19"/>
        </w:rPr>
        <w:t xml:space="preserve">NC Home Advantage Mortgage™, down payment assistance, income limits, and participating lenders. </w:t>
      </w:r>
      <w:hyperlink r:id="rId20">
        <w:r>
          <w:rPr>
            <w:color w:val="174A7E"/>
            <w:u w:val="single"/>
            <w:rFonts w:ascii="Liberation Sans" w:hAnsi="Liberation Sans"/>
          </w:rPr>
          <w:t>https://www.nchfa.com/home-buyers</w:t>
        </w:r>
      </w:hyperlink>
    </w:p>
    <w:p>
      <w:pPr>
        <w:spacing w:before="100"/>
      </w:pPr>
      <w:r>
        <w:rPr>
          <w:rFonts w:ascii="Liberation Sans" w:hAnsi="Liberation Sans"/>
          <w:b/>
          <w:color w:val="174A7E"/>
          <w:sz w:val="21"/>
        </w:rPr>
        <w:t>North Carolina Real Estate Commission</w:t>
      </w:r>
    </w:p>
    <w:p>
      <w:pPr>
        <w:pStyle w:val="BodyText"/>
        <w:ind w:left="288"/>
      </w:pPr>
      <w:r>
        <w:rPr>
          <w:rFonts w:ascii="Liberation Sans" w:hAnsi="Liberation Sans"/>
          <w:color w:val="1F2937"/>
          <w:sz w:val="19"/>
        </w:rPr>
        <w:t xml:space="preserve">Consumer brochures on due diligence, earnest money, agency, and closings. </w:t>
      </w:r>
      <w:hyperlink r:id="rId21">
        <w:r>
          <w:rPr>
            <w:color w:val="174A7E"/>
            <w:u w:val="single"/>
            <w:rFonts w:ascii="Liberation Sans" w:hAnsi="Liberation Sans"/>
          </w:rPr>
          <w:t>https://www.ncrec.gov/Publications/Pubs</w:t>
        </w:r>
      </w:hyperlink>
    </w:p>
    <w:p>
      <w:pPr>
        <w:spacing w:before="100"/>
      </w:pPr>
      <w:r>
        <w:rPr>
          <w:rFonts w:ascii="Liberation Sans" w:hAnsi="Liberation Sans"/>
          <w:b/>
          <w:color w:val="174A7E"/>
          <w:sz w:val="21"/>
        </w:rPr>
        <w:t>North Carolina Bar Association</w:t>
      </w:r>
    </w:p>
    <w:p>
      <w:pPr>
        <w:pStyle w:val="BodyText"/>
        <w:ind w:left="288"/>
      </w:pPr>
      <w:r>
        <w:rPr>
          <w:rFonts w:ascii="Liberation Sans" w:hAnsi="Liberation Sans"/>
          <w:color w:val="1F2937"/>
          <w:sz w:val="19"/>
        </w:rPr>
        <w:t xml:space="preserve">Consumer information about buying a home and the role of the closing attorney. </w:t>
      </w:r>
      <w:hyperlink r:id="rId22">
        <w:r>
          <w:rPr>
            <w:color w:val="174A7E"/>
            <w:u w:val="single"/>
            <w:rFonts w:ascii="Liberation Sans" w:hAnsi="Liberation Sans"/>
          </w:rPr>
          <w:t>https://www.ncbar.org/public-resources/</w:t>
        </w:r>
      </w:hyperlink>
    </w:p>
    <w:p>
      <w:pPr>
        <w:spacing w:before="100"/>
      </w:pPr>
      <w:r>
        <w:rPr>
          <w:rFonts w:ascii="Liberation Sans" w:hAnsi="Liberation Sans"/>
          <w:b/>
          <w:color w:val="174A7E"/>
          <w:sz w:val="21"/>
        </w:rPr>
        <w:t>North Carolina Department of Revenue</w:t>
      </w:r>
    </w:p>
    <w:p>
      <w:pPr>
        <w:pStyle w:val="BodyText"/>
        <w:ind w:left="288"/>
      </w:pPr>
      <w:r>
        <w:rPr>
          <w:rFonts w:ascii="Liberation Sans" w:hAnsi="Liberation Sans"/>
          <w:color w:val="1F2937"/>
          <w:sz w:val="19"/>
        </w:rPr>
        <w:t xml:space="preserve">Property tax relief forms for elderly or disabled owners, disabled veterans, and circuit breaker deferment. </w:t>
      </w:r>
      <w:hyperlink r:id="rId23">
        <w:r>
          <w:rPr>
            <w:color w:val="174A7E"/>
            <w:u w:val="single"/>
            <w:rFonts w:ascii="Liberation Sans" w:hAnsi="Liberation Sans"/>
          </w:rPr>
          <w:t>https://www.ncdor.gov/taxes-forms/property-tax/property-tax-forms</w:t>
        </w:r>
      </w:hyperlink>
    </w:p>
    <w:p>
      <w:pPr>
        <w:spacing w:before="100"/>
      </w:pPr>
      <w:r>
        <w:rPr>
          <w:rFonts w:ascii="Liberation Sans" w:hAnsi="Liberation Sans"/>
          <w:b/>
          <w:color w:val="174A7E"/>
          <w:sz w:val="21"/>
        </w:rPr>
        <w:t>North Carolina Radon Program</w:t>
      </w:r>
    </w:p>
    <w:p>
      <w:pPr>
        <w:pStyle w:val="BodyText"/>
        <w:ind w:left="288"/>
      </w:pPr>
      <w:r>
        <w:rPr>
          <w:rFonts w:ascii="Liberation Sans" w:hAnsi="Liberation Sans"/>
          <w:color w:val="1F2937"/>
          <w:sz w:val="19"/>
        </w:rPr>
        <w:t xml:space="preserve">Radon testing, mitigation recommendations, and state resources. </w:t>
      </w:r>
      <w:hyperlink r:id="rId24">
        <w:r>
          <w:rPr>
            <w:color w:val="174A7E"/>
            <w:u w:val="single"/>
            <w:rFonts w:ascii="Liberation Sans" w:hAnsi="Liberation Sans"/>
          </w:rPr>
          <w:t>https://www.ncdhhs.gov/divisions/health-service-regulation/north-carolina-radon-program</w:t>
        </w:r>
      </w:hyperlink>
    </w:p>
    <w:p>
      <w:pPr>
        <w:spacing w:before="100"/>
      </w:pPr>
      <w:r>
        <w:rPr>
          <w:rFonts w:ascii="Liberation Sans" w:hAnsi="Liberation Sans"/>
          <w:b/>
          <w:color w:val="174A7E"/>
          <w:sz w:val="21"/>
        </w:rPr>
        <w:t>U.S. Environmental Protection Agency - Private Wells</w:t>
      </w:r>
    </w:p>
    <w:p>
      <w:pPr>
        <w:pStyle w:val="BodyText"/>
        <w:ind w:left="288"/>
      </w:pPr>
      <w:r>
        <w:rPr>
          <w:rFonts w:ascii="Liberation Sans" w:hAnsi="Liberation Sans"/>
          <w:color w:val="1F2937"/>
          <w:sz w:val="19"/>
        </w:rPr>
        <w:t xml:space="preserve">Private well testing and homeowner guidance. </w:t>
      </w:r>
      <w:hyperlink r:id="rId25">
        <w:r>
          <w:rPr>
            <w:color w:val="174A7E"/>
            <w:u w:val="single"/>
            <w:rFonts w:ascii="Liberation Sans" w:hAnsi="Liberation Sans"/>
          </w:rPr>
          <w:t>https://www.epa.gov/privatewells</w:t>
        </w:r>
      </w:hyperlink>
    </w:p>
    <w:p>
      <w:pPr>
        <w:spacing w:before="100"/>
      </w:pPr>
      <w:r>
        <w:rPr>
          <w:rFonts w:ascii="Liberation Sans" w:hAnsi="Liberation Sans"/>
          <w:b/>
          <w:color w:val="174A7E"/>
          <w:sz w:val="21"/>
        </w:rPr>
        <w:t>U.S. Environmental Protection Agency - Septic Systems</w:t>
      </w:r>
    </w:p>
    <w:p>
      <w:pPr>
        <w:pStyle w:val="BodyText"/>
        <w:ind w:left="288"/>
      </w:pPr>
      <w:r>
        <w:rPr>
          <w:rFonts w:ascii="Liberation Sans" w:hAnsi="Liberation Sans"/>
          <w:color w:val="1F2937"/>
          <w:sz w:val="19"/>
        </w:rPr>
        <w:t xml:space="preserve">Homebuyer, inspection, maintenance, and SepticSmart resources. </w:t>
      </w:r>
      <w:hyperlink r:id="rId26">
        <w:r>
          <w:rPr>
            <w:color w:val="174A7E"/>
            <w:u w:val="single"/>
            <w:rFonts w:ascii="Liberation Sans" w:hAnsi="Liberation Sans"/>
          </w:rPr>
          <w:t>https://www.epa.gov/septic</w:t>
        </w:r>
      </w:hyperlink>
    </w:p>
    <w:p>
      <w:pPr>
        <w:pStyle w:val="Heading2"/>
        <w:spacing w:before="200" w:after="100"/>
      </w:pPr>
      <w:r>
        <w:rPr>
          <w:rFonts w:ascii="Liberation Sans" w:hAnsi="Liberation Sans"/>
          <w:b/>
          <w:color w:val="174A7E"/>
          <w:sz w:val="28"/>
        </w:rPr>
        <w:t>Reference Notes for the First Manuscript</w:t>
      </w:r>
    </w:p>
    <w:p>
      <w:pPr>
        <w:pStyle w:val="BodyText"/>
        <w:keepLines w:val="0"/>
        <w:spacing w:after="120"/>
      </w:pPr>
      <w:r>
        <w:rPr>
          <w:rFonts w:ascii="Liberation Sans" w:hAnsi="Liberation Sans"/>
          <w:i w:val="0"/>
          <w:color w:val="1F2937"/>
          <w:sz w:val="21"/>
        </w:rPr>
        <w:t>This manuscript paraphrases consumer guidance and program information rather than reproducing agency publications. Key topics reviewed include North Carolina due diligence and earnest money treatment, closing and recordation, federal mortgage disclosures, credit-report access, FHA/VA/USDA program features, conventional low-down-payment options, North Carolina down payment assistance, radon testing, private well testing, septic maintenance, and property tax relief programs.</w:t>
      </w:r>
    </w:p>
    <w:p>
      <w:pPr>
        <w:pStyle w:val="BodyText"/>
        <w:keepLines w:val="0"/>
        <w:spacing w:after="120"/>
      </w:pPr>
      <w:r>
        <w:rPr>
          <w:rFonts w:ascii="Liberation Sans" w:hAnsi="Liberation Sans"/>
          <w:i w:val="0"/>
          <w:color w:val="1F2937"/>
          <w:sz w:val="21"/>
        </w:rPr>
        <w:t>Program names and trademarks belong to their respective owners. Dollar amounts, percentages, income limits, fees, and eligibility rules should be checked again before final publication and periodically after publication.</w:t>
      </w:r>
    </w:p>
    <w:p>
      <w:pPr>
        <w:pageBreakBefore/>
        <w:spacing w:before="120" w:after="40"/>
      </w:pPr>
      <w:r>
        <w:rPr>
          <w:rFonts w:ascii="Liberation Sans" w:hAnsi="Liberation Sans"/>
          <w:b/>
          <w:color w:val="D71920"/>
          <w:sz w:val="20"/>
        </w:rPr>
        <w:t>CHAPTER NOTES</w:t>
      </w:r>
    </w:p>
    <w:p>
      <w:pPr>
        <w:pStyle w:val="TitleChapter"/>
        <w:spacing w:after="80"/>
      </w:pPr>
      <w:r>
        <w:rPr>
          <w:rFonts w:ascii="Liberation Sans" w:hAnsi="Liberation Sans"/>
          <w:b/>
          <w:color w:val="123451"/>
          <w:sz w:val="46"/>
        </w:rPr>
        <w:t>My Homebuying Notes</w:t>
      </w:r>
    </w:p>
    <w:p>
      <w:pPr>
        <w:spacing w:after="280"/>
      </w:pPr>
      <w:r>
        <w:rPr>
          <w:rFonts w:ascii="Liberation Sans" w:hAnsi="Liberation Sans"/>
          <w:i/>
          <w:color w:val="6B7280"/>
          <w:sz w:val="22"/>
        </w:rPr>
        <w:t>Questions, numbers, properties, and decisions.</w:t>
      </w:r>
    </w:p>
    <w:tbl>
      <w:tblPr>
        <w:tblW w:type="auto" w:w="0"/>
        <w:jc w:val="left"/>
        <w:tblLayout w:type="fixed"/>
        <w:tblLook w:firstColumn="1" w:firstRow="1" w:lastColumn="0" w:lastRow="0" w:noHBand="0" w:noVBand="1" w:val="04A0"/>
      </w:tblPr>
      <w:tblGrid>
        <w:gridCol w:w="1440"/>
        <w:gridCol w:w="7920"/>
      </w:tblGrid>
      <w:tr>
        <w:trPr>
          <w:cantSplit/>
        </w:trPr>
        <w:tc>
          <w:tcPr>
            <w:tcW w:type="dxa" w:w="4939"/>
            <w:shd w:fill="D71920"/>
            <w:tcMar>
              <w:top w:w="0" w:type="dxa"/>
              <w:start w:w="0" w:type="dxa"/>
              <w:bottom w:w="0" w:type="dxa"/>
              <w:end w:w="0" w:type="dxa"/>
            </w:tcMar>
          </w:tcPr>
          <w:p/>
        </w:tc>
        <w:tc>
          <w:tcPr>
            <w:tcW w:type="dxa" w:w="4939"/>
            <w:shd w:fill="174A7E"/>
            <w:tcMar>
              <w:top w:w="0" w:type="dxa"/>
              <w:start w:w="0" w:type="dxa"/>
              <w:bottom w:w="0" w:type="dxa"/>
              <w:end w:w="0" w:type="dxa"/>
            </w:tcMar>
          </w:tcPr>
          <w:p/>
        </w:tc>
      </w:tr>
    </w:tbl>
    <w:p>
      <w:pPr>
        <w:spacing w:after="80"/>
      </w:pP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after="140"/>
      </w:pPr>
      <w:r>
        <w:rPr>
          <w:rFonts w:ascii="Liberation Sans" w:hAnsi="Liberation Sans"/>
          <w:color w:val="B8BEC7"/>
          <w:sz w:val="16"/>
        </w:rPr>
        <w:t>________________________________________________________________________________</w:t>
      </w:r>
    </w:p>
    <w:p>
      <w:pPr>
        <w:spacing w:before="800"/>
        <w:jc w:val="center"/>
      </w:pPr>
      <w:r>
        <w:rPr>
          <w:rFonts w:ascii="Liberation Sans" w:hAnsi="Liberation Sans"/>
          <w:b/>
          <w:color w:val="123451"/>
          <w:sz w:val="36"/>
        </w:rPr>
        <w:t>READY FOR THE NEXT STEP?</w:t>
      </w:r>
    </w:p>
    <w:p>
      <w:pPr>
        <w:jc w:val="center"/>
      </w:pPr>
      <w:r>
        <w:rPr>
          <w:rFonts w:ascii="Liberation Sans" w:hAnsi="Liberation Sans"/>
          <w:color w:val="1F2937"/>
          <w:sz w:val="22"/>
        </w:rPr>
        <w:t>Start with a clear budget, a documented pre-approval, and a team willing to explain the process.</w:t>
      </w:r>
    </w:p>
    <w:p>
      <w:pPr>
        <w:spacing w:before="300"/>
        <w:jc w:val="center"/>
      </w:pPr>
      <w:r>
        <w:rPr>
          <w:rFonts w:ascii="Liberation Sans" w:hAnsi="Liberation Sans"/>
          <w:b/>
          <w:color w:val="D71920"/>
          <w:sz w:val="28"/>
        </w:rPr>
        <w:t>Francine Mira</w:t>
      </w:r>
    </w:p>
    <w:p>
      <w:pPr>
        <w:jc w:val="center"/>
      </w:pPr>
      <w:r>
        <w:rPr>
          <w:rFonts w:ascii="Liberation Sans" w:hAnsi="Liberation Sans"/>
          <w:b/>
          <w:color w:val="174A7E"/>
          <w:sz w:val="21"/>
        </w:rPr>
        <w:t>Bilingual Homeownership Guidance for Western North Carolina</w:t>
      </w:r>
    </w:p>
    <w:sectPr w:rsidR="00FC693F" w:rsidRPr="0006063C" w:rsidSect="00034616">
      <w:headerReference w:type="default" r:id="rId9"/>
      <w:footerReference w:type="default" r:id="rId10"/>
      <w:headerReference w:type="first" r:id="rId11"/>
      <w:footerReference w:type="first" r:id="rId12"/>
      <w:pgSz w:w="12240" w:h="15840"/>
      <w:pgMar w:top="1037" w:right="1181" w:bottom="1037" w:left="1181" w:header="432"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6B7280"/>
        <w:sz w:val="18"/>
      </w:rPr>
      <w:t xml:space="preserve">Page </w:t>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b/>
        <w:color w:val="6B7280"/>
        <w:sz w:val="17"/>
      </w:rPr>
      <w:t>THE WESTERN NORTH CAROLINA HOMEBUYER’S GUIDE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Liberation Sans" w:hAnsi="Liberation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69" w:lineRule="auto"/>
    </w:pPr>
    <w:rPr>
      <w:rFonts w:ascii="Liberation Sans" w:hAnsi="Liberation Sans"/>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69" w:lineRule="auto" w:after="100"/>
      <w:contextualSpacing/>
    </w:pPr>
    <w:rPr>
      <w:rFonts w:ascii="Liberation Sans" w:hAnsi="Liberation San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line="259" w:lineRule="auto"/>
    </w:pPr>
    <w:rPr>
      <w:rFonts w:ascii="Liberation Sans" w:hAnsi="Liberation Sans"/>
      <w:sz w:val="20"/>
    </w:rPr>
  </w:style>
  <w:style w:type="paragraph" w:customStyle="1" w:styleId="TitleChapter">
    <w:name w:val="Title Chapter"/>
    <w:pPr>
      <w:keepNext/>
    </w:pPr>
    <w:rPr>
      <w:rFonts w:ascii="Liberation Sans" w:hAnsi="Liberation San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consumerfinance.gov/owning-a-home/" TargetMode="External"/><Relationship Id="rId14" Type="http://schemas.openxmlformats.org/officeDocument/2006/relationships/hyperlink" Target="https://www.annualcreditreport.com/" TargetMode="External"/><Relationship Id="rId15" Type="http://schemas.openxmlformats.org/officeDocument/2006/relationships/hyperlink" Target="https://www.hud.gov/fha" TargetMode="External"/><Relationship Id="rId16" Type="http://schemas.openxmlformats.org/officeDocument/2006/relationships/hyperlink" Target="https://www.va.gov/housing-assistance/home-loans/" TargetMode="External"/><Relationship Id="rId17" Type="http://schemas.openxmlformats.org/officeDocument/2006/relationships/hyperlink" Target="https://www.rd.usda.gov/programs-services/single-family-housing-programs" TargetMode="External"/><Relationship Id="rId18" Type="http://schemas.openxmlformats.org/officeDocument/2006/relationships/hyperlink" Target="https://singlefamily.fanniemae.com/originating-underwriting/mortgage-products/homeready-mortgage" TargetMode="External"/><Relationship Id="rId19" Type="http://schemas.openxmlformats.org/officeDocument/2006/relationships/hyperlink" Target="https://sf.freddiemac.com/working-with-us/origination-underwriting/mortgage-products/home-possible" TargetMode="External"/><Relationship Id="rId20" Type="http://schemas.openxmlformats.org/officeDocument/2006/relationships/hyperlink" Target="https://www.nchfa.com/home-buyers" TargetMode="External"/><Relationship Id="rId21" Type="http://schemas.openxmlformats.org/officeDocument/2006/relationships/hyperlink" Target="https://www.ncrec.gov/Publications/Pubs" TargetMode="External"/><Relationship Id="rId22" Type="http://schemas.openxmlformats.org/officeDocument/2006/relationships/hyperlink" Target="https://www.ncbar.org/public-resources/" TargetMode="External"/><Relationship Id="rId23" Type="http://schemas.openxmlformats.org/officeDocument/2006/relationships/hyperlink" Target="https://www.ncdor.gov/taxes-forms/property-tax/property-tax-forms" TargetMode="External"/><Relationship Id="rId24" Type="http://schemas.openxmlformats.org/officeDocument/2006/relationships/hyperlink" Target="https://www.ncdhhs.gov/divisions/health-service-regulation/north-carolina-radon-program" TargetMode="External"/><Relationship Id="rId25" Type="http://schemas.openxmlformats.org/officeDocument/2006/relationships/hyperlink" Target="https://www.epa.gov/privatewells" TargetMode="External"/><Relationship Id="rId26" Type="http://schemas.openxmlformats.org/officeDocument/2006/relationships/hyperlink" Target="https://www.epa.gov/sep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North Carolina Homebuyer’s Guide</dc:title>
  <dc:subject>A Step-by-Step Guide to Buying a Home in Western North Carolina</dc:subject>
  <dc:creator>Francine Mira</dc:creator>
  <cp:keywords>Western North Carolina, homebuyer, mortgage, real estate, bilingual, first-time buyer</cp:keywords>
  <dc:description>First manuscript prepared June 2026.</dc:description>
  <cp:lastModifiedBy/>
  <cp:revision>1</cp:revision>
  <dcterms:created xsi:type="dcterms:W3CDTF">2013-12-23T23:15:00Z</dcterms:created>
  <dcterms:modified xsi:type="dcterms:W3CDTF">2013-12-23T23:15:00Z</dcterms:modified>
  <cp:category/>
</cp:coreProperties>
</file>