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61E" w:rsidRPr="00EC3BDA" w:rsidRDefault="00EC3BDA">
      <w:pPr>
        <w:jc w:val="center"/>
        <w:rPr>
          <w:rFonts w:ascii="Footlight MT Light" w:hAnsi="Footlight MT Light"/>
          <w:sz w:val="36"/>
          <w:szCs w:val="36"/>
        </w:rPr>
      </w:pPr>
      <w:r w:rsidRPr="00EC3BDA">
        <w:rPr>
          <w:rFonts w:ascii="Footlight MT Light" w:hAnsi="Footlight MT Light"/>
          <w:b/>
          <w:color w:val="0B3D91"/>
          <w:sz w:val="36"/>
          <w:szCs w:val="36"/>
        </w:rPr>
        <w:t>TANZANIA RAILWAYS CORPORATION</w:t>
      </w:r>
      <w:r w:rsidRPr="00EC3BDA">
        <w:rPr>
          <w:rFonts w:ascii="Footlight MT Light" w:hAnsi="Footlight MT Light"/>
          <w:b/>
          <w:color w:val="0B3D91"/>
          <w:sz w:val="36"/>
          <w:szCs w:val="36"/>
        </w:rPr>
        <w:br/>
        <w:t>MONTHLY MONITORING REPORT – JANUARY 2026</w:t>
      </w:r>
    </w:p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r w:rsidRPr="00EC3BDA">
        <w:rPr>
          <w:rFonts w:ascii="Footlight MT Light" w:hAnsi="Footlight MT Light"/>
          <w:b/>
          <w:color w:val="0B3D91"/>
          <w:sz w:val="28"/>
          <w:szCs w:val="28"/>
        </w:rPr>
        <w:t xml:space="preserve">1. Executive </w:t>
      </w:r>
      <w:r w:rsidRPr="00EC3BDA">
        <w:rPr>
          <w:rFonts w:ascii="Footlight MT Light" w:hAnsi="Footlight MT Light"/>
          <w:b/>
          <w:color w:val="0B3D91"/>
          <w:sz w:val="28"/>
          <w:szCs w:val="28"/>
        </w:rPr>
        <w:t>Performance Dashboard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54"/>
        <w:gridCol w:w="2552"/>
        <w:gridCol w:w="2555"/>
      </w:tblGrid>
      <w:tr w:rsidR="001D161E" w:rsidRPr="00EC3BDA" w:rsidTr="00DB69A3">
        <w:trPr>
          <w:jc w:val="center"/>
        </w:trPr>
        <w:tc>
          <w:tcPr>
            <w:tcW w:w="2556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Dashboard Item</w:t>
            </w:r>
          </w:p>
        </w:tc>
        <w:tc>
          <w:tcPr>
            <w:tcW w:w="2556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January 2026 Position</w:t>
            </w:r>
          </w:p>
        </w:tc>
        <w:tc>
          <w:tcPr>
            <w:tcW w:w="2556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Status</w:t>
            </w:r>
          </w:p>
        </w:tc>
        <w:tc>
          <w:tcPr>
            <w:tcW w:w="2556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Management Meaning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Total KPIs assessed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65</w:t>
            </w:r>
          </w:p>
        </w:tc>
        <w:tc>
          <w:tcPr>
            <w:tcW w:w="2556" w:type="dxa"/>
            <w:shd w:val="clear" w:color="auto" w:fill="EAF1FB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Info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Broad performance framework used in the current report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KPIs below target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52</w:t>
            </w:r>
          </w:p>
        </w:tc>
        <w:tc>
          <w:tcPr>
            <w:tcW w:w="2556" w:type="dxa"/>
            <w:shd w:val="clear" w:color="auto" w:fill="FDE9E7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Critical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Shows widespread underperformance and the need for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prioritization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KPIs not implemented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Concern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Indicates implementation gaps that require escalation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MGR freight achievement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15,451 MT against 79,767 MT (19.37%)</w:t>
            </w:r>
          </w:p>
        </w:tc>
        <w:tc>
          <w:tcPr>
            <w:tcW w:w="2556" w:type="dxa"/>
            <w:shd w:val="clear" w:color="auto" w:fill="FDE9E7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Critical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Severely affected by washouts and service disruption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SGR freight achievement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8,625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MT against 41,667 MT (20.69%)</w:t>
            </w:r>
          </w:p>
        </w:tc>
        <w:tc>
          <w:tcPr>
            <w:tcW w:w="2556" w:type="dxa"/>
            <w:shd w:val="clear" w:color="auto" w:fill="FDE9E7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Critical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Constrained by incomplete port rail interface and handling facilities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MGR passenger achievement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129,100 against 313,231 (41.21%)</w:t>
            </w:r>
          </w:p>
        </w:tc>
        <w:tc>
          <w:tcPr>
            <w:tcW w:w="2556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Concern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 due to service interruption and poor punctuality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SGR passenger ac</w:t>
            </w: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hievement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271,642 against 241,780 (112.35%)</w:t>
            </w:r>
          </w:p>
        </w:tc>
        <w:tc>
          <w:tcPr>
            <w:tcW w:w="2556" w:type="dxa"/>
            <w:shd w:val="clear" w:color="auto" w:fill="E8F5E9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Positive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Exceeded target and shows strong demand / service acceptance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Revenue performance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11.131 bn against TZS 23.273 bn (47.83%)</w:t>
            </w:r>
          </w:p>
        </w:tc>
        <w:tc>
          <w:tcPr>
            <w:tcW w:w="2556" w:type="dxa"/>
            <w:shd w:val="clear" w:color="auto" w:fill="FDE9E7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Critical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Collections remain far below target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Expenditure position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TZS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17.480 bn total expenditure</w:t>
            </w:r>
          </w:p>
        </w:tc>
        <w:tc>
          <w:tcPr>
            <w:tcW w:w="2556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Concern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Expenditure exceeded monthly revenue collections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Procurement position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99 tenders planned; 55 initiated; 5 under implementation</w:t>
            </w:r>
          </w:p>
        </w:tc>
        <w:tc>
          <w:tcPr>
            <w:tcW w:w="2556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Concern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Readiness and delivery remain slow</w:t>
            </w:r>
          </w:p>
        </w:tc>
      </w:tr>
    </w:tbl>
    <w:p w:rsidR="00DB69A3" w:rsidRPr="00EC3BDA" w:rsidRDefault="00DB69A3">
      <w:pPr>
        <w:rPr>
          <w:rFonts w:ascii="Footlight MT Light" w:hAnsi="Footlight MT Light"/>
          <w:b/>
          <w:color w:val="0B3D91"/>
          <w:sz w:val="24"/>
          <w:szCs w:val="24"/>
        </w:rPr>
      </w:pPr>
    </w:p>
    <w:p w:rsidR="00DB69A3" w:rsidRPr="00EC3BDA" w:rsidRDefault="00DB69A3">
      <w:pPr>
        <w:rPr>
          <w:rFonts w:ascii="Footlight MT Light" w:hAnsi="Footlight MT Light"/>
          <w:b/>
          <w:color w:val="0B3D91"/>
          <w:sz w:val="24"/>
          <w:szCs w:val="24"/>
        </w:rPr>
      </w:pPr>
    </w:p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r w:rsidRPr="00EC3BDA">
        <w:rPr>
          <w:rFonts w:ascii="Footlight MT Light" w:hAnsi="Footlight MT Light"/>
          <w:b/>
          <w:color w:val="0B3D91"/>
          <w:sz w:val="28"/>
          <w:szCs w:val="28"/>
        </w:rPr>
        <w:t>2. Report Purpose and Scope</w:t>
      </w:r>
    </w:p>
    <w:p w:rsidR="001D161E" w:rsidRPr="00EC3BDA" w:rsidRDefault="00EC3BDA">
      <w:pPr>
        <w:spacing w:after="80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This report presents</w:t>
      </w:r>
      <w:r w:rsidRPr="00EC3BDA">
        <w:rPr>
          <w:rFonts w:ascii="Footlight MT Light" w:hAnsi="Footlight MT Light"/>
          <w:sz w:val="24"/>
          <w:szCs w:val="24"/>
        </w:rPr>
        <w:t xml:space="preserve"> January 2026 performance results</w:t>
      </w:r>
      <w:r w:rsidR="00DB69A3" w:rsidRPr="00EC3BDA">
        <w:rPr>
          <w:rFonts w:ascii="Footlight MT Light" w:hAnsi="Footlight MT Light"/>
          <w:sz w:val="24"/>
          <w:szCs w:val="24"/>
        </w:rPr>
        <w:t>. It</w:t>
      </w:r>
      <w:r w:rsidRPr="00EC3BDA">
        <w:rPr>
          <w:rFonts w:ascii="Footlight MT Light" w:hAnsi="Footlight MT Light"/>
          <w:sz w:val="24"/>
          <w:szCs w:val="24"/>
        </w:rPr>
        <w:t xml:space="preserve"> consolidates KPI performance, operations, safety, finance, procurement, risks, management actions and data qu</w:t>
      </w:r>
      <w:r w:rsidRPr="00EC3BDA">
        <w:rPr>
          <w:rFonts w:ascii="Footlight MT Light" w:hAnsi="Footlight MT Light"/>
          <w:sz w:val="24"/>
          <w:szCs w:val="24"/>
        </w:rPr>
        <w:t>ality issues so that decision-makers can act more quickly.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3. KPI Summary by Key Performance Area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395"/>
        <w:gridCol w:w="1812"/>
        <w:gridCol w:w="1009"/>
        <w:gridCol w:w="1661"/>
        <w:gridCol w:w="1389"/>
        <w:gridCol w:w="996"/>
        <w:gridCol w:w="1952"/>
      </w:tblGrid>
      <w:tr w:rsidR="001D161E" w:rsidRPr="00EC3BDA" w:rsidTr="00DB69A3">
        <w:trPr>
          <w:jc w:val="center"/>
        </w:trPr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Key Performance Area</w:t>
            </w:r>
          </w:p>
        </w:tc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Indicator</w:t>
            </w:r>
          </w:p>
        </w:tc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Target</w:t>
            </w:r>
          </w:p>
        </w:tc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Actual</w:t>
            </w:r>
          </w:p>
        </w:tc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Achievement</w:t>
            </w:r>
          </w:p>
        </w:tc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Status</w:t>
            </w:r>
          </w:p>
        </w:tc>
        <w:tc>
          <w:tcPr>
            <w:tcW w:w="1461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Main Comment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Freight – MGR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Metric tons transported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79,767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15,451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19.37%</w:t>
            </w:r>
          </w:p>
        </w:tc>
        <w:tc>
          <w:tcPr>
            <w:tcW w:w="1461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Heavy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rainfall and washouts on Kilosa–Kidete section disrupted operations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Freight – SGR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Metric tons transported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41,667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8,625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20.69%</w:t>
            </w:r>
          </w:p>
        </w:tc>
        <w:tc>
          <w:tcPr>
            <w:tcW w:w="1461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Incomplete rail infrastructure at Dar es Salaam Port and weak loading/offloading facilities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Passenger – MGR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Passengers transported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313,231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129,100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41.21%</w:t>
            </w:r>
          </w:p>
        </w:tc>
        <w:tc>
          <w:tcPr>
            <w:tcW w:w="1461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Service interruption and poor punctuality affected patronage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Passenger – SGR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Passengers transported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241,780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271,642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112.35%</w:t>
            </w:r>
          </w:p>
        </w:tc>
        <w:tc>
          <w:tcPr>
            <w:tcW w:w="1461" w:type="dxa"/>
            <w:shd w:val="clear" w:color="auto" w:fill="E8F5E9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Above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Strong demand and more reliable service delivery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Rolling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Stock – Coaches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Coaches available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87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97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111.49%</w:t>
            </w:r>
          </w:p>
        </w:tc>
        <w:tc>
          <w:tcPr>
            <w:tcW w:w="1461" w:type="dxa"/>
            <w:shd w:val="clear" w:color="auto" w:fill="E8F5E9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Above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Availability above plan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Rolling Stock – Wagons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Wagons available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846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870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102.84%</w:t>
            </w:r>
          </w:p>
        </w:tc>
        <w:tc>
          <w:tcPr>
            <w:tcW w:w="1461" w:type="dxa"/>
            <w:shd w:val="clear" w:color="auto" w:fill="E8F5E9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Above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Availability above plan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Rolling Stock – Locomotives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Remanufacturing progress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Not stated in source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17%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1461" w:type="dxa"/>
            <w:shd w:val="clear" w:color="auto" w:fill="EAF1FB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Data gap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Target missing in source report and should be completed before approval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lastRenderedPageBreak/>
              <w:t>Safety – MGR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Accidents / incidents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Not stated in source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4 accidents, 12 incidents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1461" w:type="dxa"/>
            <w:shd w:val="clear" w:color="auto" w:fill="FDE9E7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Concern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Track defects cited as major cause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Safety – SGR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Accidents / incidents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Not stated in source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4 accidents, 16 incidents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1461" w:type="dxa"/>
            <w:shd w:val="clear" w:color="auto" w:fill="FDE9E7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Concern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Human error, rainfall and electrical faults identified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Financial Performance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Revenue collection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23.273 bn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11.131 bn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47.83%</w:t>
            </w:r>
          </w:p>
        </w:tc>
        <w:tc>
          <w:tcPr>
            <w:tcW w:w="1461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Weak collections and high cost pressure</w:t>
            </w:r>
          </w:p>
        </w:tc>
      </w:tr>
      <w:tr w:rsidR="001D161E" w:rsidRPr="00EC3BDA" w:rsidTr="00DB69A3">
        <w:trPr>
          <w:jc w:val="center"/>
        </w:trPr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Procurement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 Performance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Annual procurement plan implementation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99 tenders planned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55 initiated; 5 under implementation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1461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</w:t>
            </w:r>
          </w:p>
        </w:tc>
        <w:tc>
          <w:tcPr>
            <w:tcW w:w="1461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Slow progress creates delivery risk</w:t>
            </w:r>
          </w:p>
        </w:tc>
      </w:tr>
    </w:tbl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r w:rsidRPr="00EC3BDA">
        <w:rPr>
          <w:rFonts w:ascii="Footlight MT Light" w:hAnsi="Footlight MT Light"/>
          <w:b/>
          <w:color w:val="0B3D91"/>
          <w:sz w:val="28"/>
          <w:szCs w:val="28"/>
        </w:rPr>
        <w:t>4. Overall Performance Assessment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The current report indicates a difficult operating month. Mo</w:t>
      </w:r>
      <w:r w:rsidRPr="00EC3BDA">
        <w:rPr>
          <w:rFonts w:ascii="Footlight MT Light" w:hAnsi="Footlight MT Light"/>
          <w:sz w:val="24"/>
          <w:szCs w:val="24"/>
        </w:rPr>
        <w:t>st KPIs were below target, largely because infrastructure disruptions, rolling stock constraints, weather impacts, and weak revenue performance affected service delivery.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Performance was mixed: the strongest area was SGR passenger transport, while freight,</w:t>
      </w:r>
      <w:r w:rsidRPr="00EC3BDA">
        <w:rPr>
          <w:rFonts w:ascii="Footlight MT Light" w:hAnsi="Footlight MT Light"/>
          <w:sz w:val="24"/>
          <w:szCs w:val="24"/>
        </w:rPr>
        <w:t xml:space="preserve"> revenue, and procurement remained significantly below expected levels.</w:t>
      </w:r>
    </w:p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r w:rsidRPr="00EC3BDA">
        <w:rPr>
          <w:rFonts w:ascii="Footlight MT Light" w:hAnsi="Footlight MT Light"/>
          <w:b/>
          <w:color w:val="0B3D91"/>
          <w:sz w:val="28"/>
          <w:szCs w:val="28"/>
        </w:rPr>
        <w:t>5. Detailed Performance Review by Key Area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5.1 Freight Performance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MGR freight performance was far below target at 19.37%. The source report attributes this mainly to heavy rainfall and washouts that affected the Kilosa–Kidete section.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SGR freight pe</w:t>
      </w:r>
      <w:r w:rsidRPr="00EC3BDA">
        <w:rPr>
          <w:rFonts w:ascii="Footlight MT Light" w:hAnsi="Footlight MT Light"/>
          <w:sz w:val="24"/>
          <w:szCs w:val="24"/>
        </w:rPr>
        <w:t>rformance also remained weak at 20.69%, mainly because of incomplete rail infrastructure at Dar es Salaam Port and weak cargo handling facilities.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Management implication: freight recovery requires both infrastructure restoration and logistics interface imp</w:t>
      </w:r>
      <w:r w:rsidRPr="00EC3BDA">
        <w:rPr>
          <w:rFonts w:ascii="Footlight MT Light" w:hAnsi="Footlight MT Light"/>
          <w:sz w:val="24"/>
          <w:szCs w:val="24"/>
        </w:rPr>
        <w:t>rovement.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5.2 Passenger Performance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MGR passenger performance reached only 41.21% of target, mainly due to poor punctuality and interrupted service.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SGR passenger performance exceeded target at 112.35%, showing stronger reliability and customer demand.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Management implication: SGR service strengths should be protected while MGR reliability weaknesses are addressed.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5.3 Rolling Stock Performance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lastRenderedPageBreak/>
        <w:t>Coach availability exceeded target, as did wagon availability.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Locomotive remanufacturing progress is reported a</w:t>
      </w:r>
      <w:r w:rsidRPr="00EC3BDA">
        <w:rPr>
          <w:rFonts w:ascii="Footlight MT Light" w:hAnsi="Footlight MT Light"/>
          <w:sz w:val="24"/>
          <w:szCs w:val="24"/>
        </w:rPr>
        <w:t>t 17%, but the target is missing in the source report. This is a data-quality issue that should be corrected before approval of the final report.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Management implication: the report should distinguish between fleet availability indicators and workshop / rem</w:t>
      </w:r>
      <w:r w:rsidRPr="00EC3BDA">
        <w:rPr>
          <w:rFonts w:ascii="Footlight MT Light" w:hAnsi="Footlight MT Light"/>
          <w:sz w:val="24"/>
          <w:szCs w:val="24"/>
        </w:rPr>
        <w:t>anufacturing progress indicators.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5.4 Safety Performance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The source report records safety incidents on both the MGR and SGR systems.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MGR incidents were linked mainly to track defects, while SGR incidents were associated with human error, rainfall, and elec</w:t>
      </w:r>
      <w:r w:rsidRPr="00EC3BDA">
        <w:rPr>
          <w:rFonts w:ascii="Footlight MT Light" w:hAnsi="Footlight MT Light"/>
          <w:sz w:val="24"/>
          <w:szCs w:val="24"/>
        </w:rPr>
        <w:t>trical faults.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Management implication: safety reporting should move beyond counts and include classification, root cause, corrective actions, and closure status.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5.5 Procurement Performance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 xml:space="preserve">The source report notes that 99 tenders were planned, 55 had been </w:t>
      </w:r>
      <w:r w:rsidRPr="00EC3BDA">
        <w:rPr>
          <w:rFonts w:ascii="Footlight MT Light" w:hAnsi="Footlight MT Light"/>
          <w:sz w:val="24"/>
          <w:szCs w:val="24"/>
        </w:rPr>
        <w:t>initiated, and only 5 were under implementation.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This suggests procurement bottlenecks and implementation readiness concerns that may affect future delivery.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Management implication: procurement should be reported not only as activity counts but also by cri</w:t>
      </w:r>
      <w:r w:rsidRPr="00EC3BDA">
        <w:rPr>
          <w:rFonts w:ascii="Footlight MT Light" w:hAnsi="Footlight MT Light"/>
          <w:sz w:val="24"/>
          <w:szCs w:val="24"/>
        </w:rPr>
        <w:t>ticality and effect on project delivery.</w:t>
      </w:r>
    </w:p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r w:rsidRPr="00EC3BDA">
        <w:rPr>
          <w:rFonts w:ascii="Footlight MT Light" w:hAnsi="Footlight MT Light"/>
          <w:b/>
          <w:color w:val="0B3D91"/>
          <w:sz w:val="28"/>
          <w:szCs w:val="28"/>
        </w:rPr>
        <w:t>6. Financial Performance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6.1 Financial Dashboard Summary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5"/>
        <w:gridCol w:w="2555"/>
        <w:gridCol w:w="2552"/>
      </w:tblGrid>
      <w:tr w:rsidR="001D161E" w:rsidRPr="00EC3BDA" w:rsidTr="00DB69A3">
        <w:trPr>
          <w:jc w:val="center"/>
        </w:trPr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Financial Metric</w:t>
            </w:r>
          </w:p>
        </w:tc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Target / Reference</w:t>
            </w:r>
          </w:p>
        </w:tc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Actual January 2026</w:t>
            </w:r>
          </w:p>
        </w:tc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Comment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Revenue collection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23,273,013,346.70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11,131,111,301.09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Achievement was 47.83% of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target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Total expenditure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17,479,760,845.69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Expenditure exceeded monthly revenue collections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Cash expenditure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10,194,590,221.48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Actual disbursed expenditure component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Arrears / debt accrued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N/A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7,285,170,624.21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Outstanding obligations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 increased the pressure on cash flow</w:t>
            </w:r>
          </w:p>
        </w:tc>
      </w:tr>
      <w:tr w:rsidR="001D161E" w:rsidRPr="00EC3BDA" w:rsidTr="00DB69A3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lastRenderedPageBreak/>
              <w:t>Outstanding payments trend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July 2025–January 2026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TZS 2,809,635,944.76 cumulative in source table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Shows ongoing liabilities requiring control</w:t>
            </w:r>
          </w:p>
        </w:tc>
      </w:tr>
    </w:tbl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6.2 Revenue Collection by Source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54"/>
        <w:gridCol w:w="2553"/>
        <w:gridCol w:w="2553"/>
        <w:gridCol w:w="2554"/>
      </w:tblGrid>
      <w:tr w:rsidR="001D161E" w:rsidRPr="00EC3BDA" w:rsidTr="005927A6">
        <w:trPr>
          <w:jc w:val="center"/>
        </w:trPr>
        <w:tc>
          <w:tcPr>
            <w:tcW w:w="2554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Revenue Source</w:t>
            </w:r>
          </w:p>
        </w:tc>
        <w:tc>
          <w:tcPr>
            <w:tcW w:w="2553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Target (TZS)</w:t>
            </w:r>
          </w:p>
        </w:tc>
        <w:tc>
          <w:tcPr>
            <w:tcW w:w="2553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Actual (TZS)</w:t>
            </w:r>
          </w:p>
        </w:tc>
        <w:tc>
          <w:tcPr>
            <w:tcW w:w="2554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Comment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Freight – MGR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649,979,948.92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Low freight performance contributed to under-collection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Freight – SGR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263,924,198.79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Low freight performance contributed to under-collection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Mainline Passenger – MGR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303,815,895.00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Below target due to service issues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Mainline Passenger – SGR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9,357,763,619.00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Strong performer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Commuter services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   46,454,700.00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Included in total collections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Parcel and luggage – MGR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   22,003,932.00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Supplementary revenue stream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Parcel and luggage – SGR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   18,808,244.00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Supplementary revenue stream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Rental – MGR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242,175,578.62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Ancillary revenues included in total collections</w:t>
            </w: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Rental - SGR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   46,646,766.76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Parking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 xml:space="preserve">                                160,368,000.00 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Miscellaneous</w:t>
            </w:r>
          </w:p>
        </w:tc>
        <w:tc>
          <w:tcPr>
            <w:tcW w:w="2553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  <w:tc>
          <w:tcPr>
            <w:tcW w:w="2553" w:type="dxa"/>
            <w:vAlign w:val="bottom"/>
          </w:tcPr>
          <w:p w:rsidR="005927A6" w:rsidRPr="00EC3BDA" w:rsidRDefault="005927A6" w:rsidP="005927A6">
            <w:pPr>
              <w:spacing w:before="100" w:beforeAutospacing="1" w:after="100" w:afterAutospacing="1"/>
              <w:jc w:val="right"/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</w:pPr>
            <w:r w:rsidRPr="00EC3BDA">
              <w:rPr>
                <w:rFonts w:ascii="Footlight MT Light" w:eastAsia="Times New Roman" w:hAnsi="Footlight MT Light" w:cs="Arial"/>
                <w:bCs/>
                <w:color w:val="000000"/>
                <w:sz w:val="24"/>
                <w:szCs w:val="24"/>
              </w:rPr>
              <w:t>19,170,418.00</w:t>
            </w:r>
          </w:p>
        </w:tc>
        <w:tc>
          <w:tcPr>
            <w:tcW w:w="2554" w:type="dxa"/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</w:tbl>
    <w:p w:rsidR="005927A6" w:rsidRPr="00EC3BDA" w:rsidRDefault="005927A6">
      <w:pPr>
        <w:rPr>
          <w:rFonts w:ascii="Footlight MT Light" w:hAnsi="Footlight MT Light"/>
          <w:i/>
          <w:sz w:val="24"/>
          <w:szCs w:val="24"/>
        </w:rPr>
      </w:pP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6.3 Expenditure Analysis</w:t>
      </w:r>
    </w:p>
    <w:p w:rsidR="001D161E" w:rsidRPr="00EC3BDA" w:rsidRDefault="00E63D72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 xml:space="preserve">A Total </w:t>
      </w:r>
      <w:r w:rsidR="00EC3BDA" w:rsidRPr="00EC3BDA">
        <w:rPr>
          <w:rFonts w:ascii="Footlight MT Light" w:hAnsi="Footlight MT Light"/>
          <w:sz w:val="24"/>
          <w:szCs w:val="24"/>
        </w:rPr>
        <w:t>expenditure of TZS 17,479,760,845.69, made up of TZS 10,194,590,221.48 cash expenditure and TZS 7,285,170,624.21 recorded as debt / arrears. This means monthly</w:t>
      </w:r>
      <w:r w:rsidR="00EC3BDA" w:rsidRPr="00EC3BDA">
        <w:rPr>
          <w:rFonts w:ascii="Footlight MT Light" w:hAnsi="Footlight MT Light"/>
          <w:sz w:val="24"/>
          <w:szCs w:val="24"/>
        </w:rPr>
        <w:t xml:space="preserve"> expenditure materially exceeded collected revenue, indicating financial strain and the need for tighter cost control.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6.4 Outstanding Payments Trend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08"/>
        <w:gridCol w:w="3408"/>
        <w:gridCol w:w="3408"/>
      </w:tblGrid>
      <w:tr w:rsidR="001D161E" w:rsidRPr="00EC3BDA" w:rsidTr="005927A6">
        <w:trPr>
          <w:jc w:val="center"/>
        </w:trPr>
        <w:tc>
          <w:tcPr>
            <w:tcW w:w="3408" w:type="dxa"/>
            <w:tcBorders>
              <w:bottom w:val="dashSmallGap" w:sz="4" w:space="0" w:color="auto"/>
            </w:tcBorders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lastRenderedPageBreak/>
              <w:t>Month</w:t>
            </w:r>
          </w:p>
        </w:tc>
        <w:tc>
          <w:tcPr>
            <w:tcW w:w="3408" w:type="dxa"/>
            <w:tcBorders>
              <w:bottom w:val="dashSmallGap" w:sz="4" w:space="0" w:color="auto"/>
            </w:tcBorders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Outstanding Payment (TZS)</w:t>
            </w:r>
          </w:p>
        </w:tc>
        <w:tc>
          <w:tcPr>
            <w:tcW w:w="3408" w:type="dxa"/>
            <w:tcBorders>
              <w:bottom w:val="dashSmallGap" w:sz="4" w:space="0" w:color="auto"/>
            </w:tcBorders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Comment</w:t>
            </w: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July 2025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0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August 2025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361,397,990.58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September 2025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264,606,627.53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October 2025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156,248,951.76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November 2025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213,503,294.84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December 2025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451,598,009.69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  <w:tr w:rsidR="005927A6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January 2026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pStyle w:val="NormalWeb"/>
              <w:jc w:val="right"/>
              <w:rPr>
                <w:rFonts w:ascii="Footlight MT Light" w:hAnsi="Footlight MT Light" w:cs="Arial"/>
              </w:rPr>
            </w:pPr>
            <w:r w:rsidRPr="00EC3BDA">
              <w:rPr>
                <w:rFonts w:ascii="Footlight MT Light" w:hAnsi="Footlight MT Light" w:cs="Arial"/>
              </w:rPr>
              <w:t>1,362,281,070.36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5927A6" w:rsidRPr="00EC3BDA" w:rsidRDefault="005927A6" w:rsidP="005927A6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January spike / current obligation visible in source report</w:t>
            </w:r>
          </w:p>
        </w:tc>
      </w:tr>
      <w:tr w:rsidR="001D161E" w:rsidRPr="00EC3BDA" w:rsidTr="005927A6">
        <w:trPr>
          <w:jc w:val="center"/>
        </w:trPr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Total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2,809,635,944.76</w:t>
            </w:r>
          </w:p>
        </w:tc>
        <w:tc>
          <w:tcPr>
            <w:tcW w:w="3408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1D161E" w:rsidRPr="00EC3BDA" w:rsidRDefault="001D161E">
            <w:pPr>
              <w:rPr>
                <w:rFonts w:ascii="Footlight MT Light" w:hAnsi="Footlight MT Light"/>
                <w:sz w:val="24"/>
                <w:szCs w:val="24"/>
              </w:rPr>
            </w:pPr>
          </w:p>
        </w:tc>
      </w:tr>
    </w:tbl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6.5 Financial Ris</w:t>
      </w:r>
      <w:r w:rsidRPr="00EC3BDA">
        <w:rPr>
          <w:rFonts w:ascii="Footlight MT Light" w:hAnsi="Footlight MT Light"/>
          <w:b/>
          <w:color w:val="0B3D91"/>
          <w:sz w:val="24"/>
          <w:szCs w:val="24"/>
        </w:rPr>
        <w:t>ks and Required Management Actions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Risk: revenue collection remains significantly below target.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Risk: expenditure exceeds collections, increasing pressure on cash flow and arrears.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Risk: procurement delays may worsen financial inefficiency by slowing outpu</w:t>
      </w:r>
      <w:r w:rsidRPr="00EC3BDA">
        <w:rPr>
          <w:rFonts w:ascii="Footlight MT Light" w:hAnsi="Footlight MT Light"/>
          <w:sz w:val="24"/>
          <w:szCs w:val="24"/>
        </w:rPr>
        <w:t>t delivery.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Action proposed: align expenditure with actual revenue position and critical operational priorities.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Action proposed: introduce stronger monthly budget control and require finance concurrence before non-critical commitments.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Action proposed: tr</w:t>
      </w:r>
      <w:r w:rsidRPr="00EC3BDA">
        <w:rPr>
          <w:rFonts w:ascii="Footlight MT Light" w:hAnsi="Footlight MT Light"/>
          <w:sz w:val="24"/>
          <w:szCs w:val="24"/>
        </w:rPr>
        <w:t>ack outstanding payments in every monthly report as a management watch item.</w:t>
      </w:r>
    </w:p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r w:rsidRPr="00EC3BDA">
        <w:rPr>
          <w:rFonts w:ascii="Footlight MT Light" w:hAnsi="Footlight MT Light"/>
          <w:b/>
          <w:color w:val="0B3D91"/>
          <w:sz w:val="28"/>
          <w:szCs w:val="28"/>
        </w:rPr>
        <w:t>7. Compliance, Procurement and Operational Support Risks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Procurement progress remains below the pace required to fully support implementation targets.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 xml:space="preserve">The monthly report should </w:t>
      </w:r>
      <w:r w:rsidRPr="00EC3BDA">
        <w:rPr>
          <w:rFonts w:ascii="Footlight MT Light" w:hAnsi="Footlight MT Light"/>
          <w:sz w:val="24"/>
          <w:szCs w:val="24"/>
        </w:rPr>
        <w:t>explicitly show procurement delays that affect service delivery, rolling stock repair, and infrastructure restoration.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Future versions of the report should include a dedicated compliance section capturing safeguards / ESCP reporting status, major incidents</w:t>
      </w:r>
      <w:r w:rsidRPr="00EC3BDA">
        <w:rPr>
          <w:rFonts w:ascii="Footlight MT Light" w:hAnsi="Footlight MT Light"/>
          <w:sz w:val="24"/>
          <w:szCs w:val="24"/>
        </w:rPr>
        <w:t>, and any overdue compliance actions.</w:t>
      </w:r>
    </w:p>
    <w:p w:rsidR="001D161E" w:rsidRPr="00EC3BDA" w:rsidRDefault="00EC3BDA">
      <w:pPr>
        <w:rPr>
          <w:rFonts w:ascii="Footlight MT Light" w:hAnsi="Footlight MT Light"/>
          <w:sz w:val="28"/>
          <w:szCs w:val="28"/>
        </w:rPr>
      </w:pPr>
      <w:bookmarkStart w:id="0" w:name="_GoBack"/>
      <w:r w:rsidRPr="00EC3BDA">
        <w:rPr>
          <w:rFonts w:ascii="Footlight MT Light" w:hAnsi="Footlight MT Light"/>
          <w:b/>
          <w:color w:val="0B3D91"/>
          <w:sz w:val="28"/>
          <w:szCs w:val="28"/>
        </w:rPr>
        <w:t>8. Key Risks Requiring Management Attention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53"/>
        <w:gridCol w:w="2554"/>
        <w:gridCol w:w="2554"/>
      </w:tblGrid>
      <w:tr w:rsidR="001D161E" w:rsidRPr="00EC3BDA" w:rsidTr="005927A6">
        <w:trPr>
          <w:jc w:val="center"/>
        </w:trPr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bookmarkEnd w:id="0"/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Risk</w:t>
            </w:r>
          </w:p>
        </w:tc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Current Signal</w:t>
            </w:r>
          </w:p>
        </w:tc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Likely Impact</w:t>
            </w:r>
          </w:p>
        </w:tc>
        <w:tc>
          <w:tcPr>
            <w:tcW w:w="2556" w:type="dxa"/>
            <w:shd w:val="clear" w:color="auto" w:fill="DCE6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sz w:val="24"/>
                <w:szCs w:val="24"/>
              </w:rPr>
              <w:t>Immediate Action Required</w:t>
            </w:r>
          </w:p>
        </w:tc>
      </w:tr>
      <w:tr w:rsidR="001D161E" w:rsidRPr="00EC3BDA" w:rsidTr="005927A6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Washouts / weather disruption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High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Freight and passenger losses; infrastructure damage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Prioritize restoration and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 weather-risk mitigation</w:t>
            </w:r>
          </w:p>
        </w:tc>
      </w:tr>
      <w:tr w:rsidR="001D161E" w:rsidRPr="00EC3BDA" w:rsidTr="005927A6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lastRenderedPageBreak/>
              <w:t>Incomplete port rail interface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High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Low SGR freight throughput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Accelerate infrastructure completion and coordination</w:t>
            </w:r>
          </w:p>
        </w:tc>
      </w:tr>
      <w:tr w:rsidR="001D161E" w:rsidRPr="00EC3BDA" w:rsidTr="005927A6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Weak revenue performance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High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Financial sustainability pressure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Tighten expenditure control and grow collections</w:t>
            </w:r>
          </w:p>
        </w:tc>
      </w:tr>
      <w:tr w:rsidR="001D161E" w:rsidRPr="00EC3BDA" w:rsidTr="005927A6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Data quality gap in rolling stock KPI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Medium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Weak management confidence in report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Validate target and indicator definition before approval</w:t>
            </w:r>
          </w:p>
        </w:tc>
      </w:tr>
      <w:tr w:rsidR="001D161E" w:rsidRPr="00EC3BDA" w:rsidTr="005927A6">
        <w:trPr>
          <w:jc w:val="center"/>
        </w:trPr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Slow procurement progress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High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Delays in works, repairs and service support</w:t>
            </w:r>
          </w:p>
        </w:tc>
        <w:tc>
          <w:tcPr>
            <w:tcW w:w="2556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Escalate critical packages and monitor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 readiness weekly</w:t>
            </w:r>
          </w:p>
        </w:tc>
      </w:tr>
    </w:tbl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9. Management Action / Recommendation Tracker</w:t>
      </w: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2043"/>
        <w:gridCol w:w="2044"/>
        <w:gridCol w:w="2044"/>
        <w:gridCol w:w="2042"/>
        <w:gridCol w:w="2041"/>
      </w:tblGrid>
      <w:tr w:rsidR="001D161E" w:rsidRPr="00EC3BDA" w:rsidTr="005927A6">
        <w:trPr>
          <w:jc w:val="center"/>
        </w:trPr>
        <w:tc>
          <w:tcPr>
            <w:tcW w:w="2045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Issue</w:t>
            </w:r>
          </w:p>
        </w:tc>
        <w:tc>
          <w:tcPr>
            <w:tcW w:w="2045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Recommended Action</w:t>
            </w:r>
          </w:p>
        </w:tc>
        <w:tc>
          <w:tcPr>
            <w:tcW w:w="2045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Responsible Unit</w:t>
            </w:r>
          </w:p>
        </w:tc>
        <w:tc>
          <w:tcPr>
            <w:tcW w:w="2045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Timing</w:t>
            </w:r>
          </w:p>
        </w:tc>
        <w:tc>
          <w:tcPr>
            <w:tcW w:w="2045" w:type="dxa"/>
            <w:shd w:val="clear" w:color="auto" w:fill="0B3D9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1D161E" w:rsidRPr="00EC3BDA" w:rsidRDefault="00EC3BDA">
            <w:pPr>
              <w:jc w:val="center"/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b/>
                <w:color w:val="FFFFFF"/>
                <w:sz w:val="24"/>
                <w:szCs w:val="24"/>
              </w:rPr>
              <w:t>Status</w:t>
            </w:r>
          </w:p>
        </w:tc>
      </w:tr>
      <w:tr w:rsidR="001D161E" w:rsidRPr="00EC3BDA" w:rsidTr="005927A6">
        <w:trPr>
          <w:jc w:val="center"/>
        </w:trPr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Low MGR freight performance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Restore disrupted sections and stabilize operations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Engineering / Operations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Immediate</w:t>
            </w:r>
          </w:p>
        </w:tc>
        <w:tc>
          <w:tcPr>
            <w:tcW w:w="2045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Open</w:t>
            </w:r>
          </w:p>
        </w:tc>
      </w:tr>
      <w:tr w:rsidR="001D161E" w:rsidRPr="00EC3BDA" w:rsidTr="005927A6">
        <w:trPr>
          <w:jc w:val="center"/>
        </w:trPr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 xml:space="preserve">Low SGR 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freight throughput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Improve Dar es Salaam Port interface and cargo handling linkages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Infrastructure / Operations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Immediate</w:t>
            </w:r>
          </w:p>
        </w:tc>
        <w:tc>
          <w:tcPr>
            <w:tcW w:w="2045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Open</w:t>
            </w:r>
          </w:p>
        </w:tc>
      </w:tr>
      <w:tr w:rsidR="001D161E" w:rsidRPr="00EC3BDA" w:rsidTr="005927A6">
        <w:trPr>
          <w:jc w:val="center"/>
        </w:trPr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Revenue shortfall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Align expenditure to actual collections and strengthen revenue controls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Finance / Management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Immediate</w:t>
            </w:r>
          </w:p>
        </w:tc>
        <w:tc>
          <w:tcPr>
            <w:tcW w:w="2045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Open</w:t>
            </w:r>
          </w:p>
        </w:tc>
      </w:tr>
      <w:tr w:rsidR="001D161E" w:rsidRPr="00EC3BDA" w:rsidTr="005927A6">
        <w:trPr>
          <w:jc w:val="center"/>
        </w:trPr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Procurement slow-down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Prioritize critical tenders and track implementation packages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Procurement / Management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Within 1 month</w:t>
            </w:r>
          </w:p>
        </w:tc>
        <w:tc>
          <w:tcPr>
            <w:tcW w:w="2045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Open</w:t>
            </w:r>
          </w:p>
        </w:tc>
      </w:tr>
      <w:tr w:rsidR="001D161E" w:rsidRPr="00EC3BDA" w:rsidTr="005927A6">
        <w:trPr>
          <w:jc w:val="center"/>
        </w:trPr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Data quality gap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Validate KPI definitions and missing targets before final report approval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M&amp;E / Technical units</w:t>
            </w:r>
          </w:p>
        </w:tc>
        <w:tc>
          <w:tcPr>
            <w:tcW w:w="2045" w:type="dxa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Immediate</w:t>
            </w:r>
          </w:p>
        </w:tc>
        <w:tc>
          <w:tcPr>
            <w:tcW w:w="2045" w:type="dxa"/>
            <w:shd w:val="clear" w:color="auto" w:fill="FFF2CC"/>
          </w:tcPr>
          <w:p w:rsidR="001D161E" w:rsidRPr="00EC3BDA" w:rsidRDefault="00EC3BDA">
            <w:pPr>
              <w:rPr>
                <w:rFonts w:ascii="Footlight MT Light" w:hAnsi="Footlight MT Light"/>
                <w:sz w:val="24"/>
                <w:szCs w:val="24"/>
              </w:rPr>
            </w:pPr>
            <w:r w:rsidRPr="00EC3BDA">
              <w:rPr>
                <w:rFonts w:ascii="Footlight MT Light" w:hAnsi="Footlight MT Light"/>
                <w:sz w:val="24"/>
                <w:szCs w:val="24"/>
              </w:rPr>
              <w:t>Ope</w:t>
            </w:r>
            <w:r w:rsidRPr="00EC3BDA">
              <w:rPr>
                <w:rFonts w:ascii="Footlight MT Light" w:hAnsi="Footlight MT Light"/>
                <w:sz w:val="24"/>
                <w:szCs w:val="24"/>
              </w:rPr>
              <w:t>n</w:t>
            </w:r>
          </w:p>
        </w:tc>
      </w:tr>
    </w:tbl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10. Data Quality and Reporting Notes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lastRenderedPageBreak/>
        <w:t>The source report is strong in narrative explanation but should be supported by a cleaner KPI matrix and executive dashboard in every month.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 xml:space="preserve">Any field with a missing target, such as the locomotive remanufacturing </w:t>
      </w:r>
      <w:r w:rsidRPr="00EC3BDA">
        <w:rPr>
          <w:rFonts w:ascii="Footlight MT Light" w:hAnsi="Footlight MT Light"/>
          <w:sz w:val="24"/>
          <w:szCs w:val="24"/>
        </w:rPr>
        <w:t>indicator, should be explicitly flagged as a data gap and corrected before sign-off.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Future reports should include a formal validation step confirming target, actual, source, responsible unit and calculation for each KPI.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 xml:space="preserve">Recommendations should be tracked </w:t>
      </w:r>
      <w:r w:rsidRPr="00EC3BDA">
        <w:rPr>
          <w:rFonts w:ascii="Footlight MT Light" w:hAnsi="Footlight MT Light"/>
          <w:sz w:val="24"/>
          <w:szCs w:val="24"/>
        </w:rPr>
        <w:t>from month to month so that management can see what has been implemented and what remains open.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>11. Conclusion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January 2026 was a challenging month operationally and financially. Passenger performance on the SGR was a positive exception, but freight, reven</w:t>
      </w:r>
      <w:r w:rsidRPr="00EC3BDA">
        <w:rPr>
          <w:rFonts w:ascii="Footlight MT Light" w:hAnsi="Footlight MT Light"/>
          <w:sz w:val="24"/>
          <w:szCs w:val="24"/>
        </w:rPr>
        <w:t>ue, procurement and several operational indicators remained below target. The improved structure in this sample report is intended to make the monthly report more decision-oriented, easier to validate, and more useful for management follow-up.</w:t>
      </w:r>
    </w:p>
    <w:p w:rsidR="001D161E" w:rsidRPr="00EC3BDA" w:rsidRDefault="00EC3BDA">
      <w:pPr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b/>
          <w:color w:val="0B3D91"/>
          <w:sz w:val="24"/>
          <w:szCs w:val="24"/>
        </w:rPr>
        <w:t xml:space="preserve">12. Annex – </w:t>
      </w:r>
      <w:r w:rsidRPr="00EC3BDA">
        <w:rPr>
          <w:rFonts w:ascii="Footlight MT Light" w:hAnsi="Footlight MT Light"/>
          <w:b/>
          <w:color w:val="0B3D91"/>
          <w:sz w:val="24"/>
          <w:szCs w:val="24"/>
        </w:rPr>
        <w:t>Source Figure Notes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All headline figures used in this sample were drawn from the current January 2026 source report already provided.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Where the source report contained a complete number, that number has been preserved.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 xml:space="preserve">Where the source report referenced a </w:t>
      </w:r>
      <w:r w:rsidRPr="00EC3BDA">
        <w:rPr>
          <w:rFonts w:ascii="Footlight MT Light" w:hAnsi="Footlight MT Light"/>
          <w:sz w:val="24"/>
          <w:szCs w:val="24"/>
        </w:rPr>
        <w:t>table but the detailed line item was not reproduced in the earlier sample, this v6 report explicitly notes that the table should be inserted in final management use.</w:t>
      </w:r>
    </w:p>
    <w:p w:rsidR="001D161E" w:rsidRPr="00EC3BDA" w:rsidRDefault="00EC3BDA">
      <w:pPr>
        <w:pStyle w:val="ListBullet"/>
        <w:rPr>
          <w:rFonts w:ascii="Footlight MT Light" w:hAnsi="Footlight MT Light"/>
          <w:sz w:val="24"/>
          <w:szCs w:val="24"/>
        </w:rPr>
      </w:pPr>
      <w:r w:rsidRPr="00EC3BDA">
        <w:rPr>
          <w:rFonts w:ascii="Footlight MT Light" w:hAnsi="Footlight MT Light"/>
          <w:sz w:val="24"/>
          <w:szCs w:val="24"/>
        </w:rPr>
        <w:t>No missing locomotive target has been guessed; it remains flagged as a source data gap.</w:t>
      </w:r>
    </w:p>
    <w:sectPr w:rsidR="001D161E" w:rsidRPr="00EC3BDA" w:rsidSect="00034616">
      <w:pgSz w:w="12240" w:h="15840"/>
      <w:pgMar w:top="864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D161E"/>
    <w:rsid w:val="0029639D"/>
    <w:rsid w:val="00326F90"/>
    <w:rsid w:val="005927A6"/>
    <w:rsid w:val="00AA1D8D"/>
    <w:rsid w:val="00B47730"/>
    <w:rsid w:val="00CB0664"/>
    <w:rsid w:val="00DB69A3"/>
    <w:rsid w:val="00E63D72"/>
    <w:rsid w:val="00EC3B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4D132F8-49F4-467D-BD5B-917ADE754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592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5F0934-C308-4844-B8C7-A3F630579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1822</Words>
  <Characters>10387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12185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OMINGO</dc:creator>
  <cp:keywords/>
  <dc:description>generated by python-docx</dc:description>
  <cp:lastModifiedBy>Clifford Omingo</cp:lastModifiedBy>
  <cp:revision>3</cp:revision>
  <dcterms:created xsi:type="dcterms:W3CDTF">2026-03-25T06:24:00Z</dcterms:created>
  <dcterms:modified xsi:type="dcterms:W3CDTF">2026-03-25T06:37:00Z</dcterms:modified>
  <cp:category/>
</cp:coreProperties>
</file>