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EEE" w:rsidRPr="00D6358A" w:rsidRDefault="00911A3D">
      <w:pPr>
        <w:jc w:val="center"/>
        <w:rPr>
          <w:rFonts w:ascii="Footlight MT Light" w:hAnsi="Footlight MT Light"/>
        </w:rPr>
      </w:pPr>
      <w:r w:rsidRPr="00D6358A">
        <w:rPr>
          <w:rFonts w:ascii="Footlight MT Light" w:hAnsi="Footlight MT Light"/>
          <w:b/>
          <w:color w:val="0B3D91"/>
          <w:sz w:val="30"/>
        </w:rPr>
        <w:t>TANZANIA RAILWAYS CORPORATION</w:t>
      </w:r>
    </w:p>
    <w:p w:rsidR="00F54EEE" w:rsidRPr="00D6358A" w:rsidRDefault="00911A3D">
      <w:pPr>
        <w:jc w:val="center"/>
        <w:rPr>
          <w:rFonts w:ascii="Footlight MT Light" w:hAnsi="Footlight MT Light"/>
        </w:rPr>
      </w:pPr>
      <w:r w:rsidRPr="00D6358A">
        <w:rPr>
          <w:rFonts w:ascii="Footlight MT Light" w:hAnsi="Footlight MT Light"/>
          <w:b/>
          <w:sz w:val="28"/>
        </w:rPr>
        <w:t>MONTHLY MONITORING REPORT – JANUARY 2026</w:t>
      </w:r>
    </w:p>
    <w:p w:rsidR="00F54EEE" w:rsidRPr="00D6358A" w:rsidRDefault="00173E2B">
      <w:pPr>
        <w:pStyle w:val="Heading1"/>
        <w:rPr>
          <w:rFonts w:ascii="Footlight MT Light" w:hAnsi="Footlight MT Light"/>
          <w:color w:val="17365D" w:themeColor="text2" w:themeShade="BF"/>
        </w:rPr>
      </w:pPr>
      <w:r>
        <w:rPr>
          <w:rFonts w:ascii="Footlight MT Light" w:hAnsi="Footlight MT Light"/>
          <w:color w:val="17365D" w:themeColor="text2" w:themeShade="BF"/>
        </w:rPr>
        <w:t xml:space="preserve">1. </w:t>
      </w:r>
      <w:bookmarkStart w:id="0" w:name="_GoBack"/>
      <w:bookmarkEnd w:id="0"/>
      <w:r w:rsidR="00911A3D" w:rsidRPr="00D6358A">
        <w:rPr>
          <w:rFonts w:ascii="Footlight MT Light" w:hAnsi="Footlight MT Light"/>
          <w:color w:val="17365D" w:themeColor="text2" w:themeShade="BF"/>
        </w:rPr>
        <w:t>Performance Dashboard</w:t>
      </w:r>
    </w:p>
    <w:tbl>
      <w:tblPr>
        <w:tblStyle w:val="TableGrid"/>
        <w:tblW w:w="10632" w:type="dxa"/>
        <w:jc w:val="center"/>
        <w:tblLook w:val="04A0" w:firstRow="1" w:lastRow="0" w:firstColumn="1" w:lastColumn="0" w:noHBand="0" w:noVBand="1"/>
      </w:tblPr>
      <w:tblGrid>
        <w:gridCol w:w="2556"/>
        <w:gridCol w:w="2556"/>
        <w:gridCol w:w="2556"/>
        <w:gridCol w:w="2964"/>
      </w:tblGrid>
      <w:tr w:rsidR="00F54EEE" w:rsidRPr="00D6358A" w:rsidTr="00D6358A">
        <w:trPr>
          <w:tblHeader/>
          <w:jc w:val="center"/>
        </w:trPr>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Dashboard Item</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January 2026 Position</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Status</w:t>
            </w:r>
          </w:p>
        </w:tc>
        <w:tc>
          <w:tcPr>
            <w:tcW w:w="2964"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Management Meaning</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Total KPIs assessed</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65</w:t>
            </w:r>
          </w:p>
        </w:tc>
        <w:tc>
          <w:tcPr>
            <w:tcW w:w="2556" w:type="dxa"/>
            <w:shd w:val="clear" w:color="auto" w:fill="EAF1FB"/>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Info</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Broad performance framework used in the current report</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KPIs above target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8</w:t>
            </w:r>
          </w:p>
        </w:tc>
        <w:tc>
          <w:tcPr>
            <w:tcW w:w="2556" w:type="dxa"/>
            <w:shd w:val="clear" w:color="auto" w:fill="E8F5E9"/>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Positive</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Shows a few strong-performing areas that can be protected and replicated</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KPIs on target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w:t>
            </w:r>
          </w:p>
        </w:tc>
        <w:tc>
          <w:tcPr>
            <w:tcW w:w="2556"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Stable</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Indicates areas meeting expectation but still requiring monitoring</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KPIs below target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52</w:t>
            </w:r>
          </w:p>
        </w:tc>
        <w:tc>
          <w:tcPr>
            <w:tcW w:w="2556"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Critical</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Shows widespread underperformance and need for prioritization</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KPIs not implemented</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w:t>
            </w:r>
          </w:p>
        </w:tc>
        <w:tc>
          <w:tcPr>
            <w:tcW w:w="2556"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Concern</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Indicates implementation gap requiring escalation</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MGR freight achievement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15,451 MT against 79,767 MT (19.37%)</w:t>
            </w:r>
          </w:p>
        </w:tc>
        <w:tc>
          <w:tcPr>
            <w:tcW w:w="2556"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Critical</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Severely affected by washouts and service disruption</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SGR freight achievement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8,625 MT against 41,667 MT (20.69%)</w:t>
            </w:r>
          </w:p>
        </w:tc>
        <w:tc>
          <w:tcPr>
            <w:tcW w:w="2556"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Critical</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Constrained by incomplete port rail interface and handling facilities</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MGR passenger achievement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129,100 against 313,231 (41.21%)</w:t>
            </w:r>
          </w:p>
        </w:tc>
        <w:tc>
          <w:tcPr>
            <w:tcW w:w="2556"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Concern</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Below target due to service interruption and poor punctuality</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SGR passenger achievement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271,642 against 241,780 (112.35%)</w:t>
            </w:r>
          </w:p>
        </w:tc>
        <w:tc>
          <w:tcPr>
            <w:tcW w:w="2556" w:type="dxa"/>
            <w:shd w:val="clear" w:color="auto" w:fill="E8F5E9"/>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Positive</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Exceeded target and shows strong demand / service acceptance</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Revenue performance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11.131 bn against TZS 23.273 bn (47.83%)</w:t>
            </w:r>
          </w:p>
        </w:tc>
        <w:tc>
          <w:tcPr>
            <w:tcW w:w="2556"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Critical</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Collections remain far below target</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Expenditure position</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17.480 bn total expenditure</w:t>
            </w:r>
          </w:p>
        </w:tc>
        <w:tc>
          <w:tcPr>
            <w:tcW w:w="2556"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Concern</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Expenditure exceeded monthly revenue collections</w:t>
            </w:r>
          </w:p>
        </w:tc>
      </w:tr>
      <w:tr w:rsidR="00F54EEE" w:rsidRPr="00D6358A" w:rsidT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Procurement position</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99 tenders planned; 55 initiated; 5 under implementation</w:t>
            </w:r>
          </w:p>
        </w:tc>
        <w:tc>
          <w:tcPr>
            <w:tcW w:w="2556"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Concern</w:t>
            </w:r>
          </w:p>
        </w:tc>
        <w:tc>
          <w:tcPr>
            <w:tcW w:w="296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Readiness and delivery remain slow</w:t>
            </w:r>
          </w:p>
        </w:tc>
      </w:tr>
    </w:tbl>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2. Report Purpose and Scope</w:t>
      </w:r>
    </w:p>
    <w:p w:rsidR="00F54EEE" w:rsidRPr="00D6358A" w:rsidRDefault="00911A3D" w:rsidP="00D6358A">
      <w:pPr>
        <w:spacing w:line="360" w:lineRule="auto"/>
        <w:rPr>
          <w:rFonts w:ascii="Footlight MT Light" w:hAnsi="Footlight MT Light"/>
        </w:rPr>
      </w:pPr>
      <w:r w:rsidRPr="00D6358A">
        <w:rPr>
          <w:rFonts w:ascii="Footlight MT Light" w:hAnsi="Footlight MT Light"/>
        </w:rPr>
        <w:t>This report presents January 2026 performance results. It consolidates KPI performance, operations, safety, finance, procurement, risks, management actions and data quality issues so that decision-makers can act more quickly.</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lastRenderedPageBreak/>
        <w:t>3. KPI Summary by Key Performance Area</w:t>
      </w:r>
    </w:p>
    <w:tbl>
      <w:tblPr>
        <w:tblStyle w:val="TableGrid"/>
        <w:tblW w:w="10716" w:type="dxa"/>
        <w:jc w:val="center"/>
        <w:tblLook w:val="04A0" w:firstRow="1" w:lastRow="0" w:firstColumn="1" w:lastColumn="0" w:noHBand="0" w:noVBand="1"/>
      </w:tblPr>
      <w:tblGrid>
        <w:gridCol w:w="1461"/>
        <w:gridCol w:w="1487"/>
        <w:gridCol w:w="1461"/>
        <w:gridCol w:w="1461"/>
        <w:gridCol w:w="1461"/>
        <w:gridCol w:w="1461"/>
        <w:gridCol w:w="1924"/>
      </w:tblGrid>
      <w:tr w:rsidR="00F54EEE" w:rsidRPr="00D6358A" w:rsidTr="00E14B8A">
        <w:trPr>
          <w:tblHeader/>
          <w:jc w:val="center"/>
        </w:trPr>
        <w:tc>
          <w:tcPr>
            <w:tcW w:w="1461"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Key Performance Area</w:t>
            </w:r>
          </w:p>
        </w:tc>
        <w:tc>
          <w:tcPr>
            <w:tcW w:w="1487"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Indicator</w:t>
            </w:r>
          </w:p>
        </w:tc>
        <w:tc>
          <w:tcPr>
            <w:tcW w:w="1461"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Target</w:t>
            </w:r>
          </w:p>
        </w:tc>
        <w:tc>
          <w:tcPr>
            <w:tcW w:w="1461"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Actual</w:t>
            </w:r>
          </w:p>
        </w:tc>
        <w:tc>
          <w:tcPr>
            <w:tcW w:w="1461"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Achievement</w:t>
            </w:r>
          </w:p>
        </w:tc>
        <w:tc>
          <w:tcPr>
            <w:tcW w:w="1461"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Status</w:t>
            </w:r>
          </w:p>
        </w:tc>
        <w:tc>
          <w:tcPr>
            <w:tcW w:w="1924"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Main Comment</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Freight – MGR</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Metric tons transported</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79,767</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15,451</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19.37%</w:t>
            </w:r>
          </w:p>
        </w:tc>
        <w:tc>
          <w:tcPr>
            <w:tcW w:w="1461"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Below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Heavy rainfall and washouts on Kilosa–Kidete section disrupted operations</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Freight – SGR</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Metric tons transported</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41,667</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8,625</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20.69%</w:t>
            </w:r>
          </w:p>
        </w:tc>
        <w:tc>
          <w:tcPr>
            <w:tcW w:w="1461"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Below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Incomplete Dar es Salaam Port rail interface and weak loading/offloading facilities</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Passenger – MGR</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Passengers transported</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313,231</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129,100</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41.21%</w:t>
            </w:r>
          </w:p>
        </w:tc>
        <w:tc>
          <w:tcPr>
            <w:tcW w:w="1461"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Below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Service interruption and poor punctuality affected patronage</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Passenger – SGR</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Passengers transported</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241,780</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271,642</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112.35%</w:t>
            </w:r>
          </w:p>
        </w:tc>
        <w:tc>
          <w:tcPr>
            <w:tcW w:w="1461" w:type="dxa"/>
            <w:shd w:val="clear" w:color="auto" w:fill="E8F5E9"/>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Above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Strong demand and more reliable service delivery</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Rolling Stock – Coaches</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Coaches available</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87</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97</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111.49%</w:t>
            </w:r>
          </w:p>
        </w:tc>
        <w:tc>
          <w:tcPr>
            <w:tcW w:w="1461" w:type="dxa"/>
            <w:shd w:val="clear" w:color="auto" w:fill="E8F5E9"/>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Above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Availability above plan</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Rolling Stock – Wagons</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Wagons available</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846</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870</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102.84%</w:t>
            </w:r>
          </w:p>
        </w:tc>
        <w:tc>
          <w:tcPr>
            <w:tcW w:w="1461" w:type="dxa"/>
            <w:shd w:val="clear" w:color="auto" w:fill="E8F5E9"/>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Above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Availability above plan</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Rolling Stock – Locomotives</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Remanufacturing progress</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stated in source</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17%</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N/A</w:t>
            </w:r>
          </w:p>
        </w:tc>
        <w:tc>
          <w:tcPr>
            <w:tcW w:w="1461"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Data gap</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Target missing in source report and should be completed before approval</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Safety – MGR</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Accidents / incidents</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stated in source</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 accidents; 12 incidents</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N/A</w:t>
            </w:r>
          </w:p>
        </w:tc>
        <w:tc>
          <w:tcPr>
            <w:tcW w:w="1461"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Concern</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Track defects cited as major cause</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Safety – SGR</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Accidents / incidents</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stated in source</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 accidents; 16 incidents</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N/A</w:t>
            </w:r>
          </w:p>
        </w:tc>
        <w:tc>
          <w:tcPr>
            <w:tcW w:w="1461"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Concern</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Human error, rainfall and electrical faults identified</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Financial Performance</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Revenue collection</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23.273 bn</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11.131 bn</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47.83%</w:t>
            </w:r>
          </w:p>
        </w:tc>
        <w:tc>
          <w:tcPr>
            <w:tcW w:w="1461"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Below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Weak collections and high cost pressure</w:t>
            </w:r>
          </w:p>
        </w:tc>
      </w:tr>
      <w:tr w:rsidR="00F54EEE" w:rsidRPr="00D6358A" w:rsidTr="00E14B8A">
        <w:trPr>
          <w:jc w:val="center"/>
        </w:trPr>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Procurement Performance</w:t>
            </w:r>
          </w:p>
        </w:tc>
        <w:tc>
          <w:tcPr>
            <w:tcW w:w="1487"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Annual procurement plan implementation</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99 tenders planned</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55 initiated; 5 under implementation</w:t>
            </w:r>
          </w:p>
        </w:tc>
        <w:tc>
          <w:tcPr>
            <w:tcW w:w="1461"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N/A</w:t>
            </w:r>
          </w:p>
        </w:tc>
        <w:tc>
          <w:tcPr>
            <w:tcW w:w="1461"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Below target</w:t>
            </w:r>
          </w:p>
        </w:tc>
        <w:tc>
          <w:tcPr>
            <w:tcW w:w="1924"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Slow progress creates delivery risk</w:t>
            </w:r>
          </w:p>
        </w:tc>
      </w:tr>
    </w:tbl>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lastRenderedPageBreak/>
        <w:t>4. Overall Performance Assessment</w:t>
      </w:r>
    </w:p>
    <w:p w:rsidR="00F54EEE" w:rsidRPr="00E14B8A" w:rsidRDefault="00911A3D" w:rsidP="00D6358A">
      <w:pPr>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The month was operationally and financially difficult. Most KPIs were below target largely because infrastructure disruptions, weather impacts, procurement delays, and weak revenue performance affected service delivery. Performance was mixed: SGR passenger transport exceeded target, while freight, revenue, and procurement remained significantly below expected levels.</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5. Detailed Performance Review by Key Area</w:t>
      </w:r>
    </w:p>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5.1 Freight Performance</w:t>
      </w:r>
    </w:p>
    <w:p w:rsidR="00F54EEE" w:rsidRPr="00E14B8A" w:rsidRDefault="00911A3D" w:rsidP="00D6358A">
      <w:pPr>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MGR freight performance was far below target at 19.37%, mainly due to heavy rainfall and washouts that affected the Kilosa–Kidete section. SGR freight performance remained weak at 20.69% because of incomplete rail infrastructure at Dar es Salaam Port, inadequate loading/offloading facilities, and high logistics costs around Pugu loading points</w:t>
      </w:r>
      <w:r w:rsidRPr="00E14B8A">
        <w:rPr>
          <w:rFonts w:ascii="Footlight MT Light" w:hAnsi="Footlight MT Light"/>
          <w:color w:val="17365D" w:themeColor="text2" w:themeShade="BF"/>
          <w:highlight w:val="yellow"/>
        </w:rPr>
        <w:t>. Management implication: freight recovery requires both infrastructure restoration and logistics interface improvement.</w:t>
      </w:r>
    </w:p>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5.2 Passenger Performance</w:t>
      </w:r>
    </w:p>
    <w:p w:rsidR="00F54EEE" w:rsidRPr="00E14B8A" w:rsidRDefault="00911A3D" w:rsidP="00D6358A">
      <w:pPr>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 xml:space="preserve">MGR passenger performance reached only 41.21% of target, mainly due to poor punctuality and interrupted service. SGR passenger performance exceeded target at 112.35%, indicating strong demand and operational reliability. </w:t>
      </w:r>
      <w:r w:rsidRPr="00E14B8A">
        <w:rPr>
          <w:rFonts w:ascii="Footlight MT Light" w:hAnsi="Footlight MT Light"/>
          <w:color w:val="17365D" w:themeColor="text2" w:themeShade="BF"/>
          <w:highlight w:val="yellow"/>
        </w:rPr>
        <w:t>Management implication: SGR service strengths should be protected while MGR reliability weaknesses are addressed.</w:t>
      </w:r>
    </w:p>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5.3 Rolling Stock Performance</w:t>
      </w:r>
    </w:p>
    <w:p w:rsidR="00F54EEE" w:rsidRPr="00E14B8A" w:rsidRDefault="00911A3D" w:rsidP="00D6358A">
      <w:pPr>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Coach availability exceeded target, as did wagon availability, mainly due to continuous routine maintenance. Remanufacturing of five locomotives and procurement of eight new locomotives, of which two had been delivered by December 2025. However, remanufacturing progress is reported at 17% against a target shown as “XX%” in the source data. This is a material data-quality issue that should be corrected before sign-off</w:t>
      </w:r>
      <w:r w:rsidRPr="00E14B8A">
        <w:rPr>
          <w:rFonts w:ascii="Footlight MT Light" w:hAnsi="Footlight MT Light"/>
          <w:color w:val="17365D" w:themeColor="text2" w:themeShade="BF"/>
          <w:highlight w:val="yellow"/>
        </w:rPr>
        <w:t>. Management implication: the report should distinguish between fleet availability indicators and workshop/remanufacturing progress indicators</w:t>
      </w:r>
      <w:r w:rsidRPr="00E14B8A">
        <w:rPr>
          <w:rFonts w:ascii="Footlight MT Light" w:hAnsi="Footlight MT Light"/>
          <w:color w:val="17365D" w:themeColor="text2" w:themeShade="BF"/>
        </w:rPr>
        <w:t>.</w:t>
      </w:r>
    </w:p>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5.4 Safety Performance</w:t>
      </w:r>
    </w:p>
    <w:p w:rsidR="00F54EEE" w:rsidRPr="00E14B8A" w:rsidRDefault="00911A3D" w:rsidP="00D6358A">
      <w:pPr>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 xml:space="preserve">4 accidents and 12 incidents on MGR, with track-related issues accounting for 75% of major accidents and human error 25%. On SGR, 4 accidents and 16 incidents were recorded, attributed to false track occupation, defective coaches, power outages, dynamic instability, and points machine failures; principal accident causes were human error (50%), heavy rainfall (25%), and electrical faults (25%). </w:t>
      </w:r>
      <w:r w:rsidRPr="00E14B8A">
        <w:rPr>
          <w:rFonts w:ascii="Footlight MT Light" w:hAnsi="Footlight MT Light"/>
          <w:color w:val="17365D" w:themeColor="text2" w:themeShade="BF"/>
          <w:highlight w:val="yellow"/>
        </w:rPr>
        <w:t>Management implication: safety reporting should move beyond counts and include classification, root cause, corrective actions, responsible unit, and closure status.</w:t>
      </w:r>
    </w:p>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5.5 Procurement Performance</w:t>
      </w:r>
    </w:p>
    <w:p w:rsidR="00F54EEE" w:rsidRPr="00E14B8A" w:rsidRDefault="00911A3D" w:rsidP="00D6358A">
      <w:pPr>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 xml:space="preserve">It is also noted that 99 tenders were planned, 55 had been initiated, and only 5 were under implementation. This indicates significant procurement bottlenecks and implementation readiness concerns that may affect future delivery. </w:t>
      </w:r>
      <w:r w:rsidRPr="00E14B8A">
        <w:rPr>
          <w:rFonts w:ascii="Footlight MT Light" w:hAnsi="Footlight MT Light"/>
          <w:color w:val="17365D" w:themeColor="text2" w:themeShade="BF"/>
          <w:highlight w:val="yellow"/>
        </w:rPr>
        <w:t>Management implication: procurement should be reported not only as activity counts but also by criticality, package value, effect on service delivery, and aging of delayed actions.</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lastRenderedPageBreak/>
        <w:t>6. Financial Performance</w:t>
      </w:r>
    </w:p>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6.1 Financial Dashboard Summary</w:t>
      </w:r>
    </w:p>
    <w:tbl>
      <w:tblPr>
        <w:tblStyle w:val="TableGrid"/>
        <w:tblW w:w="0" w:type="auto"/>
        <w:jc w:val="center"/>
        <w:tblLook w:val="04A0" w:firstRow="1" w:lastRow="0" w:firstColumn="1" w:lastColumn="0" w:noHBand="0" w:noVBand="1"/>
      </w:tblPr>
      <w:tblGrid>
        <w:gridCol w:w="2553"/>
        <w:gridCol w:w="2554"/>
        <w:gridCol w:w="2554"/>
        <w:gridCol w:w="2553"/>
      </w:tblGrid>
      <w:tr w:rsidR="00F54EEE" w:rsidRPr="00D6358A">
        <w:trPr>
          <w:tblHeader/>
          <w:jc w:val="center"/>
        </w:trPr>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Financial Metric</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Target / Reference</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Actual January 2026</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Comment</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Revenue collection</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23,273,013,346.70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11,131,111,301.09</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Achievement was 47.83% of target</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Total expenditure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N/A</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17,479,760,845.69</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Expenditure exceeded monthly revenue collections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Cash expenditure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N/A</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10,194,590,221.48</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Actual disbursed expenditure component</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Arrears / debt accrued</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N/A</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7,285,170,624.21</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Outstanding obligations increased pressure on cash flow</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Outstanding payments trend</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July 2025–January 2026</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2,809,635,944.76 cumulative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Shows ongoing liabilities requiring control</w:t>
            </w:r>
          </w:p>
        </w:tc>
      </w:tr>
    </w:tbl>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6.2 Revenue Collection by Source</w:t>
      </w:r>
    </w:p>
    <w:tbl>
      <w:tblPr>
        <w:tblStyle w:val="TableGrid"/>
        <w:tblW w:w="0" w:type="auto"/>
        <w:jc w:val="center"/>
        <w:tblLook w:val="04A0" w:firstRow="1" w:lastRow="0" w:firstColumn="1" w:lastColumn="0" w:noHBand="0" w:noVBand="1"/>
      </w:tblPr>
      <w:tblGrid>
        <w:gridCol w:w="2553"/>
        <w:gridCol w:w="2554"/>
        <w:gridCol w:w="2554"/>
        <w:gridCol w:w="2553"/>
      </w:tblGrid>
      <w:tr w:rsidR="00F54EEE" w:rsidRPr="00D6358A">
        <w:trPr>
          <w:tblHeader/>
          <w:jc w:val="center"/>
        </w:trPr>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Revenue Source</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Target (TZS)</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Actual (TZS)</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Comment</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Freight – MGR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649,979,948.92</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Low freight performance contributed to under-collection</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Freight – SGR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263,924,198.79</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Low freight performance contributed to under-collection</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Mainline Passenger – MGR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303,815,895.00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Below target due to service issues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Mainline Passenger – SGR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9,357,763,619.00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Strong performer</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Commuter services</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46,454,700.00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Included in total collections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Parcel and luggage – MGR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22,003,932.00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Supplementary revenue stream</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Parcel and luggage – SGR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18,808,244.00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Supplementary revenue stream</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Rental – MGR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242,175,578.62</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Ancillary revenues included in total collections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Rental – SGR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46,646,766.76</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Ancillary revenues included in total collections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Parking – SGR</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160,368,000.00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Ancillary revenue stream</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Miscellaneous</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Not disaggregated in source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19,170,418.00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Other collections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Total</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TZS 23,273,013,346.70</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11,131,111,301.09</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Overall revenue achievement: 47.83%</w:t>
            </w:r>
          </w:p>
        </w:tc>
      </w:tr>
    </w:tbl>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lastRenderedPageBreak/>
        <w:t>6.3 Expenditure Analysis</w:t>
      </w:r>
    </w:p>
    <w:p w:rsidR="00F54EEE" w:rsidRPr="00E14B8A" w:rsidRDefault="00911A3D" w:rsidP="00D6358A">
      <w:pPr>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Total expenditure for the period was TZS 17,479,760,845.69, made up of TZS 10,194,590,221.48 cash expenditure and TZS 7,285,170,624.21 recorded as debt / arrears. Monthly expenditure materially exceeded collected revenue, indicating financial strain and the need for tighter cost control.</w:t>
      </w:r>
    </w:p>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6.4 Outstanding Payments Trend</w:t>
      </w:r>
    </w:p>
    <w:tbl>
      <w:tblPr>
        <w:tblStyle w:val="TableGrid"/>
        <w:tblW w:w="0" w:type="auto"/>
        <w:jc w:val="center"/>
        <w:tblLook w:val="04A0" w:firstRow="1" w:lastRow="0" w:firstColumn="1" w:lastColumn="0" w:noHBand="0" w:noVBand="1"/>
      </w:tblPr>
      <w:tblGrid>
        <w:gridCol w:w="3405"/>
        <w:gridCol w:w="3405"/>
        <w:gridCol w:w="3404"/>
      </w:tblGrid>
      <w:tr w:rsidR="00F54EEE" w:rsidRPr="00D6358A">
        <w:trPr>
          <w:tblHeader/>
          <w:jc w:val="center"/>
        </w:trPr>
        <w:tc>
          <w:tcPr>
            <w:tcW w:w="340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Month</w:t>
            </w:r>
          </w:p>
        </w:tc>
        <w:tc>
          <w:tcPr>
            <w:tcW w:w="340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Outstanding Payment (TZS)</w:t>
            </w:r>
          </w:p>
        </w:tc>
        <w:tc>
          <w:tcPr>
            <w:tcW w:w="340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Comment</w:t>
            </w: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July 2025</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0</w:t>
            </w:r>
          </w:p>
        </w:tc>
        <w:tc>
          <w:tcPr>
            <w:tcW w:w="3408"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August 2025</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361,397,990.58</w:t>
            </w:r>
          </w:p>
        </w:tc>
        <w:tc>
          <w:tcPr>
            <w:tcW w:w="3408"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September 2025</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264,606,627.53</w:t>
            </w:r>
          </w:p>
        </w:tc>
        <w:tc>
          <w:tcPr>
            <w:tcW w:w="3408"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October 2025</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156,248,951.76</w:t>
            </w:r>
          </w:p>
        </w:tc>
        <w:tc>
          <w:tcPr>
            <w:tcW w:w="3408"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November 2025</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213,503,294.84</w:t>
            </w:r>
          </w:p>
        </w:tc>
        <w:tc>
          <w:tcPr>
            <w:tcW w:w="3408"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December 2025</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451,598,009.69</w:t>
            </w:r>
          </w:p>
        </w:tc>
        <w:tc>
          <w:tcPr>
            <w:tcW w:w="3408"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January 2026</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1,362,281,070.36</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 xml:space="preserve">January spike / current obligation visible </w:t>
            </w:r>
          </w:p>
        </w:tc>
      </w:tr>
      <w:tr w:rsidR="00F54EEE" w:rsidRPr="00D6358A">
        <w:trPr>
          <w:jc w:val="center"/>
        </w:trPr>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Total</w:t>
            </w:r>
          </w:p>
        </w:tc>
        <w:tc>
          <w:tcPr>
            <w:tcW w:w="340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2,809,635,944.76</w:t>
            </w:r>
          </w:p>
        </w:tc>
        <w:tc>
          <w:tcPr>
            <w:tcW w:w="3408"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bl>
    <w:p w:rsidR="00F54EEE" w:rsidRPr="00E14B8A" w:rsidRDefault="00911A3D" w:rsidP="00D6358A">
      <w:pPr>
        <w:pStyle w:val="Heading2"/>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6.5 Financial Risks and Required Management Actions</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Revenue collection remains significantly below target.</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Expenditure exceeds collections, increasing pressure on cash flow and arrears.</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Procurement delays may worsen financial inefficiency by slowing output delivery.</w:t>
      </w:r>
    </w:p>
    <w:p w:rsidR="00F54EEE" w:rsidRPr="00E14B8A" w:rsidRDefault="00911A3D" w:rsidP="00D6358A">
      <w:pPr>
        <w:pStyle w:val="ListBullet"/>
        <w:spacing w:line="360" w:lineRule="auto"/>
        <w:rPr>
          <w:rFonts w:ascii="Footlight MT Light" w:hAnsi="Footlight MT Light"/>
          <w:highlight w:val="yellow"/>
        </w:rPr>
      </w:pPr>
      <w:r w:rsidRPr="00E14B8A">
        <w:rPr>
          <w:rFonts w:ascii="Footlight MT Light" w:hAnsi="Footlight MT Light"/>
          <w:highlight w:val="yellow"/>
        </w:rPr>
        <w:t>Action proposed: align expenditure with actual revenue position and critical operational priorities.</w:t>
      </w:r>
    </w:p>
    <w:p w:rsidR="00F54EEE" w:rsidRPr="00E14B8A" w:rsidRDefault="00911A3D" w:rsidP="00D6358A">
      <w:pPr>
        <w:pStyle w:val="ListBullet"/>
        <w:spacing w:line="360" w:lineRule="auto"/>
        <w:rPr>
          <w:rFonts w:ascii="Footlight MT Light" w:hAnsi="Footlight MT Light"/>
          <w:highlight w:val="yellow"/>
        </w:rPr>
      </w:pPr>
      <w:r w:rsidRPr="00E14B8A">
        <w:rPr>
          <w:rFonts w:ascii="Footlight MT Light" w:hAnsi="Footlight MT Light"/>
          <w:highlight w:val="yellow"/>
        </w:rPr>
        <w:t>Action proposed: introduce stronger monthly budget control and require finance concurrence before non-critical commitments.</w:t>
      </w:r>
    </w:p>
    <w:p w:rsidR="00F54EEE" w:rsidRPr="00E14B8A" w:rsidRDefault="00911A3D" w:rsidP="00D6358A">
      <w:pPr>
        <w:pStyle w:val="ListBullet"/>
        <w:spacing w:line="360" w:lineRule="auto"/>
        <w:rPr>
          <w:rFonts w:ascii="Footlight MT Light" w:hAnsi="Footlight MT Light"/>
          <w:highlight w:val="yellow"/>
        </w:rPr>
      </w:pPr>
      <w:r w:rsidRPr="00E14B8A">
        <w:rPr>
          <w:rFonts w:ascii="Footlight MT Light" w:hAnsi="Footlight MT Light"/>
          <w:highlight w:val="yellow"/>
        </w:rPr>
        <w:t>Action proposed: track outstanding payments in every monthly report as a management watch item.</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7. Compliance, Procurement and Operational Support Risks</w:t>
      </w:r>
    </w:p>
    <w:p w:rsidR="00F54EEE" w:rsidRPr="00D6358A" w:rsidRDefault="00911A3D" w:rsidP="00D6358A">
      <w:pPr>
        <w:spacing w:line="360" w:lineRule="auto"/>
        <w:rPr>
          <w:rFonts w:ascii="Footlight MT Light" w:hAnsi="Footlight MT Light"/>
        </w:rPr>
      </w:pPr>
      <w:r w:rsidRPr="00D6358A">
        <w:rPr>
          <w:rFonts w:ascii="Footlight MT Light" w:hAnsi="Footlight MT Light"/>
        </w:rPr>
        <w:t xml:space="preserve">Procurement progress remains below the pace required to fully support implementation targets. </w:t>
      </w:r>
      <w:r w:rsidRPr="00E14B8A">
        <w:rPr>
          <w:rFonts w:ascii="Footlight MT Light" w:hAnsi="Footlight MT Light"/>
          <w:highlight w:val="yellow"/>
        </w:rPr>
        <w:t>The monthly report should explicitly show procurement delays that affect service delivery, rolling stock repair, and infrastructure restoration. Future versions of the report should include a dedicated compliance section capturing safeguards / ESCP reporting status, major incidents, overdue compliance actions, and closure status of audit or inspection findings.</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8. Achievements Snapshot</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SGR passenger business surpassed target by 12.35%.</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Availability of wagons and coaches exceeded planned targets by 2.84% and 11.49% respectively.</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SGR punctuality remained a strength supporting customer retention.</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Revenue from leased tenants and parking show positive growth.</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lastRenderedPageBreak/>
        <w:t>9. Key Risks Requiring Management Attention</w:t>
      </w:r>
    </w:p>
    <w:tbl>
      <w:tblPr>
        <w:tblStyle w:val="TableGrid"/>
        <w:tblW w:w="0" w:type="auto"/>
        <w:jc w:val="center"/>
        <w:tblLook w:val="04A0" w:firstRow="1" w:lastRow="0" w:firstColumn="1" w:lastColumn="0" w:noHBand="0" w:noVBand="1"/>
      </w:tblPr>
      <w:tblGrid>
        <w:gridCol w:w="2553"/>
        <w:gridCol w:w="2553"/>
        <w:gridCol w:w="2554"/>
        <w:gridCol w:w="2554"/>
      </w:tblGrid>
      <w:tr w:rsidR="00F54EEE" w:rsidRPr="00D6358A">
        <w:trPr>
          <w:tblHeader/>
          <w:jc w:val="center"/>
        </w:trPr>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Risk</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Current Signal</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Likely Impact</w:t>
            </w:r>
          </w:p>
        </w:tc>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Immediate Action Required</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Washouts / weather disruption</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Freight and passenger losses; infrastructure damage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Prioritize restoration and weather-risk mitigation</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Incomplete port rail interface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Low SGR freight throughput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Accelerate infrastructure completion and coordination</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Weak revenue performance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Financial sustainability pressure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Tighten expenditure control and grow collections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Data quality gap in rolling stock KPI</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Weak management confidence in report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Validate target and indicator definition before approval</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Slow procurement progress</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Delays in works, repairs and service support</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Escalate critical packages and monitor readiness weekly</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Safety incident recurrence</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Operational disruption and reputational risk</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Strengthen preventive maintenance, briefings and incident closure actions</w:t>
            </w:r>
          </w:p>
        </w:tc>
      </w:tr>
      <w:tr w:rsidR="00F54EEE" w:rsidRPr="00D6358A">
        <w:trPr>
          <w:jc w:val="center"/>
        </w:trPr>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ESCP/compliance visibility gap</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Compliance breaches may go unreported</w:t>
            </w:r>
          </w:p>
        </w:tc>
        <w:tc>
          <w:tcPr>
            <w:tcW w:w="2556"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Introduce dedicated compliance tracking section in monthly report</w:t>
            </w:r>
          </w:p>
        </w:tc>
      </w:tr>
    </w:tbl>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10. Risk Register Summary</w:t>
      </w:r>
    </w:p>
    <w:tbl>
      <w:tblPr>
        <w:tblStyle w:val="TableGrid"/>
        <w:tblW w:w="0" w:type="auto"/>
        <w:jc w:val="center"/>
        <w:tblLook w:val="04A0" w:firstRow="1" w:lastRow="0" w:firstColumn="1" w:lastColumn="0" w:noHBand="0" w:noVBand="1"/>
      </w:tblPr>
      <w:tblGrid>
        <w:gridCol w:w="1275"/>
        <w:gridCol w:w="1277"/>
        <w:gridCol w:w="1278"/>
        <w:gridCol w:w="1277"/>
        <w:gridCol w:w="1276"/>
        <w:gridCol w:w="1276"/>
        <w:gridCol w:w="1278"/>
        <w:gridCol w:w="1277"/>
      </w:tblGrid>
      <w:tr w:rsidR="00F54EEE" w:rsidRPr="00D6358A">
        <w:trPr>
          <w:tblHeader/>
          <w:jc w:val="center"/>
        </w:trPr>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Risk ID</w:t>
            </w:r>
          </w:p>
        </w:tc>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Risk Description</w:t>
            </w:r>
          </w:p>
        </w:tc>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Category</w:t>
            </w:r>
          </w:p>
        </w:tc>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Likelihood</w:t>
            </w:r>
          </w:p>
        </w:tc>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Impact</w:t>
            </w:r>
          </w:p>
        </w:tc>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Rating</w:t>
            </w:r>
          </w:p>
        </w:tc>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Owner</w:t>
            </w:r>
          </w:p>
        </w:tc>
        <w:tc>
          <w:tcPr>
            <w:tcW w:w="1278"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Mitigation Status</w:t>
            </w:r>
          </w:p>
        </w:tc>
      </w:tr>
      <w:tr w:rsidR="00F54EEE" w:rsidRPr="00D6358A">
        <w:trPr>
          <w:jc w:val="center"/>
        </w:trPr>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R1</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Washouts / weather disruption affecting operations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Infrastructure / Climate</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Engineering / Operations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 – restoration and mitigation required</w:t>
            </w:r>
          </w:p>
        </w:tc>
      </w:tr>
      <w:tr w:rsidR="00F54EEE" w:rsidRPr="00D6358A">
        <w:trPr>
          <w:jc w:val="center"/>
        </w:trPr>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R2</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Incomplete Dar es Salaam Port rail interface</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Infrastructure / Logistics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Infrastructure / Operations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 – coordination and completion needed</w:t>
            </w:r>
          </w:p>
        </w:tc>
      </w:tr>
      <w:tr w:rsidR="00F54EEE" w:rsidRPr="00D6358A">
        <w:trPr>
          <w:jc w:val="center"/>
        </w:trPr>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R3</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Revenue shortfall against target</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Financial</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Finance / Management</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 – cost control and revenue actions required</w:t>
            </w:r>
          </w:p>
        </w:tc>
      </w:tr>
      <w:tr w:rsidR="00F54EEE" w:rsidRPr="00D6358A">
        <w:trPr>
          <w:jc w:val="center"/>
        </w:trPr>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lastRenderedPageBreak/>
              <w:t>R4</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Procurement delay on critical packages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Procurement</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Procurement / Management</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 – expedite evaluation and contracts</w:t>
            </w:r>
          </w:p>
        </w:tc>
      </w:tr>
      <w:tr w:rsidR="00F54EEE" w:rsidRPr="00D6358A">
        <w:trPr>
          <w:jc w:val="center"/>
        </w:trPr>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R5</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Rolling stock KPI data gap</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Data Quality</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1278"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M&amp;E / Technical units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 – validate target before approval</w:t>
            </w:r>
          </w:p>
        </w:tc>
      </w:tr>
      <w:tr w:rsidR="00F54EEE" w:rsidRPr="00D6358A">
        <w:trPr>
          <w:jc w:val="center"/>
        </w:trPr>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R6</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Recurring safety incidents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Operational Safety</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Engineering / HRSSU / Operations</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 – strengthen controls and follow-up</w:t>
            </w:r>
          </w:p>
        </w:tc>
      </w:tr>
      <w:tr w:rsidR="00F54EEE" w:rsidRPr="00D6358A">
        <w:trPr>
          <w:jc w:val="center"/>
        </w:trPr>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R7</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Compliance / ESCP reporting not explicit</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Compliance</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1278"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Safeguards / M&amp;E</w:t>
            </w:r>
          </w:p>
        </w:tc>
        <w:tc>
          <w:tcPr>
            <w:tcW w:w="1278"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 – integrate compliance tracker in monthly report</w:t>
            </w:r>
          </w:p>
        </w:tc>
      </w:tr>
    </w:tbl>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11. Risk Heat Map (January 2026)</w:t>
      </w:r>
    </w:p>
    <w:p w:rsidR="00F54EEE" w:rsidRPr="00D6358A" w:rsidRDefault="00911A3D" w:rsidP="00D6358A">
      <w:pPr>
        <w:spacing w:line="360" w:lineRule="auto"/>
        <w:rPr>
          <w:rFonts w:ascii="Footlight MT Light" w:hAnsi="Footlight MT Light"/>
        </w:rPr>
      </w:pPr>
      <w:r w:rsidRPr="00D6358A">
        <w:rPr>
          <w:rFonts w:ascii="Footlight MT Light" w:hAnsi="Footlight MT Light"/>
        </w:rPr>
        <w:t>Illustrative priority heat map based on current January 2026 report signals.</w:t>
      </w:r>
    </w:p>
    <w:tbl>
      <w:tblPr>
        <w:tblStyle w:val="TableGrid"/>
        <w:tblW w:w="0" w:type="auto"/>
        <w:jc w:val="center"/>
        <w:tblLook w:val="04A0" w:firstRow="1" w:lastRow="0" w:firstColumn="1" w:lastColumn="0" w:noHBand="0" w:noVBand="1"/>
      </w:tblPr>
      <w:tblGrid>
        <w:gridCol w:w="2553"/>
        <w:gridCol w:w="2553"/>
        <w:gridCol w:w="2554"/>
        <w:gridCol w:w="2554"/>
      </w:tblGrid>
      <w:tr w:rsidR="00F54EEE" w:rsidRPr="00D6358A">
        <w:trPr>
          <w:tblHeader/>
          <w:jc w:val="center"/>
        </w:trPr>
        <w:tc>
          <w:tcPr>
            <w:tcW w:w="2556"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Impact \ Likelihood</w:t>
            </w:r>
          </w:p>
        </w:tc>
        <w:tc>
          <w:tcPr>
            <w:tcW w:w="2556" w:type="dxa"/>
            <w:shd w:val="clear" w:color="auto" w:fill="DCE6F8"/>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Low</w:t>
            </w:r>
          </w:p>
        </w:tc>
        <w:tc>
          <w:tcPr>
            <w:tcW w:w="2556" w:type="dxa"/>
            <w:shd w:val="clear" w:color="auto" w:fill="DCE6F8"/>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Medium</w:t>
            </w:r>
          </w:p>
        </w:tc>
        <w:tc>
          <w:tcPr>
            <w:tcW w:w="2556" w:type="dxa"/>
            <w:shd w:val="clear" w:color="auto" w:fill="DCE6F8"/>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High</w:t>
            </w:r>
          </w:p>
        </w:tc>
      </w:tr>
      <w:tr w:rsidR="00F54EEE" w:rsidRPr="00D6358A">
        <w:trPr>
          <w:jc w:val="center"/>
        </w:trPr>
        <w:tc>
          <w:tcPr>
            <w:tcW w:w="2556" w:type="dxa"/>
            <w:shd w:val="clear" w:color="auto" w:fill="DCE6F8"/>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High</w:t>
            </w:r>
          </w:p>
        </w:tc>
        <w:tc>
          <w:tcPr>
            <w:tcW w:w="2556"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c>
          <w:tcPr>
            <w:tcW w:w="2556"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R7 Compliance visibility gap</w:t>
            </w:r>
          </w:p>
        </w:tc>
        <w:tc>
          <w:tcPr>
            <w:tcW w:w="2556" w:type="dxa"/>
            <w:shd w:val="clear" w:color="auto" w:fill="FDE9E7"/>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R1 Weather disruption</w:t>
            </w:r>
            <w:r w:rsidRPr="00D6358A">
              <w:rPr>
                <w:rFonts w:ascii="Footlight MT Light" w:hAnsi="Footlight MT Light"/>
                <w:color w:val="222222"/>
                <w:sz w:val="18"/>
              </w:rPr>
              <w:br/>
              <w:t>R2 Port interface</w:t>
            </w:r>
            <w:r w:rsidRPr="00D6358A">
              <w:rPr>
                <w:rFonts w:ascii="Footlight MT Light" w:hAnsi="Footlight MT Light"/>
                <w:color w:val="222222"/>
                <w:sz w:val="18"/>
              </w:rPr>
              <w:br/>
              <w:t>R3 Revenue shortfall</w:t>
            </w:r>
            <w:r w:rsidRPr="00D6358A">
              <w:rPr>
                <w:rFonts w:ascii="Footlight MT Light" w:hAnsi="Footlight MT Light"/>
                <w:color w:val="222222"/>
                <w:sz w:val="18"/>
              </w:rPr>
              <w:br/>
              <w:t>R4 Procurement delay</w:t>
            </w:r>
            <w:r w:rsidRPr="00D6358A">
              <w:rPr>
                <w:rFonts w:ascii="Footlight MT Light" w:hAnsi="Footlight MT Light"/>
                <w:color w:val="222222"/>
                <w:sz w:val="18"/>
              </w:rPr>
              <w:br/>
              <w:t>R6 Safety incidents</w:t>
            </w:r>
          </w:p>
        </w:tc>
      </w:tr>
      <w:tr w:rsidR="00F54EEE" w:rsidRPr="00D6358A">
        <w:trPr>
          <w:jc w:val="center"/>
        </w:trPr>
        <w:tc>
          <w:tcPr>
            <w:tcW w:w="2556" w:type="dxa"/>
            <w:shd w:val="clear" w:color="auto" w:fill="DCE6F8"/>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Medium</w:t>
            </w:r>
          </w:p>
        </w:tc>
        <w:tc>
          <w:tcPr>
            <w:tcW w:w="2556"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c>
          <w:tcPr>
            <w:tcW w:w="2556"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R5 Rolling stock data gap</w:t>
            </w:r>
          </w:p>
        </w:tc>
        <w:tc>
          <w:tcPr>
            <w:tcW w:w="2556"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r w:rsidR="00F54EEE" w:rsidRPr="00D6358A">
        <w:trPr>
          <w:jc w:val="center"/>
        </w:trPr>
        <w:tc>
          <w:tcPr>
            <w:tcW w:w="2556" w:type="dxa"/>
            <w:shd w:val="clear" w:color="auto" w:fill="DCE6F8"/>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Low</w:t>
            </w:r>
          </w:p>
        </w:tc>
        <w:tc>
          <w:tcPr>
            <w:tcW w:w="2556" w:type="dxa"/>
            <w:shd w:val="clear" w:color="auto" w:fill="E8F5E9"/>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c>
          <w:tcPr>
            <w:tcW w:w="2556"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c>
          <w:tcPr>
            <w:tcW w:w="2556" w:type="dxa"/>
            <w:tcMar>
              <w:top w:w="80" w:type="dxa"/>
              <w:left w:w="100" w:type="dxa"/>
              <w:bottom w:w="80" w:type="dxa"/>
              <w:right w:w="100" w:type="dxa"/>
            </w:tcMar>
            <w:vAlign w:val="center"/>
          </w:tcPr>
          <w:p w:rsidR="00F54EEE" w:rsidRPr="00D6358A" w:rsidRDefault="00F54EEE" w:rsidP="00D6358A">
            <w:pPr>
              <w:spacing w:line="360" w:lineRule="auto"/>
              <w:rPr>
                <w:rFonts w:ascii="Footlight MT Light" w:hAnsi="Footlight MT Light"/>
              </w:rPr>
            </w:pPr>
          </w:p>
        </w:tc>
      </w:tr>
    </w:tbl>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12. Management Action / Recommendation Tracker</w:t>
      </w:r>
    </w:p>
    <w:tbl>
      <w:tblPr>
        <w:tblStyle w:val="TableGrid"/>
        <w:tblW w:w="0" w:type="auto"/>
        <w:jc w:val="center"/>
        <w:tblLook w:val="04A0" w:firstRow="1" w:lastRow="0" w:firstColumn="1" w:lastColumn="0" w:noHBand="0" w:noVBand="1"/>
      </w:tblPr>
      <w:tblGrid>
        <w:gridCol w:w="2043"/>
        <w:gridCol w:w="2043"/>
        <w:gridCol w:w="2043"/>
        <w:gridCol w:w="2043"/>
        <w:gridCol w:w="2042"/>
      </w:tblGrid>
      <w:tr w:rsidR="00F54EEE" w:rsidRPr="00D6358A">
        <w:trPr>
          <w:tblHeader/>
          <w:jc w:val="center"/>
        </w:trPr>
        <w:tc>
          <w:tcPr>
            <w:tcW w:w="2045"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Issue</w:t>
            </w:r>
          </w:p>
        </w:tc>
        <w:tc>
          <w:tcPr>
            <w:tcW w:w="2045"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Recommended Action</w:t>
            </w:r>
          </w:p>
        </w:tc>
        <w:tc>
          <w:tcPr>
            <w:tcW w:w="2045"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Responsible Unit</w:t>
            </w:r>
          </w:p>
        </w:tc>
        <w:tc>
          <w:tcPr>
            <w:tcW w:w="2045"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Timing</w:t>
            </w:r>
          </w:p>
        </w:tc>
        <w:tc>
          <w:tcPr>
            <w:tcW w:w="2045" w:type="dxa"/>
            <w:shd w:val="clear" w:color="auto" w:fill="0B3D91"/>
            <w:tcMar>
              <w:top w:w="80" w:type="dxa"/>
              <w:left w:w="100" w:type="dxa"/>
              <w:bottom w:w="80" w:type="dxa"/>
              <w:right w:w="100" w:type="dxa"/>
            </w:tcMar>
            <w:vAlign w:val="center"/>
          </w:tcPr>
          <w:p w:rsidR="00F54EEE" w:rsidRPr="00D6358A" w:rsidRDefault="00911A3D" w:rsidP="00D6358A">
            <w:pPr>
              <w:spacing w:line="360" w:lineRule="auto"/>
              <w:jc w:val="center"/>
              <w:rPr>
                <w:rFonts w:ascii="Footlight MT Light" w:hAnsi="Footlight MT Light"/>
              </w:rPr>
            </w:pPr>
            <w:r w:rsidRPr="00D6358A">
              <w:rPr>
                <w:rFonts w:ascii="Footlight MT Light" w:hAnsi="Footlight MT Light"/>
                <w:b/>
                <w:color w:val="FFFFFF"/>
                <w:sz w:val="18"/>
              </w:rPr>
              <w:t>Status</w:t>
            </w:r>
          </w:p>
        </w:tc>
      </w:tr>
      <w:tr w:rsidR="00F54EEE" w:rsidRPr="00D6358A">
        <w:trPr>
          <w:jc w:val="center"/>
        </w:trPr>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Low MGR freight performance</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Restore disrupted sections and stabilize operations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Engineering / Operations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Immediate</w:t>
            </w:r>
          </w:p>
        </w:tc>
        <w:tc>
          <w:tcPr>
            <w:tcW w:w="2045"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w:t>
            </w:r>
          </w:p>
        </w:tc>
      </w:tr>
      <w:tr w:rsidR="00F54EEE" w:rsidRPr="00D6358A">
        <w:trPr>
          <w:jc w:val="center"/>
        </w:trPr>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lastRenderedPageBreak/>
              <w:t>Low SGR freight throughput</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Improve Dar es Salaam Port interface and cargo handling linkages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Infrastructure / Operations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Immediate</w:t>
            </w:r>
          </w:p>
        </w:tc>
        <w:tc>
          <w:tcPr>
            <w:tcW w:w="2045"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w:t>
            </w:r>
          </w:p>
        </w:tc>
      </w:tr>
      <w:tr w:rsidR="00F54EEE" w:rsidRPr="00D6358A">
        <w:trPr>
          <w:jc w:val="center"/>
        </w:trPr>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Revenue shortfall</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Align expenditure to actual collections and strengthen revenue controls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Finance / Management</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Immediate</w:t>
            </w:r>
          </w:p>
        </w:tc>
        <w:tc>
          <w:tcPr>
            <w:tcW w:w="2045"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w:t>
            </w:r>
          </w:p>
        </w:tc>
      </w:tr>
      <w:tr w:rsidR="00F54EEE" w:rsidRPr="00D6358A">
        <w:trPr>
          <w:jc w:val="center"/>
        </w:trPr>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Procurement slow-down</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Prioritize critical tenders and track implementation packages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Procurement / Management</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Within 1 month</w:t>
            </w:r>
          </w:p>
        </w:tc>
        <w:tc>
          <w:tcPr>
            <w:tcW w:w="2045"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w:t>
            </w:r>
          </w:p>
        </w:tc>
      </w:tr>
      <w:tr w:rsidR="00F54EEE" w:rsidRPr="00D6358A">
        <w:trPr>
          <w:jc w:val="center"/>
        </w:trPr>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Data quality gap</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Validate KPI definitions and missing targets before final approval</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M&amp;E / Technical units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Immediate</w:t>
            </w:r>
          </w:p>
        </w:tc>
        <w:tc>
          <w:tcPr>
            <w:tcW w:w="2045"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w:t>
            </w:r>
          </w:p>
        </w:tc>
      </w:tr>
      <w:tr w:rsidR="00F54EEE" w:rsidRPr="00D6358A">
        <w:trPr>
          <w:jc w:val="center"/>
        </w:trPr>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Recurring safety incidents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Track corrective actions and closure status in monthly report</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Engineering / HRSSU / Operations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Immediate</w:t>
            </w:r>
          </w:p>
        </w:tc>
        <w:tc>
          <w:tcPr>
            <w:tcW w:w="2045"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w:t>
            </w:r>
          </w:p>
        </w:tc>
      </w:tr>
      <w:tr w:rsidR="00F54EEE" w:rsidRPr="00D6358A">
        <w:trPr>
          <w:jc w:val="center"/>
        </w:trPr>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Compliance visibility gap</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Add ESCP / safeguards section and overdue action tracker</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M&amp;E / Safeguards</w:t>
            </w:r>
          </w:p>
        </w:tc>
        <w:tc>
          <w:tcPr>
            <w:tcW w:w="2045" w:type="dxa"/>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Within 1 month</w:t>
            </w:r>
          </w:p>
        </w:tc>
        <w:tc>
          <w:tcPr>
            <w:tcW w:w="2045" w:type="dxa"/>
            <w:shd w:val="clear" w:color="auto" w:fill="FFF2CC"/>
            <w:tcMar>
              <w:top w:w="80" w:type="dxa"/>
              <w:left w:w="100" w:type="dxa"/>
              <w:bottom w:w="80" w:type="dxa"/>
              <w:right w:w="100" w:type="dxa"/>
            </w:tcMar>
            <w:vAlign w:val="center"/>
          </w:tcPr>
          <w:p w:rsidR="00F54EEE" w:rsidRPr="00D6358A" w:rsidRDefault="00911A3D" w:rsidP="00D6358A">
            <w:pPr>
              <w:spacing w:line="360" w:lineRule="auto"/>
              <w:rPr>
                <w:rFonts w:ascii="Footlight MT Light" w:hAnsi="Footlight MT Light"/>
              </w:rPr>
            </w:pPr>
            <w:r w:rsidRPr="00D6358A">
              <w:rPr>
                <w:rFonts w:ascii="Footlight MT Light" w:hAnsi="Footlight MT Light"/>
                <w:color w:val="222222"/>
                <w:sz w:val="18"/>
              </w:rPr>
              <w:t>Open</w:t>
            </w:r>
          </w:p>
        </w:tc>
      </w:tr>
    </w:tbl>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13. Data Quality and Reporting Notes</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Any field with a missing target, such as the locomotive remanufacturing indicator, should be explicitly flagged as a data gap and corrected before sign-off.</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Future reports should include a formal validation step confirming target, actual, source, responsible unit and calculation for each KPI.</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Recommendations should be tracked from month to month so that management can see what has been implemented and what remains open.</w:t>
      </w:r>
    </w:p>
    <w:p w:rsidR="00F54EEE" w:rsidRPr="00D6358A" w:rsidRDefault="00911A3D" w:rsidP="00D6358A">
      <w:pPr>
        <w:pStyle w:val="ListBullet"/>
        <w:spacing w:line="360" w:lineRule="auto"/>
        <w:rPr>
          <w:rFonts w:ascii="Footlight MT Light" w:hAnsi="Footlight MT Light"/>
        </w:rPr>
      </w:pPr>
      <w:r w:rsidRPr="00D6358A">
        <w:rPr>
          <w:rFonts w:ascii="Footlight MT Light" w:hAnsi="Footlight MT Light"/>
        </w:rPr>
        <w:t>Revenue-source targets were not disaggregated; this version marks them as “Not disaggregated in source” rather than leaving blank cells.</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14. Conclusion</w:t>
      </w:r>
    </w:p>
    <w:p w:rsidR="00F54EEE" w:rsidRPr="00D6358A" w:rsidRDefault="00911A3D" w:rsidP="00D6358A">
      <w:pPr>
        <w:spacing w:line="360" w:lineRule="auto"/>
        <w:rPr>
          <w:rFonts w:ascii="Footlight MT Light" w:hAnsi="Footlight MT Light"/>
        </w:rPr>
      </w:pPr>
      <w:r w:rsidRPr="00D6358A">
        <w:rPr>
          <w:rFonts w:ascii="Footlight MT Light" w:hAnsi="Footlight MT Light"/>
        </w:rPr>
        <w:t xml:space="preserve">January 2026 was a challenging month operationally and financially. Passenger performance on the SGR was a positive exception, but freight, revenue, procurement and several operational indicators remained below target. </w:t>
      </w:r>
    </w:p>
    <w:p w:rsidR="00F54EEE" w:rsidRPr="00E14B8A" w:rsidRDefault="00911A3D" w:rsidP="00D6358A">
      <w:pPr>
        <w:pStyle w:val="Heading1"/>
        <w:spacing w:line="360" w:lineRule="auto"/>
        <w:rPr>
          <w:rFonts w:ascii="Footlight MT Light" w:hAnsi="Footlight MT Light"/>
          <w:color w:val="17365D" w:themeColor="text2" w:themeShade="BF"/>
        </w:rPr>
      </w:pPr>
      <w:r w:rsidRPr="00E14B8A">
        <w:rPr>
          <w:rFonts w:ascii="Footlight MT Light" w:hAnsi="Footlight MT Light"/>
          <w:color w:val="17365D" w:themeColor="text2" w:themeShade="BF"/>
        </w:rPr>
        <w:t>15. Annex – Source Fidelity Notes</w:t>
      </w:r>
    </w:p>
    <w:p w:rsidR="00D6358A" w:rsidRPr="00D6358A" w:rsidRDefault="00D6358A" w:rsidP="00D6358A">
      <w:pPr>
        <w:pStyle w:val="ListBullet"/>
        <w:spacing w:line="360" w:lineRule="auto"/>
        <w:rPr>
          <w:rFonts w:ascii="Footlight MT Light" w:hAnsi="Footlight MT Light"/>
        </w:rPr>
      </w:pPr>
      <w:r w:rsidRPr="00D6358A">
        <w:rPr>
          <w:rFonts w:ascii="Footlight MT Light" w:hAnsi="Footlight MT Light"/>
        </w:rPr>
        <w:t>Key Performance Indicators (KPIs) Matrix.</w:t>
      </w:r>
    </w:p>
    <w:p w:rsidR="00F54EEE" w:rsidRPr="00D6358A" w:rsidRDefault="00F54EEE" w:rsidP="00D6358A">
      <w:pPr>
        <w:pStyle w:val="ListBullet"/>
        <w:numPr>
          <w:ilvl w:val="0"/>
          <w:numId w:val="0"/>
        </w:numPr>
        <w:spacing w:line="360" w:lineRule="auto"/>
        <w:ind w:left="360"/>
        <w:rPr>
          <w:rFonts w:ascii="Footlight MT Light" w:hAnsi="Footlight MT Light"/>
        </w:rPr>
      </w:pPr>
    </w:p>
    <w:sectPr w:rsidR="00F54EEE" w:rsidRPr="00D6358A"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73E2B"/>
    <w:rsid w:val="00203699"/>
    <w:rsid w:val="0029639D"/>
    <w:rsid w:val="00326F90"/>
    <w:rsid w:val="00580ACB"/>
    <w:rsid w:val="00911A3D"/>
    <w:rsid w:val="00AA1D8D"/>
    <w:rsid w:val="00B47730"/>
    <w:rsid w:val="00CB0664"/>
    <w:rsid w:val="00D6358A"/>
    <w:rsid w:val="00E14B8A"/>
    <w:rsid w:val="00F54E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0B787AD-226B-4F17-BDB6-4368B78B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89E92-F4C1-4CCD-8B26-A8EE5D62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Omingo</dc:creator>
  <cp:keywords/>
  <dc:description>generated by python-docx</dc:description>
  <cp:lastModifiedBy>Clifford Omingo</cp:lastModifiedBy>
  <cp:revision>3</cp:revision>
  <dcterms:created xsi:type="dcterms:W3CDTF">2026-03-26T06:34:00Z</dcterms:created>
  <dcterms:modified xsi:type="dcterms:W3CDTF">2026-04-01T17:15:00Z</dcterms:modified>
  <cp:category/>
</cp:coreProperties>
</file>