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4A8" w:rsidRPr="00CA3BD7" w:rsidRDefault="00D20120">
      <w:pPr>
        <w:jc w:val="center"/>
        <w:rPr>
          <w:rFonts w:ascii="Arial Narrow" w:hAnsi="Arial Narrow"/>
        </w:rPr>
      </w:pPr>
      <w:r w:rsidRPr="00CA3BD7">
        <w:rPr>
          <w:rFonts w:ascii="Arial Narrow" w:hAnsi="Arial Narrow"/>
          <w:b/>
          <w:color w:val="606060"/>
          <w:sz w:val="28"/>
        </w:rPr>
        <w:br/>
        <w:t>TANZANIA RAILWAYS CORPORATION</w:t>
      </w:r>
    </w:p>
    <w:p w:rsidR="00D304A8" w:rsidRPr="00CA3BD7" w:rsidRDefault="00D20120">
      <w:pPr>
        <w:pStyle w:val="Title"/>
        <w:jc w:val="center"/>
        <w:rPr>
          <w:rFonts w:ascii="Arial Narrow" w:hAnsi="Arial Narrow"/>
        </w:rPr>
      </w:pPr>
      <w:r w:rsidRPr="00CA3BD7">
        <w:rPr>
          <w:rFonts w:ascii="Arial Narrow" w:hAnsi="Arial Narrow"/>
        </w:rPr>
        <w:t>MID-YEAR MONITORING PERFORMANCE REPORT</w:t>
      </w:r>
    </w:p>
    <w:p w:rsidR="00D304A8" w:rsidRPr="00CA3BD7" w:rsidRDefault="00D20120">
      <w:pPr>
        <w:jc w:val="center"/>
        <w:rPr>
          <w:rFonts w:ascii="Arial Narrow" w:hAnsi="Arial Narrow"/>
        </w:rPr>
      </w:pPr>
      <w:r w:rsidRPr="00CA3BD7">
        <w:rPr>
          <w:rFonts w:ascii="Arial Narrow" w:hAnsi="Arial Narrow"/>
          <w:b/>
          <w:sz w:val="26"/>
        </w:rPr>
        <w:t>Financial Year 2025/26</w:t>
      </w:r>
      <w:r w:rsidRPr="00CA3BD7">
        <w:rPr>
          <w:rFonts w:ascii="Arial Narrow" w:hAnsi="Arial Narrow"/>
          <w:b/>
          <w:sz w:val="26"/>
        </w:rPr>
        <w:br/>
        <w:t>Reporting Period: July–December 2025</w:t>
      </w:r>
      <w:r w:rsidRPr="00CA3BD7">
        <w:rPr>
          <w:rFonts w:ascii="Arial Narrow" w:hAnsi="Arial Narrow"/>
          <w:b/>
          <w:sz w:val="26"/>
        </w:rPr>
        <w:br/>
        <w:t>Submission Date: January 2026</w:t>
      </w:r>
    </w:p>
    <w:tbl>
      <w:tblPr>
        <w:tblW w:w="0" w:type="auto"/>
        <w:jc w:val="center"/>
        <w:tblLayout w:type="fixed"/>
        <w:tblLook w:val="04A0" w:firstRow="1" w:lastRow="0" w:firstColumn="1" w:lastColumn="0" w:noHBand="0" w:noVBand="1"/>
      </w:tblPr>
      <w:tblGrid>
        <w:gridCol w:w="9936"/>
      </w:tblGrid>
      <w:tr w:rsidR="00D304A8" w:rsidRPr="00CA3BD7">
        <w:trPr>
          <w:jc w:val="center"/>
        </w:trPr>
        <w:tc>
          <w:tcPr>
            <w:tcW w:w="9936" w:type="dxa"/>
            <w:shd w:val="clear" w:color="auto" w:fill="F4F6F8"/>
            <w:tcMar>
              <w:top w:w="140" w:type="dxa"/>
              <w:left w:w="140" w:type="dxa"/>
              <w:bottom w:w="140" w:type="dxa"/>
              <w:right w:w="140" w:type="dxa"/>
            </w:tcMar>
          </w:tcPr>
          <w:p w:rsidR="00D304A8" w:rsidRPr="00CA3BD7" w:rsidRDefault="00D20120">
            <w:pPr>
              <w:jc w:val="center"/>
              <w:rPr>
                <w:rFonts w:ascii="Arial Narrow" w:hAnsi="Arial Narrow"/>
              </w:rPr>
            </w:pPr>
            <w:r w:rsidRPr="00CA3BD7">
              <w:rPr>
                <w:rFonts w:ascii="Arial Narrow" w:hAnsi="Arial Narrow"/>
                <w:i/>
              </w:rPr>
              <w:t>Prepared to provide a concise, management-focused mid-year assessment of performance against agreed KPIs, highlight operational and financial pressures, and support timely corrective action.</w:t>
            </w:r>
          </w:p>
        </w:tc>
      </w:tr>
    </w:tbl>
    <w:p w:rsidR="00D304A8" w:rsidRPr="00CA3BD7" w:rsidRDefault="00D304A8">
      <w:pPr>
        <w:rPr>
          <w:rFonts w:ascii="Arial Narrow" w:hAnsi="Arial Narrow"/>
        </w:rPr>
      </w:pPr>
    </w:p>
    <w:tbl>
      <w:tblPr>
        <w:tblW w:w="0" w:type="auto"/>
        <w:jc w:val="center"/>
        <w:tblLook w:val="04A0" w:firstRow="1" w:lastRow="0" w:firstColumn="1" w:lastColumn="0" w:noHBand="0" w:noVBand="1"/>
      </w:tblPr>
      <w:tblGrid>
        <w:gridCol w:w="3312"/>
        <w:gridCol w:w="3312"/>
        <w:gridCol w:w="3312"/>
      </w:tblGrid>
      <w:tr w:rsidR="00D304A8" w:rsidRPr="00CA3BD7">
        <w:trPr>
          <w:jc w:val="center"/>
        </w:trPr>
        <w:tc>
          <w:tcPr>
            <w:tcW w:w="3312"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0B3D91"/>
                <w:sz w:val="19"/>
              </w:rPr>
              <w:t>Prepared for</w:t>
            </w:r>
          </w:p>
        </w:tc>
        <w:tc>
          <w:tcPr>
            <w:tcW w:w="3312"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0B3D91"/>
                <w:sz w:val="19"/>
              </w:rPr>
              <w:t>Prepared by</w:t>
            </w:r>
          </w:p>
        </w:tc>
        <w:tc>
          <w:tcPr>
            <w:tcW w:w="3312"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0B3D91"/>
                <w:sz w:val="19"/>
              </w:rPr>
              <w:t>Document status</w:t>
            </w:r>
          </w:p>
        </w:tc>
      </w:tr>
      <w:tr w:rsidR="00D304A8" w:rsidRPr="00CA3BD7">
        <w:trPr>
          <w:jc w:val="center"/>
        </w:trPr>
        <w:tc>
          <w:tcPr>
            <w:tcW w:w="33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9"/>
              </w:rPr>
              <w:t>Director General</w:t>
            </w:r>
          </w:p>
        </w:tc>
        <w:tc>
          <w:tcPr>
            <w:tcW w:w="33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9"/>
              </w:rPr>
              <w:t>Monitoring &amp; Evaluation Function</w:t>
            </w:r>
          </w:p>
        </w:tc>
        <w:tc>
          <w:tcPr>
            <w:tcW w:w="3312" w:type="dxa"/>
            <w:tcMar>
              <w:top w:w="90" w:type="dxa"/>
              <w:left w:w="110" w:type="dxa"/>
              <w:bottom w:w="90" w:type="dxa"/>
              <w:right w:w="110" w:type="dxa"/>
            </w:tcMar>
          </w:tcPr>
          <w:p w:rsidR="00D304A8" w:rsidRPr="00CA3BD7" w:rsidRDefault="00D20120">
            <w:pPr>
              <w:jc w:val="center"/>
              <w:rPr>
                <w:rFonts w:ascii="Arial Narrow" w:hAnsi="Arial Narrow"/>
              </w:rPr>
            </w:pPr>
            <w:bookmarkStart w:id="0" w:name="_GoBack"/>
            <w:bookmarkEnd w:id="0"/>
            <w:r w:rsidRPr="00CA3BD7">
              <w:rPr>
                <w:rFonts w:ascii="Arial Narrow" w:hAnsi="Arial Narrow"/>
                <w:sz w:val="19"/>
              </w:rPr>
              <w:t>revised version</w:t>
            </w:r>
          </w:p>
        </w:tc>
      </w:tr>
    </w:tbl>
    <w:p w:rsidR="00D304A8" w:rsidRPr="00CA3BD7" w:rsidRDefault="00D20120">
      <w:pPr>
        <w:rPr>
          <w:rFonts w:ascii="Arial Narrow" w:hAnsi="Arial Narrow"/>
        </w:rPr>
      </w:pPr>
      <w:r w:rsidRPr="00CA3BD7">
        <w:rPr>
          <w:rFonts w:ascii="Arial Narrow" w:hAnsi="Arial Narrow"/>
        </w:rPr>
        <w:br w:type="page"/>
      </w:r>
    </w:p>
    <w:p w:rsidR="00D304A8" w:rsidRPr="00CA3BD7" w:rsidRDefault="00D20120">
      <w:pPr>
        <w:pStyle w:val="Heading1"/>
        <w:rPr>
          <w:rFonts w:ascii="Arial Narrow" w:hAnsi="Arial Narrow"/>
        </w:rPr>
      </w:pPr>
      <w:r w:rsidRPr="00CA3BD7">
        <w:rPr>
          <w:rFonts w:ascii="Arial Narrow" w:hAnsi="Arial Narrow"/>
        </w:rPr>
        <w:lastRenderedPageBreak/>
        <w:t>Executive Performance Dashboard</w:t>
      </w:r>
    </w:p>
    <w:p w:rsidR="00D304A8" w:rsidRPr="00CA3BD7" w:rsidRDefault="00D20120">
      <w:pPr>
        <w:rPr>
          <w:rFonts w:ascii="Arial Narrow" w:hAnsi="Arial Narrow"/>
        </w:rPr>
      </w:pPr>
      <w:r w:rsidRPr="00CA3BD7">
        <w:rPr>
          <w:rFonts w:ascii="Arial Narrow" w:hAnsi="Arial Narrow"/>
        </w:rPr>
        <w:t>The first half of FY 2025/26 shows mixed performance. Passenger services on SGR remained strong and several rolling stock and institutional initiatives moved forward, but the overall mid-year picture is constrained by locomotive unreliability, poor track condition, accidents, procurement delays, and service interruptions caused by protests and washaways.</w:t>
      </w:r>
    </w:p>
    <w:tbl>
      <w:tblPr>
        <w:tblW w:w="0" w:type="auto"/>
        <w:jc w:val="center"/>
        <w:tblLayout w:type="fixed"/>
        <w:tblLook w:val="04A0" w:firstRow="1" w:lastRow="0" w:firstColumn="1" w:lastColumn="0" w:noHBand="0" w:noVBand="1"/>
      </w:tblPr>
      <w:tblGrid>
        <w:gridCol w:w="2484"/>
        <w:gridCol w:w="2484"/>
        <w:gridCol w:w="2484"/>
        <w:gridCol w:w="2484"/>
      </w:tblGrid>
      <w:tr w:rsidR="00D304A8" w:rsidRPr="00CA3BD7">
        <w:trPr>
          <w:jc w:val="center"/>
        </w:trPr>
        <w:tc>
          <w:tcPr>
            <w:tcW w:w="2484"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9"/>
              </w:rPr>
              <w:t>KPI status</w:t>
            </w:r>
          </w:p>
        </w:tc>
        <w:tc>
          <w:tcPr>
            <w:tcW w:w="2484"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9"/>
              </w:rPr>
              <w:t>Count</w:t>
            </w:r>
          </w:p>
        </w:tc>
        <w:tc>
          <w:tcPr>
            <w:tcW w:w="2484"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9"/>
              </w:rPr>
              <w:t>Interpretation</w:t>
            </w:r>
          </w:p>
        </w:tc>
        <w:tc>
          <w:tcPr>
            <w:tcW w:w="2484"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9"/>
              </w:rPr>
              <w:t>Signal</w:t>
            </w:r>
          </w:p>
        </w:tc>
      </w:tr>
      <w:tr w:rsidR="00D304A8" w:rsidRPr="00CA3BD7">
        <w:trPr>
          <w:jc w:val="center"/>
        </w:trPr>
        <w:tc>
          <w:tcPr>
            <w:tcW w:w="2484" w:type="dxa"/>
            <w:shd w:val="clear" w:color="auto" w:fill="E8F5E9"/>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Above target</w:t>
            </w:r>
          </w:p>
        </w:tc>
        <w:tc>
          <w:tcPr>
            <w:tcW w:w="24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41</w:t>
            </w:r>
          </w:p>
        </w:tc>
        <w:tc>
          <w:tcPr>
            <w:tcW w:w="2484"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Strong areas that should be sustained</w:t>
            </w:r>
          </w:p>
        </w:tc>
        <w:tc>
          <w:tcPr>
            <w:tcW w:w="2484" w:type="dxa"/>
            <w:shd w:val="clear" w:color="auto" w:fill="E8F5E9"/>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Green</w:t>
            </w:r>
          </w:p>
        </w:tc>
      </w:tr>
      <w:tr w:rsidR="00D304A8" w:rsidRPr="00CA3BD7">
        <w:trPr>
          <w:jc w:val="center"/>
        </w:trPr>
        <w:tc>
          <w:tcPr>
            <w:tcW w:w="2484" w:type="dxa"/>
            <w:shd w:val="clear" w:color="auto" w:fill="FFF2CC"/>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Within target</w:t>
            </w:r>
          </w:p>
        </w:tc>
        <w:tc>
          <w:tcPr>
            <w:tcW w:w="24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22</w:t>
            </w:r>
          </w:p>
        </w:tc>
        <w:tc>
          <w:tcPr>
            <w:tcW w:w="2484"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Acceptable but needs continued monitoring</w:t>
            </w:r>
          </w:p>
        </w:tc>
        <w:tc>
          <w:tcPr>
            <w:tcW w:w="2484" w:type="dxa"/>
            <w:shd w:val="clear" w:color="auto" w:fill="FFF2CC"/>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Amber</w:t>
            </w:r>
          </w:p>
        </w:tc>
      </w:tr>
      <w:tr w:rsidR="00D304A8" w:rsidRPr="00CA3BD7">
        <w:trPr>
          <w:jc w:val="center"/>
        </w:trPr>
        <w:tc>
          <w:tcPr>
            <w:tcW w:w="2484" w:type="dxa"/>
            <w:shd w:val="clear" w:color="auto" w:fill="FDE9E7"/>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Below target</w:t>
            </w:r>
          </w:p>
        </w:tc>
        <w:tc>
          <w:tcPr>
            <w:tcW w:w="24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246</w:t>
            </w:r>
          </w:p>
        </w:tc>
        <w:tc>
          <w:tcPr>
            <w:tcW w:w="2484"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Main pressure area requiring corrective action</w:t>
            </w:r>
          </w:p>
        </w:tc>
        <w:tc>
          <w:tcPr>
            <w:tcW w:w="2484"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Red</w:t>
            </w:r>
          </w:p>
        </w:tc>
      </w:tr>
      <w:tr w:rsidR="00D304A8" w:rsidRPr="00CA3BD7">
        <w:trPr>
          <w:jc w:val="center"/>
        </w:trPr>
        <w:tc>
          <w:tcPr>
            <w:tcW w:w="2484" w:type="dxa"/>
            <w:shd w:val="clear" w:color="auto" w:fill="FDE9E7"/>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Not started</w:t>
            </w:r>
          </w:p>
        </w:tc>
        <w:tc>
          <w:tcPr>
            <w:tcW w:w="24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12</w:t>
            </w:r>
          </w:p>
        </w:tc>
        <w:tc>
          <w:tcPr>
            <w:tcW w:w="2484"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Requires management follow-up and accountability</w:t>
            </w:r>
          </w:p>
        </w:tc>
        <w:tc>
          <w:tcPr>
            <w:tcW w:w="2484"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Red</w:t>
            </w:r>
          </w:p>
        </w:tc>
      </w:tr>
    </w:tbl>
    <w:p w:rsidR="00D304A8" w:rsidRPr="00CA3BD7" w:rsidRDefault="00D304A8">
      <w:pPr>
        <w:rPr>
          <w:rFonts w:ascii="Arial Narrow" w:hAnsi="Arial Narrow"/>
        </w:rPr>
      </w:pPr>
    </w:p>
    <w:p w:rsidR="00D304A8" w:rsidRPr="00CA3BD7" w:rsidRDefault="00D20120">
      <w:pPr>
        <w:pStyle w:val="Heading2"/>
        <w:rPr>
          <w:rFonts w:ascii="Arial Narrow" w:hAnsi="Arial Narrow"/>
        </w:rPr>
      </w:pPr>
      <w:r w:rsidRPr="00CA3BD7">
        <w:rPr>
          <w:rFonts w:ascii="Arial Narrow" w:hAnsi="Arial Narrow"/>
        </w:rPr>
        <w:t>Headline operational and financial position</w:t>
      </w:r>
    </w:p>
    <w:tbl>
      <w:tblPr>
        <w:tblW w:w="12086" w:type="dxa"/>
        <w:jc w:val="center"/>
        <w:tblLayout w:type="fixed"/>
        <w:tblLook w:val="04A0" w:firstRow="1" w:lastRow="0" w:firstColumn="1" w:lastColumn="0" w:noHBand="0" w:noVBand="1"/>
      </w:tblPr>
      <w:tblGrid>
        <w:gridCol w:w="2972"/>
        <w:gridCol w:w="1953"/>
        <w:gridCol w:w="1953"/>
        <w:gridCol w:w="1953"/>
        <w:gridCol w:w="3255"/>
      </w:tblGrid>
      <w:tr w:rsidR="00D304A8" w:rsidRPr="00CA3BD7" w:rsidTr="00B8514B">
        <w:trPr>
          <w:trHeight w:val="428"/>
          <w:jc w:val="center"/>
        </w:trPr>
        <w:tc>
          <w:tcPr>
            <w:tcW w:w="2972"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8"/>
              </w:rPr>
              <w:t>Area</w:t>
            </w:r>
          </w:p>
        </w:tc>
        <w:tc>
          <w:tcPr>
            <w:tcW w:w="1953"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8"/>
              </w:rPr>
              <w:t>Target</w:t>
            </w:r>
          </w:p>
        </w:tc>
        <w:tc>
          <w:tcPr>
            <w:tcW w:w="1953"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8"/>
              </w:rPr>
              <w:t>Actual</w:t>
            </w:r>
          </w:p>
        </w:tc>
        <w:tc>
          <w:tcPr>
            <w:tcW w:w="1953"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8"/>
              </w:rPr>
              <w:t>Result</w:t>
            </w:r>
          </w:p>
        </w:tc>
        <w:tc>
          <w:tcPr>
            <w:tcW w:w="3255"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8"/>
              </w:rPr>
              <w:t>Management message</w:t>
            </w:r>
          </w:p>
        </w:tc>
      </w:tr>
      <w:tr w:rsidR="00D304A8" w:rsidRPr="00CA3BD7" w:rsidTr="00B8514B">
        <w:trPr>
          <w:trHeight w:val="1138"/>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MGR freight (metric tons)</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414,319</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137,989</w:t>
            </w:r>
          </w:p>
        </w:tc>
        <w:tc>
          <w:tcPr>
            <w:tcW w:w="1953"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33.3%</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Major shortfall driven by locomotive constraints, accidents, speed restrictions, and flood-related disruption.</w:t>
            </w:r>
          </w:p>
        </w:tc>
      </w:tr>
      <w:tr w:rsidR="00D304A8" w:rsidRPr="00CA3BD7" w:rsidTr="00B8514B">
        <w:trPr>
          <w:trHeight w:val="905"/>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SGR freight (metric tons)</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250,000</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52,350</w:t>
            </w:r>
          </w:p>
        </w:tc>
        <w:tc>
          <w:tcPr>
            <w:tcW w:w="1953"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20.94%</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Severely constrained by incomplete cargo-loading infrastructure and disruption from protests.</w:t>
            </w:r>
          </w:p>
        </w:tc>
      </w:tr>
      <w:tr w:rsidR="00D304A8" w:rsidRPr="00CA3BD7" w:rsidTr="00B8514B">
        <w:trPr>
          <w:trHeight w:val="905"/>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MGR passengers</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1,844,863</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1,240,051</w:t>
            </w:r>
          </w:p>
        </w:tc>
        <w:tc>
          <w:tcPr>
            <w:tcW w:w="1953" w:type="dxa"/>
            <w:shd w:val="clear" w:color="auto" w:fill="FFF2CC"/>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67.22%</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Under target, with commuter services more affected by service unreliability and disruptions.</w:t>
            </w:r>
          </w:p>
        </w:tc>
      </w:tr>
      <w:tr w:rsidR="00D304A8" w:rsidRPr="00CA3BD7" w:rsidTr="00B8514B">
        <w:trPr>
          <w:trHeight w:val="671"/>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SGR passengers</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1,517,716</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1,644,458</w:t>
            </w:r>
          </w:p>
        </w:tc>
        <w:tc>
          <w:tcPr>
            <w:tcW w:w="1953" w:type="dxa"/>
            <w:shd w:val="clear" w:color="auto" w:fill="E8F5E9"/>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108.35%</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Exceeded target and remains the strongest operational area.</w:t>
            </w:r>
          </w:p>
        </w:tc>
      </w:tr>
      <w:tr w:rsidR="00D304A8" w:rsidRPr="00CA3BD7" w:rsidTr="00B8514B">
        <w:trPr>
          <w:trHeight w:val="661"/>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Revenue (TZS bn)</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134.33</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82.02</w:t>
            </w:r>
          </w:p>
        </w:tc>
        <w:tc>
          <w:tcPr>
            <w:tcW w:w="1953"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61.06% of target</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Revenue underperformed as freight and passenger services were disrupted.</w:t>
            </w:r>
          </w:p>
        </w:tc>
      </w:tr>
      <w:tr w:rsidR="00D304A8" w:rsidRPr="00CA3BD7" w:rsidTr="00B8514B">
        <w:trPr>
          <w:trHeight w:val="905"/>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t>Development financing (TZS bn)</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976.10</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773.86</w:t>
            </w:r>
          </w:p>
        </w:tc>
        <w:tc>
          <w:tcPr>
            <w:tcW w:w="1953" w:type="dxa"/>
            <w:shd w:val="clear" w:color="auto" w:fill="FFF2CC"/>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79.28%</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Funding is generally satisfactory, but the gap may delay some project activities.</w:t>
            </w:r>
          </w:p>
        </w:tc>
      </w:tr>
      <w:tr w:rsidR="00D304A8" w:rsidRPr="00CA3BD7" w:rsidTr="00B8514B">
        <w:trPr>
          <w:trHeight w:val="905"/>
          <w:jc w:val="center"/>
        </w:trPr>
        <w:tc>
          <w:tcPr>
            <w:tcW w:w="2972"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8"/>
              </w:rPr>
              <w:lastRenderedPageBreak/>
              <w:t>Annual procurement plan</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99 tenders planned</w:t>
            </w:r>
          </w:p>
        </w:tc>
        <w:tc>
          <w:tcPr>
            <w:tcW w:w="1953"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8"/>
              </w:rPr>
              <w:t>55 initiated; 5 signed</w:t>
            </w:r>
          </w:p>
        </w:tc>
        <w:tc>
          <w:tcPr>
            <w:tcW w:w="1953"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8"/>
              </w:rPr>
              <w:t>Slow</w:t>
            </w:r>
          </w:p>
        </w:tc>
        <w:tc>
          <w:tcPr>
            <w:tcW w:w="3255"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8"/>
              </w:rPr>
              <w:t>Low conversion from initiation to signed contracts remains a major implementation risk.</w:t>
            </w:r>
          </w:p>
        </w:tc>
      </w:tr>
    </w:tbl>
    <w:p w:rsidR="00D304A8" w:rsidRPr="00CA3BD7" w:rsidRDefault="00D20120">
      <w:pPr>
        <w:pStyle w:val="Heading1"/>
        <w:rPr>
          <w:rFonts w:ascii="Arial Narrow" w:hAnsi="Arial Narrow"/>
        </w:rPr>
      </w:pPr>
      <w:r w:rsidRPr="00CA3BD7">
        <w:rPr>
          <w:rFonts w:ascii="Arial Narrow" w:hAnsi="Arial Narrow"/>
        </w:rPr>
        <w:t>1. Introduction</w:t>
      </w:r>
    </w:p>
    <w:p w:rsidR="00D304A8" w:rsidRPr="00CA3BD7" w:rsidRDefault="00D20120">
      <w:pPr>
        <w:rPr>
          <w:rFonts w:ascii="Arial Narrow" w:hAnsi="Arial Narrow"/>
        </w:rPr>
      </w:pPr>
      <w:r w:rsidRPr="00CA3BD7">
        <w:rPr>
          <w:rFonts w:ascii="Arial Narrow" w:hAnsi="Arial Narrow"/>
        </w:rPr>
        <w:t>This report presents the Corporation’s mid-year performance for the first six months of FY 2025/26. It reviews delivery against the agreed Key Performance Indicators in the approved performance contract, highlights implementation progress, and identifies the main operational, financial, and institutional constraints requiring management attention.</w:t>
      </w:r>
    </w:p>
    <w:p w:rsidR="00D304A8" w:rsidRPr="00CA3BD7" w:rsidRDefault="00D20120">
      <w:pPr>
        <w:pStyle w:val="Heading1"/>
        <w:rPr>
          <w:rFonts w:ascii="Arial Narrow" w:hAnsi="Arial Narrow"/>
        </w:rPr>
      </w:pPr>
      <w:r w:rsidRPr="00CA3BD7">
        <w:rPr>
          <w:rFonts w:ascii="Arial Narrow" w:hAnsi="Arial Narrow"/>
        </w:rPr>
        <w:t>2. Purpose of the Report</w:t>
      </w:r>
    </w:p>
    <w:p w:rsidR="00D304A8" w:rsidRPr="00CA3BD7" w:rsidRDefault="00D20120">
      <w:pPr>
        <w:rPr>
          <w:rFonts w:ascii="Arial Narrow" w:hAnsi="Arial Narrow"/>
        </w:rPr>
      </w:pPr>
      <w:r w:rsidRPr="00CA3BD7">
        <w:rPr>
          <w:rFonts w:ascii="Arial Narrow" w:hAnsi="Arial Narrow"/>
        </w:rPr>
        <w:t>The purpose of this report is to monitor and assess performance against agreed KPIs for the first half of FY 2025/26; track implementation progress of planned activities and outputs; identify performance gaps, risks, and operational bottlenecks; and provide evidence to support management decisions and corrective action in the second half of the year.</w:t>
      </w:r>
    </w:p>
    <w:p w:rsidR="00D304A8" w:rsidRPr="00CA3BD7" w:rsidRDefault="00D20120">
      <w:pPr>
        <w:pStyle w:val="Heading1"/>
        <w:rPr>
          <w:rFonts w:ascii="Arial Narrow" w:hAnsi="Arial Narrow"/>
        </w:rPr>
      </w:pPr>
      <w:r w:rsidRPr="00CA3BD7">
        <w:rPr>
          <w:rFonts w:ascii="Arial Narrow" w:hAnsi="Arial Narrow"/>
        </w:rPr>
        <w:t>3. Overall KPI Performance Summary</w:t>
      </w:r>
    </w:p>
    <w:p w:rsidR="00D304A8" w:rsidRPr="00CA3BD7" w:rsidRDefault="00D20120">
      <w:pPr>
        <w:rPr>
          <w:rFonts w:ascii="Arial Narrow" w:hAnsi="Arial Narrow"/>
        </w:rPr>
      </w:pPr>
      <w:r w:rsidRPr="00CA3BD7">
        <w:rPr>
          <w:rFonts w:ascii="Arial Narrow" w:hAnsi="Arial Narrow"/>
        </w:rPr>
        <w:t>During the reporting period, the Corporation recorded mixed performance. Areas where activities were implemented on schedule and resource availability was relatively stable performed reasonably well, while performance in freight operations, infrastructure reliability, and procurement remained under pressure. Out of 321 KPIs assessed, 41 were above target, 22 were within target, 246 were below target, and 12 were not started. In practical terms, 63 KPIs were achieved at or above the expected level, while the majority remained below plan.</w:t>
      </w:r>
    </w:p>
    <w:tbl>
      <w:tblPr>
        <w:tblW w:w="0" w:type="auto"/>
        <w:jc w:val="center"/>
        <w:tblLayout w:type="fixed"/>
        <w:tblLook w:val="04A0" w:firstRow="1" w:lastRow="0" w:firstColumn="1" w:lastColumn="0" w:noHBand="0" w:noVBand="1"/>
      </w:tblPr>
      <w:tblGrid>
        <w:gridCol w:w="1656"/>
        <w:gridCol w:w="1656"/>
        <w:gridCol w:w="1656"/>
        <w:gridCol w:w="1656"/>
        <w:gridCol w:w="1656"/>
        <w:gridCol w:w="1656"/>
      </w:tblGrid>
      <w:tr w:rsidR="00D304A8" w:rsidRPr="00CA3BD7">
        <w:trPr>
          <w:jc w:val="center"/>
        </w:trPr>
        <w:tc>
          <w:tcPr>
            <w:tcW w:w="165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Month</w:t>
            </w:r>
          </w:p>
        </w:tc>
        <w:tc>
          <w:tcPr>
            <w:tcW w:w="165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Total KPIs</w:t>
            </w:r>
          </w:p>
        </w:tc>
        <w:tc>
          <w:tcPr>
            <w:tcW w:w="165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Above Target</w:t>
            </w:r>
          </w:p>
        </w:tc>
        <w:tc>
          <w:tcPr>
            <w:tcW w:w="165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Within Target</w:t>
            </w:r>
          </w:p>
        </w:tc>
        <w:tc>
          <w:tcPr>
            <w:tcW w:w="165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Below Target</w:t>
            </w:r>
          </w:p>
        </w:tc>
        <w:tc>
          <w:tcPr>
            <w:tcW w:w="165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Not started</w:t>
            </w:r>
          </w:p>
        </w:tc>
      </w:tr>
      <w:tr w:rsidR="00D304A8" w:rsidRPr="00CA3BD7">
        <w:trPr>
          <w:jc w:val="center"/>
        </w:trPr>
        <w:tc>
          <w:tcPr>
            <w:tcW w:w="15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July</w:t>
            </w:r>
          </w:p>
        </w:tc>
        <w:tc>
          <w:tcPr>
            <w:tcW w:w="1296"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27</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9</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3</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13</w:t>
            </w:r>
          </w:p>
        </w:tc>
        <w:tc>
          <w:tcPr>
            <w:tcW w:w="1368"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2</w:t>
            </w:r>
          </w:p>
        </w:tc>
      </w:tr>
      <w:tr w:rsidR="00D304A8" w:rsidRPr="00CA3BD7">
        <w:trPr>
          <w:jc w:val="center"/>
        </w:trPr>
        <w:tc>
          <w:tcPr>
            <w:tcW w:w="15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August</w:t>
            </w:r>
          </w:p>
        </w:tc>
        <w:tc>
          <w:tcPr>
            <w:tcW w:w="1296"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35</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8</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3</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22</w:t>
            </w:r>
          </w:p>
        </w:tc>
        <w:tc>
          <w:tcPr>
            <w:tcW w:w="1368"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2</w:t>
            </w:r>
          </w:p>
        </w:tc>
      </w:tr>
      <w:tr w:rsidR="00D304A8" w:rsidRPr="00CA3BD7">
        <w:trPr>
          <w:jc w:val="center"/>
        </w:trPr>
        <w:tc>
          <w:tcPr>
            <w:tcW w:w="15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September</w:t>
            </w:r>
          </w:p>
        </w:tc>
        <w:tc>
          <w:tcPr>
            <w:tcW w:w="1296"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90</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10</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4</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76</w:t>
            </w:r>
          </w:p>
        </w:tc>
        <w:tc>
          <w:tcPr>
            <w:tcW w:w="1368"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0</w:t>
            </w:r>
          </w:p>
        </w:tc>
      </w:tr>
      <w:tr w:rsidR="00D304A8" w:rsidRPr="00CA3BD7">
        <w:trPr>
          <w:jc w:val="center"/>
        </w:trPr>
        <w:tc>
          <w:tcPr>
            <w:tcW w:w="15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October</w:t>
            </w:r>
          </w:p>
        </w:tc>
        <w:tc>
          <w:tcPr>
            <w:tcW w:w="1296"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39</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3</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5</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31</w:t>
            </w:r>
          </w:p>
        </w:tc>
        <w:tc>
          <w:tcPr>
            <w:tcW w:w="1368"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0</w:t>
            </w:r>
          </w:p>
        </w:tc>
      </w:tr>
      <w:tr w:rsidR="00D304A8" w:rsidRPr="00CA3BD7">
        <w:trPr>
          <w:jc w:val="center"/>
        </w:trPr>
        <w:tc>
          <w:tcPr>
            <w:tcW w:w="15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November</w:t>
            </w:r>
          </w:p>
        </w:tc>
        <w:tc>
          <w:tcPr>
            <w:tcW w:w="1296"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65</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6</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5</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47</w:t>
            </w:r>
          </w:p>
        </w:tc>
        <w:tc>
          <w:tcPr>
            <w:tcW w:w="1368"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7</w:t>
            </w:r>
          </w:p>
        </w:tc>
      </w:tr>
      <w:tr w:rsidR="00D304A8" w:rsidRPr="00CA3BD7">
        <w:trPr>
          <w:jc w:val="center"/>
        </w:trPr>
        <w:tc>
          <w:tcPr>
            <w:tcW w:w="1584"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December</w:t>
            </w:r>
          </w:p>
        </w:tc>
        <w:tc>
          <w:tcPr>
            <w:tcW w:w="1296"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65</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5</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2</w:t>
            </w:r>
          </w:p>
        </w:tc>
        <w:tc>
          <w:tcPr>
            <w:tcW w:w="1512"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57</w:t>
            </w:r>
          </w:p>
        </w:tc>
        <w:tc>
          <w:tcPr>
            <w:tcW w:w="1368"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1</w:t>
            </w:r>
          </w:p>
        </w:tc>
      </w:tr>
      <w:tr w:rsidR="00D304A8" w:rsidRPr="00CA3BD7">
        <w:trPr>
          <w:jc w:val="center"/>
        </w:trPr>
        <w:tc>
          <w:tcPr>
            <w:tcW w:w="1584"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Total</w:t>
            </w:r>
          </w:p>
        </w:tc>
        <w:tc>
          <w:tcPr>
            <w:tcW w:w="1296"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321</w:t>
            </w:r>
          </w:p>
        </w:tc>
        <w:tc>
          <w:tcPr>
            <w:tcW w:w="1512"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41</w:t>
            </w:r>
          </w:p>
        </w:tc>
        <w:tc>
          <w:tcPr>
            <w:tcW w:w="1512"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22</w:t>
            </w:r>
          </w:p>
        </w:tc>
        <w:tc>
          <w:tcPr>
            <w:tcW w:w="1512"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246</w:t>
            </w:r>
          </w:p>
        </w:tc>
        <w:tc>
          <w:tcPr>
            <w:tcW w:w="1368" w:type="dxa"/>
            <w:shd w:val="clear" w:color="auto" w:fill="EAF1FB"/>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12</w:t>
            </w:r>
          </w:p>
        </w:tc>
      </w:tr>
    </w:tbl>
    <w:p w:rsidR="00D304A8" w:rsidRPr="00CA3BD7" w:rsidRDefault="00D20120">
      <w:pPr>
        <w:pStyle w:val="Heading1"/>
        <w:rPr>
          <w:rFonts w:ascii="Arial Narrow" w:hAnsi="Arial Narrow"/>
        </w:rPr>
      </w:pPr>
      <w:r w:rsidRPr="00CA3BD7">
        <w:rPr>
          <w:rFonts w:ascii="Arial Narrow" w:hAnsi="Arial Narrow"/>
        </w:rPr>
        <w:t>4. Key Performance Area Analysis</w:t>
      </w:r>
    </w:p>
    <w:p w:rsidR="00D304A8" w:rsidRPr="00CA3BD7" w:rsidRDefault="00D20120">
      <w:pPr>
        <w:pStyle w:val="Heading2"/>
        <w:rPr>
          <w:rFonts w:ascii="Arial Narrow" w:hAnsi="Arial Narrow"/>
        </w:rPr>
      </w:pPr>
      <w:r w:rsidRPr="00CA3BD7">
        <w:rPr>
          <w:rFonts w:ascii="Arial Narrow" w:hAnsi="Arial Narrow"/>
        </w:rPr>
        <w:t>4.1 MGR Freight Performance</w:t>
      </w:r>
    </w:p>
    <w:p w:rsidR="00D304A8" w:rsidRPr="00CA3BD7" w:rsidRDefault="00D20120">
      <w:pPr>
        <w:rPr>
          <w:rFonts w:ascii="Arial Narrow" w:hAnsi="Arial Narrow"/>
        </w:rPr>
      </w:pPr>
      <w:r w:rsidRPr="00CA3BD7">
        <w:rPr>
          <w:rFonts w:ascii="Arial Narrow" w:hAnsi="Arial Narrow"/>
        </w:rPr>
        <w:t xml:space="preserve">MGR freight performance remained significantly below expectation. Against a six-month target of 414,319 metric tons, the Corporation transported 137,989 metric tons, equivalent to 33.3% of target. The shortfall was driven by low locomotive availability </w:t>
      </w:r>
      <w:r w:rsidRPr="00CA3BD7">
        <w:rPr>
          <w:rFonts w:ascii="Arial Narrow" w:hAnsi="Arial Narrow"/>
        </w:rPr>
        <w:lastRenderedPageBreak/>
        <w:t>and reliability, frequent breakdowns, a high number of major accidents, extensive speed restrictions on deteriorated track sections, increased wagon turnaround time, and service disruption following heavy rainfall and washaways from 28 December 2025.</w:t>
      </w:r>
    </w:p>
    <w:p w:rsidR="00D304A8" w:rsidRPr="00CA3BD7" w:rsidRDefault="00D20120">
      <w:pPr>
        <w:rPr>
          <w:rFonts w:ascii="Arial Narrow" w:hAnsi="Arial Narrow"/>
        </w:rPr>
      </w:pPr>
      <w:r w:rsidRPr="00CA3BD7">
        <w:rPr>
          <w:rFonts w:ascii="Arial Narrow" w:hAnsi="Arial Narrow"/>
        </w:rPr>
        <w:t>Operationally, the freight business was constrained by an average daily availability of only 16 out of 36 locomotives, representing 44.4% of the planned target. More than 33 mechanical breakdowns were recorded during the review period, further reducing fleet utilization. In addition, 148 major accidents were reported, with stoppages of more than three days in some cases. These factors collectively depressed freight movement and weakened service reliability.</w:t>
      </w:r>
    </w:p>
    <w:p w:rsidR="00D304A8" w:rsidRPr="00CA3BD7" w:rsidRDefault="00D20120">
      <w:pPr>
        <w:rPr>
          <w:rFonts w:ascii="Arial Narrow" w:hAnsi="Arial Narrow"/>
        </w:rPr>
      </w:pPr>
      <w:r w:rsidRPr="00CA3BD7">
        <w:rPr>
          <w:rFonts w:ascii="Arial Narrow" w:hAnsi="Arial Narrow"/>
        </w:rPr>
        <w:t>The business impact was substantial. Flood-related service disruption alone affected 16 freight trains and was estimated to result in a loss of approximately TShs 608.16 million per day. This area remains one of the most urgent priorities for corrective management action in the second half of the year.</w:t>
      </w:r>
    </w:p>
    <w:p w:rsidR="00D304A8" w:rsidRPr="00CA3BD7" w:rsidRDefault="00D20120">
      <w:pPr>
        <w:pStyle w:val="Heading2"/>
        <w:rPr>
          <w:rFonts w:ascii="Arial Narrow" w:hAnsi="Arial Narrow"/>
        </w:rPr>
      </w:pPr>
      <w:r w:rsidRPr="00CA3BD7">
        <w:rPr>
          <w:rFonts w:ascii="Arial Narrow" w:hAnsi="Arial Narrow"/>
        </w:rPr>
        <w:t>4.2 SGR Freight Performance</w:t>
      </w:r>
    </w:p>
    <w:p w:rsidR="00D304A8" w:rsidRPr="00CA3BD7" w:rsidRDefault="00D20120">
      <w:pPr>
        <w:rPr>
          <w:rFonts w:ascii="Arial Narrow" w:hAnsi="Arial Narrow"/>
        </w:rPr>
      </w:pPr>
      <w:r w:rsidRPr="00CA3BD7">
        <w:rPr>
          <w:rFonts w:ascii="Arial Narrow" w:hAnsi="Arial Narrow"/>
        </w:rPr>
        <w:t>SGR freight performance also underperformed significantly. A total of 52,350 metric tons was hauled against a six-month target of 250,000 metric tons, equivalent to 20.94% performance.</w:t>
      </w:r>
    </w:p>
    <w:p w:rsidR="00D304A8" w:rsidRPr="00CA3BD7" w:rsidRDefault="00D20120">
      <w:pPr>
        <w:rPr>
          <w:rFonts w:ascii="Arial Narrow" w:hAnsi="Arial Narrow"/>
        </w:rPr>
      </w:pPr>
      <w:r w:rsidRPr="00CA3BD7">
        <w:rPr>
          <w:rFonts w:ascii="Arial Narrow" w:hAnsi="Arial Narrow"/>
        </w:rPr>
        <w:t>The main constraints were incomplete rail infrastructure for cargo loading at Dar es Salaam Port, customer distance from the Pugu loading point combined with double-handling cost, and service interruptions linked to public protests on 29 and 31 October 2025. Those disruptions alone affected two scheduled trains and reduced expected haulage by approximately 1,950 metric tons.</w:t>
      </w:r>
    </w:p>
    <w:p w:rsidR="00D304A8" w:rsidRPr="00CA3BD7" w:rsidRDefault="00D20120">
      <w:pPr>
        <w:rPr>
          <w:rFonts w:ascii="Arial Narrow" w:hAnsi="Arial Narrow"/>
        </w:rPr>
      </w:pPr>
      <w:r w:rsidRPr="00CA3BD7">
        <w:rPr>
          <w:rFonts w:ascii="Arial Narrow" w:hAnsi="Arial Narrow"/>
        </w:rPr>
        <w:t>This section requires both infrastructure completion and a commercial-operational response if SGR freight is to contribute meaningfully to mid- to long-term revenue growth.</w:t>
      </w:r>
    </w:p>
    <w:p w:rsidR="00D304A8" w:rsidRPr="00CA3BD7" w:rsidRDefault="00D20120">
      <w:pPr>
        <w:pStyle w:val="Heading2"/>
        <w:rPr>
          <w:rFonts w:ascii="Arial Narrow" w:hAnsi="Arial Narrow"/>
        </w:rPr>
      </w:pPr>
      <w:r w:rsidRPr="00CA3BD7">
        <w:rPr>
          <w:rFonts w:ascii="Arial Narrow" w:hAnsi="Arial Narrow"/>
        </w:rPr>
        <w:t>4.3 MGR Passenger Performance</w:t>
      </w:r>
    </w:p>
    <w:p w:rsidR="00D304A8" w:rsidRPr="00CA3BD7" w:rsidRDefault="00D20120">
      <w:pPr>
        <w:rPr>
          <w:rFonts w:ascii="Arial Narrow" w:hAnsi="Arial Narrow"/>
        </w:rPr>
      </w:pPr>
      <w:r w:rsidRPr="00CA3BD7">
        <w:rPr>
          <w:rFonts w:ascii="Arial Narrow" w:hAnsi="Arial Narrow"/>
        </w:rPr>
        <w:t>For MGR passenger services, the Corporation planned to transport 1,844,863 passengers during the review period, comprising 1,534,406 commuter passengers and 310,457 mainline passengers. Actual performance reached 1,240,051 passengers, of whom 969,459 were commuter and 270,592 were mainline passengers.</w:t>
      </w:r>
    </w:p>
    <w:p w:rsidR="00D304A8" w:rsidRPr="00CA3BD7" w:rsidRDefault="00D20120">
      <w:pPr>
        <w:rPr>
          <w:rFonts w:ascii="Arial Narrow" w:hAnsi="Arial Narrow"/>
        </w:rPr>
      </w:pPr>
      <w:r w:rsidRPr="00CA3BD7">
        <w:rPr>
          <w:rFonts w:ascii="Arial Narrow" w:hAnsi="Arial Narrow"/>
        </w:rPr>
        <w:t>Performance therefore reached 63.18% of target for commuter passengers and 87.15% for mainline passengers. The main reasons for underperformance were speed restrictions that increased journey times, frequent delays caused mainly by locomotive failures, temporary service suspensions during civil protests from 29 October to 3 November 2025, and flood-related service interruptions from late December.</w:t>
      </w:r>
    </w:p>
    <w:p w:rsidR="00D304A8" w:rsidRPr="00CA3BD7" w:rsidRDefault="00D20120">
      <w:pPr>
        <w:rPr>
          <w:rFonts w:ascii="Arial Narrow" w:hAnsi="Arial Narrow"/>
        </w:rPr>
      </w:pPr>
      <w:r w:rsidRPr="00CA3BD7">
        <w:rPr>
          <w:rFonts w:ascii="Arial Narrow" w:hAnsi="Arial Narrow"/>
        </w:rPr>
        <w:t>The recurring combination of delay, schedule unreliability, and periodic service stoppages continues to affect the attractiveness of MGR passenger services and encourages passengers to shift to other transport options.</w:t>
      </w:r>
    </w:p>
    <w:p w:rsidR="00D304A8" w:rsidRPr="00CA3BD7" w:rsidRDefault="00D20120">
      <w:pPr>
        <w:pStyle w:val="Heading2"/>
        <w:rPr>
          <w:rFonts w:ascii="Arial Narrow" w:hAnsi="Arial Narrow"/>
        </w:rPr>
      </w:pPr>
      <w:r w:rsidRPr="00CA3BD7">
        <w:rPr>
          <w:rFonts w:ascii="Arial Narrow" w:hAnsi="Arial Narrow"/>
        </w:rPr>
        <w:t>4.4 SGR Passenger Performance</w:t>
      </w:r>
    </w:p>
    <w:p w:rsidR="00D304A8" w:rsidRPr="00CA3BD7" w:rsidRDefault="00D20120">
      <w:pPr>
        <w:rPr>
          <w:rFonts w:ascii="Arial Narrow" w:hAnsi="Arial Narrow"/>
        </w:rPr>
      </w:pPr>
      <w:r w:rsidRPr="00CA3BD7">
        <w:rPr>
          <w:rFonts w:ascii="Arial Narrow" w:hAnsi="Arial Narrow"/>
        </w:rPr>
        <w:t>SGR passenger services remained the strongest performing business segment during the review period. A total of 1,644,458 passengers was transported against a target of 1,517,716, equivalent to 108.35% performance.</w:t>
      </w:r>
    </w:p>
    <w:p w:rsidR="00D304A8" w:rsidRPr="00CA3BD7" w:rsidRDefault="00D20120">
      <w:pPr>
        <w:rPr>
          <w:rFonts w:ascii="Arial Narrow" w:hAnsi="Arial Narrow"/>
        </w:rPr>
      </w:pPr>
      <w:r w:rsidRPr="00CA3BD7">
        <w:rPr>
          <w:rFonts w:ascii="Arial Narrow" w:hAnsi="Arial Narrow"/>
        </w:rPr>
        <w:t>This performance was supported by service quality and adherence to punctuality standards. The result confirms the strong public demand for SGR passenger services and highlights the value of reliable operations, customer confidence, and service consistency.</w:t>
      </w:r>
    </w:p>
    <w:p w:rsidR="00D304A8" w:rsidRPr="00CA3BD7" w:rsidRDefault="00D20120">
      <w:pPr>
        <w:pStyle w:val="Heading2"/>
        <w:rPr>
          <w:rFonts w:ascii="Arial Narrow" w:hAnsi="Arial Narrow"/>
        </w:rPr>
      </w:pPr>
      <w:r w:rsidRPr="00CA3BD7">
        <w:rPr>
          <w:rFonts w:ascii="Arial Narrow" w:hAnsi="Arial Narrow"/>
        </w:rPr>
        <w:t>4.5 Rolling Stock Performance</w:t>
      </w:r>
    </w:p>
    <w:p w:rsidR="00D304A8" w:rsidRPr="00CA3BD7" w:rsidRDefault="00D20120">
      <w:pPr>
        <w:rPr>
          <w:rFonts w:ascii="Arial Narrow" w:hAnsi="Arial Narrow"/>
        </w:rPr>
      </w:pPr>
      <w:r w:rsidRPr="00CA3BD7">
        <w:rPr>
          <w:rFonts w:ascii="Arial Narrow" w:hAnsi="Arial Narrow"/>
        </w:rPr>
        <w:t>Rolling stock performance was mixed. Wagon and coach availability improved over plan, with 852 wagons and 88 coaches available against planned targets of 772 and 86 respectively. However, locomotive availability remained weak at an average of 16 locomotives per day against a planned average of 36. Locomotive reliability also deteriorated, with more than 33 mechanical breakdowns recorded during the period.</w:t>
      </w:r>
    </w:p>
    <w:p w:rsidR="00D304A8" w:rsidRPr="00CA3BD7" w:rsidRDefault="00D20120">
      <w:pPr>
        <w:rPr>
          <w:rFonts w:ascii="Arial Narrow" w:hAnsi="Arial Narrow"/>
        </w:rPr>
      </w:pPr>
      <w:r w:rsidRPr="00CA3BD7">
        <w:rPr>
          <w:rFonts w:ascii="Arial Narrow" w:hAnsi="Arial Narrow"/>
        </w:rPr>
        <w:t xml:space="preserve">The underlying issue is that many locomotives are due for major maintenance. The Corporation has responded by engaging a maintenance service provider, signing one maintenance contract and moving another contract to vetting stage; receiving two of </w:t>
      </w:r>
      <w:r w:rsidRPr="00CA3BD7">
        <w:rPr>
          <w:rFonts w:ascii="Arial Narrow" w:hAnsi="Arial Narrow"/>
        </w:rPr>
        <w:lastRenderedPageBreak/>
        <w:t>the eight planned locomotives, currently under testing and commissioning; continuing assembly of the remaining six locomotives at Pugu Workshop for phased delivery up to March 2026; progressing remanufacturing of five mainline locomotives at Morogoro Workshop to 17% by December 2025; and advancing procurement of 10 additional locomotives to negotiation stage.</w:t>
      </w:r>
    </w:p>
    <w:p w:rsidR="00D304A8" w:rsidRPr="00CA3BD7" w:rsidRDefault="00D20120">
      <w:pPr>
        <w:rPr>
          <w:rFonts w:ascii="Arial Narrow" w:hAnsi="Arial Narrow"/>
        </w:rPr>
      </w:pPr>
      <w:r w:rsidRPr="00CA3BD7">
        <w:rPr>
          <w:rFonts w:ascii="Arial Narrow" w:hAnsi="Arial Narrow"/>
        </w:rPr>
        <w:t>These are positive actions, but the operational effect is not yet sufficient to restore freight and mainline passenger reliability at the required level.</w:t>
      </w:r>
    </w:p>
    <w:p w:rsidR="00D304A8" w:rsidRPr="00CA3BD7" w:rsidRDefault="00D20120">
      <w:pPr>
        <w:pStyle w:val="Heading2"/>
        <w:rPr>
          <w:rFonts w:ascii="Arial Narrow" w:hAnsi="Arial Narrow"/>
        </w:rPr>
      </w:pPr>
      <w:r w:rsidRPr="00CA3BD7">
        <w:rPr>
          <w:rFonts w:ascii="Arial Narrow" w:hAnsi="Arial Narrow"/>
        </w:rPr>
        <w:t>4.6 Safety Performance</w:t>
      </w:r>
    </w:p>
    <w:p w:rsidR="00D304A8" w:rsidRPr="00CA3BD7" w:rsidRDefault="00D20120">
      <w:pPr>
        <w:rPr>
          <w:rFonts w:ascii="Arial Narrow" w:hAnsi="Arial Narrow"/>
        </w:rPr>
      </w:pPr>
      <w:r w:rsidRPr="00CA3BD7">
        <w:rPr>
          <w:rFonts w:ascii="Arial Narrow" w:hAnsi="Arial Narrow"/>
        </w:rPr>
        <w:t>Safety remains a major concern and should be treated as a top management priority. During the review period, MGR operations recorded 141 major accidents and 351 minor incidents while 972 trains were operated. On SGR, seven major accidents and 92 minor incidences were recorded while 1,891 trains were operated.</w:t>
      </w:r>
    </w:p>
    <w:p w:rsidR="00D304A8" w:rsidRPr="00CA3BD7" w:rsidRDefault="00D20120">
      <w:pPr>
        <w:rPr>
          <w:rFonts w:ascii="Arial Narrow" w:hAnsi="Arial Narrow"/>
        </w:rPr>
      </w:pPr>
      <w:r w:rsidRPr="00CA3BD7">
        <w:rPr>
          <w:rFonts w:ascii="Arial Narrow" w:hAnsi="Arial Narrow"/>
        </w:rPr>
        <w:t>The principal causes were human error, poor track conditions, and mechanical defects. These safety events not only affect operational continuity and public confidence, but also increase the probability of service interruption and asset damage as train movements increase.</w:t>
      </w:r>
    </w:p>
    <w:p w:rsidR="00D304A8" w:rsidRPr="00CA3BD7" w:rsidRDefault="00D20120">
      <w:pPr>
        <w:rPr>
          <w:rFonts w:ascii="Arial Narrow" w:hAnsi="Arial Narrow"/>
        </w:rPr>
      </w:pPr>
      <w:r w:rsidRPr="00CA3BD7">
        <w:rPr>
          <w:rFonts w:ascii="Arial Narrow" w:hAnsi="Arial Narrow"/>
        </w:rPr>
        <w:t>From an M&amp;E and management perspective, this section requires stronger escalation because safety performance directly affects reliability, commercial performance, corporate reputation, and risk exposure.</w:t>
      </w:r>
    </w:p>
    <w:p w:rsidR="00D304A8" w:rsidRPr="00CA3BD7" w:rsidRDefault="00D20120">
      <w:pPr>
        <w:pStyle w:val="Heading2"/>
        <w:rPr>
          <w:rFonts w:ascii="Arial Narrow" w:hAnsi="Arial Narrow"/>
        </w:rPr>
      </w:pPr>
      <w:r w:rsidRPr="00CA3BD7">
        <w:rPr>
          <w:rFonts w:ascii="Arial Narrow" w:hAnsi="Arial Narrow"/>
        </w:rPr>
        <w:t>4.7 Financial Performance</w:t>
      </w:r>
    </w:p>
    <w:p w:rsidR="00D304A8" w:rsidRPr="00CA3BD7" w:rsidRDefault="00D20120">
      <w:pPr>
        <w:rPr>
          <w:rFonts w:ascii="Arial Narrow" w:hAnsi="Arial Narrow"/>
        </w:rPr>
      </w:pPr>
      <w:r w:rsidRPr="00CA3BD7">
        <w:rPr>
          <w:rFonts w:ascii="Arial Narrow" w:hAnsi="Arial Narrow"/>
        </w:rPr>
        <w:t>During the review period, the Corporation collected TZS 82.02 billion from operational and non-operational activities against a planned target of TZS 134.33 billion, representing a shortfall of 38.94%. Over the same period, expenditure amounted to TZS 81.38 billion, covering infrastructure and equipment maintenance, fuel and lubricants, salaries, and other day-to-day operating costs.</w:t>
      </w:r>
    </w:p>
    <w:p w:rsidR="00D304A8" w:rsidRPr="00CA3BD7" w:rsidRDefault="00D20120">
      <w:pPr>
        <w:rPr>
          <w:rFonts w:ascii="Arial Narrow" w:hAnsi="Arial Narrow"/>
        </w:rPr>
      </w:pPr>
      <w:r w:rsidRPr="00CA3BD7">
        <w:rPr>
          <w:rFonts w:ascii="Arial Narrow" w:hAnsi="Arial Narrow"/>
        </w:rPr>
        <w:t>Although revenue slightly exceeded expenditure, the margin remained narrow and reflects limited cost efficiency under low service output conditions. The main causes of weak revenue performance were poor freight and passenger service performance linked to insufficient serviceable locomotives, and temporary suspension of services caused by protests and washaways.</w:t>
      </w:r>
    </w:p>
    <w:p w:rsidR="00D304A8" w:rsidRPr="00CA3BD7" w:rsidRDefault="00D20120">
      <w:pPr>
        <w:rPr>
          <w:rFonts w:ascii="Arial Narrow" w:hAnsi="Arial Narrow"/>
        </w:rPr>
      </w:pPr>
      <w:r w:rsidRPr="00CA3BD7">
        <w:rPr>
          <w:rFonts w:ascii="Arial Narrow" w:hAnsi="Arial Narrow"/>
        </w:rPr>
        <w:t>Overall, the financial picture suggests that cost management held relatively steady, but operational disruption substantially weakened revenue performance. Recovery in the second half of the year depends heavily on operational stabilization and improved traffic volumes.</w:t>
      </w:r>
    </w:p>
    <w:p w:rsidR="00D304A8" w:rsidRPr="00CA3BD7" w:rsidRDefault="00D20120">
      <w:pPr>
        <w:pStyle w:val="Heading2"/>
        <w:rPr>
          <w:rFonts w:ascii="Arial Narrow" w:hAnsi="Arial Narrow"/>
        </w:rPr>
      </w:pPr>
      <w:r w:rsidRPr="00CA3BD7">
        <w:rPr>
          <w:rFonts w:ascii="Arial Narrow" w:hAnsi="Arial Narrow"/>
        </w:rPr>
        <w:t>4.8 Development Budget Performance</w:t>
      </w:r>
    </w:p>
    <w:p w:rsidR="00D304A8" w:rsidRPr="00CA3BD7" w:rsidRDefault="00D20120">
      <w:pPr>
        <w:rPr>
          <w:rFonts w:ascii="Arial Narrow" w:hAnsi="Arial Narrow"/>
        </w:rPr>
      </w:pPr>
      <w:r w:rsidRPr="00CA3BD7">
        <w:rPr>
          <w:rFonts w:ascii="Arial Narrow" w:hAnsi="Arial Narrow"/>
        </w:rPr>
        <w:t>The Corporation received TZS 773.86 billion for development projects against a planned target of TZS 976.10 billion, resulting in a shortfall of 20.72%. While the level of funds received is broadly encouraging, the gap still poses a risk to timely project implementation and may require rescheduling of some activities.</w:t>
      </w:r>
    </w:p>
    <w:p w:rsidR="00D304A8" w:rsidRPr="00CA3BD7" w:rsidRDefault="00D20120">
      <w:pPr>
        <w:rPr>
          <w:rFonts w:ascii="Arial Narrow" w:hAnsi="Arial Narrow"/>
        </w:rPr>
      </w:pPr>
      <w:r w:rsidRPr="00CA3BD7">
        <w:rPr>
          <w:rFonts w:ascii="Arial Narrow" w:hAnsi="Arial Narrow"/>
        </w:rPr>
        <w:t>Close coordination with the Ministry and stronger project planning discipline will be necessary to manage this gap and avoid cost escalation or contractual penalties linked to delayed payments.</w:t>
      </w:r>
    </w:p>
    <w:p w:rsidR="00D304A8" w:rsidRPr="00CA3BD7" w:rsidRDefault="00D20120">
      <w:pPr>
        <w:pStyle w:val="Heading2"/>
        <w:rPr>
          <w:rFonts w:ascii="Arial Narrow" w:hAnsi="Arial Narrow"/>
        </w:rPr>
      </w:pPr>
      <w:r w:rsidRPr="00CA3BD7">
        <w:rPr>
          <w:rFonts w:ascii="Arial Narrow" w:hAnsi="Arial Narrow"/>
        </w:rPr>
        <w:t>4.9 Annual Procurement Plan Performance</w:t>
      </w:r>
    </w:p>
    <w:p w:rsidR="00D304A8" w:rsidRPr="00CA3BD7" w:rsidRDefault="00D20120">
      <w:pPr>
        <w:rPr>
          <w:rFonts w:ascii="Arial Narrow" w:hAnsi="Arial Narrow"/>
        </w:rPr>
      </w:pPr>
      <w:r w:rsidRPr="00CA3BD7">
        <w:rPr>
          <w:rFonts w:ascii="Arial Narrow" w:hAnsi="Arial Narrow"/>
        </w:rPr>
        <w:t>Procurement performance remains a serious implementation bottleneck. Out of 99 tenders planned in FY 2025/26, only 55 had been initiated by December 2025, and of these only five had progressed to signed contracts under implementation.</w:t>
      </w:r>
    </w:p>
    <w:p w:rsidR="00D304A8" w:rsidRPr="00CA3BD7" w:rsidRDefault="00D20120">
      <w:pPr>
        <w:rPr>
          <w:rFonts w:ascii="Arial Narrow" w:hAnsi="Arial Narrow"/>
        </w:rPr>
      </w:pPr>
      <w:r w:rsidRPr="00CA3BD7">
        <w:rPr>
          <w:rFonts w:ascii="Arial Narrow" w:hAnsi="Arial Narrow"/>
        </w:rPr>
        <w:t>This slow conversion from planning to implementation delays the delivery of goods, works, and services needed for maintenance, operations, and institutional strengthening. Unless procurement is accelerated, important service reliability, asset condition, and revenue improvement objectives are unlikely to be achieved within the financial year.</w:t>
      </w:r>
    </w:p>
    <w:p w:rsidR="00D304A8" w:rsidRPr="00CA3BD7" w:rsidRDefault="00D20120">
      <w:pPr>
        <w:pStyle w:val="Heading2"/>
        <w:rPr>
          <w:rFonts w:ascii="Arial Narrow" w:hAnsi="Arial Narrow"/>
        </w:rPr>
      </w:pPr>
      <w:r w:rsidRPr="00CA3BD7">
        <w:rPr>
          <w:rFonts w:ascii="Arial Narrow" w:hAnsi="Arial Narrow"/>
        </w:rPr>
        <w:lastRenderedPageBreak/>
        <w:t>4.10 TIRTEC Performance</w:t>
      </w:r>
    </w:p>
    <w:p w:rsidR="00D304A8" w:rsidRPr="00CA3BD7" w:rsidRDefault="00D20120">
      <w:pPr>
        <w:rPr>
          <w:rFonts w:ascii="Arial Narrow" w:hAnsi="Arial Narrow"/>
        </w:rPr>
      </w:pPr>
      <w:r w:rsidRPr="00CA3BD7">
        <w:rPr>
          <w:rFonts w:ascii="Arial Narrow" w:hAnsi="Arial Narrow"/>
        </w:rPr>
        <w:t>Under TIRTEC, the Corporation planned to enroll 700 students across both campuses. By December 2025, 689 students had been enrolled, equivalent to 98.43% of target. This is a strong result. However, no refresher course had been conducted for staff against the planned target of 200 staff, with implementation deferred to January 2026.</w:t>
      </w:r>
    </w:p>
    <w:p w:rsidR="00D304A8" w:rsidRPr="00CA3BD7" w:rsidRDefault="00D20120">
      <w:pPr>
        <w:pStyle w:val="Heading1"/>
        <w:rPr>
          <w:rFonts w:ascii="Arial Narrow" w:hAnsi="Arial Narrow"/>
        </w:rPr>
      </w:pPr>
      <w:r w:rsidRPr="00CA3BD7">
        <w:rPr>
          <w:rFonts w:ascii="Arial Narrow" w:hAnsi="Arial Narrow"/>
        </w:rPr>
        <w:t>5. Key Challenges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Low availability and reliability of locomotives, constraining both freight and passenger services.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Underutilization of wagons and coaches despite improved physical availability.</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High number of accidents linked to human factors and poor track condition, especially on the Tabora–Kigoma and Tanga lines.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Incomplete construction of port links and rail terminals, constraining cargo movement from ports.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Unexpected suspension of services due to civil protests and washaways.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Delayed disbursement of development funds, slowing implementation.</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Increase in wagon turnaround time from the target of 14 days to 21 days.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Persistent non-adherence to punctuality on MGR mainline services.</w:t>
      </w:r>
    </w:p>
    <w:p w:rsidR="00D304A8" w:rsidRPr="00CA3BD7" w:rsidRDefault="00D20120">
      <w:pPr>
        <w:pStyle w:val="Heading1"/>
        <w:rPr>
          <w:rFonts w:ascii="Arial Narrow" w:hAnsi="Arial Narrow"/>
        </w:rPr>
      </w:pPr>
      <w:r w:rsidRPr="00CA3BD7">
        <w:rPr>
          <w:rFonts w:ascii="Arial Narrow" w:hAnsi="Arial Narrow"/>
        </w:rPr>
        <w:t>6. Achievements</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Delivery of two new 3,000 HP locomotives to strengthen freight haulage capacity.</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Engagement of a locomotive maintenance service provider to improve availability and reliability.</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SGR passenger business exceeded target by 8.35%, confirming strong demand and service quality.</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Availability of wagons and coaches improved above plan by 10.4% and 2.3% respectively.</w:t>
      </w:r>
    </w:p>
    <w:p w:rsidR="00D304A8" w:rsidRPr="00CA3BD7" w:rsidRDefault="00D20120">
      <w:pPr>
        <w:ind w:left="317" w:hanging="259"/>
        <w:rPr>
          <w:rFonts w:ascii="Arial Narrow" w:hAnsi="Arial Narrow"/>
        </w:rPr>
      </w:pPr>
      <w:r w:rsidRPr="00CA3BD7">
        <w:rPr>
          <w:rFonts w:ascii="Arial Narrow" w:hAnsi="Arial Narrow"/>
          <w:b/>
        </w:rPr>
        <w:t xml:space="preserve">• </w:t>
      </w:r>
      <w:r w:rsidRPr="00CA3BD7">
        <w:rPr>
          <w:rFonts w:ascii="Arial Narrow" w:hAnsi="Arial Narrow"/>
        </w:rPr>
        <w:t>SGR passenger punctuality was maintained, helping sustain customer confidence.</w:t>
      </w:r>
    </w:p>
    <w:p w:rsidR="00D304A8" w:rsidRPr="00CA3BD7" w:rsidRDefault="00D20120">
      <w:pPr>
        <w:pStyle w:val="Heading1"/>
        <w:rPr>
          <w:rFonts w:ascii="Arial Narrow" w:hAnsi="Arial Narrow"/>
        </w:rPr>
      </w:pPr>
      <w:r w:rsidRPr="00CA3BD7">
        <w:rPr>
          <w:rFonts w:ascii="Arial Narrow" w:hAnsi="Arial Narrow"/>
        </w:rPr>
        <w:t>7. Key Risks Requiring Management Attention</w:t>
      </w:r>
    </w:p>
    <w:tbl>
      <w:tblPr>
        <w:tblW w:w="11845" w:type="dxa"/>
        <w:jc w:val="center"/>
        <w:tblLayout w:type="fixed"/>
        <w:tblLook w:val="04A0" w:firstRow="1" w:lastRow="0" w:firstColumn="1" w:lastColumn="0" w:noHBand="0" w:noVBand="1"/>
      </w:tblPr>
      <w:tblGrid>
        <w:gridCol w:w="2966"/>
        <w:gridCol w:w="1859"/>
        <w:gridCol w:w="1859"/>
        <w:gridCol w:w="1859"/>
        <w:gridCol w:w="3302"/>
      </w:tblGrid>
      <w:tr w:rsidR="00D304A8" w:rsidRPr="00CA3BD7" w:rsidTr="00B8514B">
        <w:trPr>
          <w:trHeight w:val="428"/>
          <w:jc w:val="center"/>
        </w:trPr>
        <w:tc>
          <w:tcPr>
            <w:tcW w:w="2966"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Risk</w:t>
            </w:r>
          </w:p>
        </w:tc>
        <w:tc>
          <w:tcPr>
            <w:tcW w:w="1859"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Likelihood</w:t>
            </w:r>
          </w:p>
        </w:tc>
        <w:tc>
          <w:tcPr>
            <w:tcW w:w="1859"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Impact</w:t>
            </w:r>
          </w:p>
        </w:tc>
        <w:tc>
          <w:tcPr>
            <w:tcW w:w="1859"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Rating</w:t>
            </w:r>
          </w:p>
        </w:tc>
        <w:tc>
          <w:tcPr>
            <w:tcW w:w="3302"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color w:val="FFFFFF"/>
                <w:sz w:val="17"/>
              </w:rPr>
              <w:t>Immediate management response</w:t>
            </w:r>
          </w:p>
        </w:tc>
      </w:tr>
      <w:tr w:rsidR="00D304A8" w:rsidRPr="00CA3BD7" w:rsidTr="00B8514B">
        <w:trPr>
          <w:trHeight w:val="650"/>
          <w:jc w:val="center"/>
        </w:trPr>
        <w:tc>
          <w:tcPr>
            <w:tcW w:w="2966"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7"/>
              </w:rPr>
              <w:t>Low locomotive availability and reliability</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Severe</w:t>
            </w:r>
          </w:p>
        </w:tc>
        <w:tc>
          <w:tcPr>
            <w:tcW w:w="3302"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7"/>
              </w:rPr>
              <w:t>Fast-track maintenance contracts, spare parts, and locomotive delivery/testing.</w:t>
            </w:r>
          </w:p>
        </w:tc>
      </w:tr>
      <w:tr w:rsidR="00D304A8" w:rsidRPr="00CA3BD7" w:rsidTr="00B8514B">
        <w:trPr>
          <w:trHeight w:val="640"/>
          <w:jc w:val="center"/>
        </w:trPr>
        <w:tc>
          <w:tcPr>
            <w:tcW w:w="2966"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7"/>
              </w:rPr>
              <w:t>Frequent accidents and safety events</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Severe</w:t>
            </w:r>
          </w:p>
        </w:tc>
        <w:tc>
          <w:tcPr>
            <w:tcW w:w="3302"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7"/>
              </w:rPr>
              <w:t>Intensify track inspection, rehabilitation, and safety discipline.</w:t>
            </w:r>
          </w:p>
        </w:tc>
      </w:tr>
      <w:tr w:rsidR="00D304A8" w:rsidRPr="00CA3BD7" w:rsidTr="00B8514B">
        <w:trPr>
          <w:trHeight w:val="650"/>
          <w:jc w:val="center"/>
        </w:trPr>
        <w:tc>
          <w:tcPr>
            <w:tcW w:w="2966"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7"/>
              </w:rPr>
              <w:t>Procurement implementation delays</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shd w:val="clear" w:color="auto" w:fill="FDE9E7"/>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Severe</w:t>
            </w:r>
          </w:p>
        </w:tc>
        <w:tc>
          <w:tcPr>
            <w:tcW w:w="3302"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7"/>
              </w:rPr>
              <w:t>Escalate APP implementation and tighten coordination with user departments.</w:t>
            </w:r>
          </w:p>
        </w:tc>
      </w:tr>
      <w:tr w:rsidR="00D304A8" w:rsidRPr="00CA3BD7" w:rsidTr="00B8514B">
        <w:trPr>
          <w:trHeight w:val="650"/>
          <w:jc w:val="center"/>
        </w:trPr>
        <w:tc>
          <w:tcPr>
            <w:tcW w:w="2966"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7"/>
              </w:rPr>
              <w:t>Flood and washaway disruption</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Medium</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shd w:val="clear" w:color="auto" w:fill="FFF2CC"/>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High</w:t>
            </w:r>
          </w:p>
        </w:tc>
        <w:tc>
          <w:tcPr>
            <w:tcW w:w="3302"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7"/>
              </w:rPr>
              <w:t>Strengthen preventive maintenance and emergency response readiness.</w:t>
            </w:r>
          </w:p>
        </w:tc>
      </w:tr>
      <w:tr w:rsidR="00D304A8" w:rsidRPr="00CA3BD7" w:rsidTr="00B8514B">
        <w:trPr>
          <w:trHeight w:val="650"/>
          <w:jc w:val="center"/>
        </w:trPr>
        <w:tc>
          <w:tcPr>
            <w:tcW w:w="2966"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7"/>
              </w:rPr>
              <w:lastRenderedPageBreak/>
              <w:t>Funding shortfalls / delayed disbursement</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Medium</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shd w:val="clear" w:color="auto" w:fill="FFF2CC"/>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High</w:t>
            </w:r>
          </w:p>
        </w:tc>
        <w:tc>
          <w:tcPr>
            <w:tcW w:w="3302"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7"/>
              </w:rPr>
              <w:t>Maintain close follow-up with the Ministry and sequence projects realistically.</w:t>
            </w:r>
          </w:p>
        </w:tc>
      </w:tr>
      <w:tr w:rsidR="00D304A8" w:rsidRPr="00CA3BD7" w:rsidTr="00B8514B">
        <w:trPr>
          <w:trHeight w:val="650"/>
          <w:jc w:val="center"/>
        </w:trPr>
        <w:tc>
          <w:tcPr>
            <w:tcW w:w="2966" w:type="dxa"/>
            <w:shd w:val="clear" w:color="auto" w:fill="EAF1FB"/>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b/>
                <w:sz w:val="17"/>
              </w:rPr>
              <w:t>MGR service unreliability and punctuality failure</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High</w:t>
            </w:r>
          </w:p>
        </w:tc>
        <w:tc>
          <w:tcPr>
            <w:tcW w:w="1859" w:type="dxa"/>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sz w:val="17"/>
              </w:rPr>
              <w:t>Medium</w:t>
            </w:r>
          </w:p>
        </w:tc>
        <w:tc>
          <w:tcPr>
            <w:tcW w:w="1859" w:type="dxa"/>
            <w:shd w:val="clear" w:color="auto" w:fill="FFF2CC"/>
            <w:tcMar>
              <w:top w:w="90" w:type="dxa"/>
              <w:left w:w="110" w:type="dxa"/>
              <w:bottom w:w="90" w:type="dxa"/>
              <w:right w:w="110" w:type="dxa"/>
            </w:tcMar>
          </w:tcPr>
          <w:p w:rsidR="00D304A8" w:rsidRPr="00CA3BD7" w:rsidRDefault="00D20120">
            <w:pPr>
              <w:jc w:val="center"/>
              <w:rPr>
                <w:rFonts w:ascii="Arial Narrow" w:hAnsi="Arial Narrow"/>
              </w:rPr>
            </w:pPr>
            <w:r w:rsidRPr="00CA3BD7">
              <w:rPr>
                <w:rFonts w:ascii="Arial Narrow" w:hAnsi="Arial Narrow"/>
                <w:b/>
                <w:sz w:val="17"/>
              </w:rPr>
              <w:t>High</w:t>
            </w:r>
          </w:p>
        </w:tc>
        <w:tc>
          <w:tcPr>
            <w:tcW w:w="3302" w:type="dxa"/>
            <w:tcMar>
              <w:top w:w="90" w:type="dxa"/>
              <w:left w:w="110" w:type="dxa"/>
              <w:bottom w:w="90" w:type="dxa"/>
              <w:right w:w="110" w:type="dxa"/>
            </w:tcMar>
          </w:tcPr>
          <w:p w:rsidR="00D304A8" w:rsidRPr="00CA3BD7" w:rsidRDefault="00D20120">
            <w:pPr>
              <w:rPr>
                <w:rFonts w:ascii="Arial Narrow" w:hAnsi="Arial Narrow"/>
              </w:rPr>
            </w:pPr>
            <w:r w:rsidRPr="00CA3BD7">
              <w:rPr>
                <w:rFonts w:ascii="Arial Narrow" w:hAnsi="Arial Narrow"/>
                <w:sz w:val="17"/>
              </w:rPr>
              <w:t>Stabilize rolling stock, reduce speed restrictions, and improve operating control.</w:t>
            </w:r>
          </w:p>
        </w:tc>
      </w:tr>
    </w:tbl>
    <w:p w:rsidR="00D304A8" w:rsidRPr="00CA3BD7" w:rsidRDefault="00D20120">
      <w:pPr>
        <w:pStyle w:val="Heading1"/>
        <w:rPr>
          <w:rFonts w:ascii="Arial Narrow" w:hAnsi="Arial Narrow"/>
        </w:rPr>
      </w:pPr>
      <w:r w:rsidRPr="00CA3BD7">
        <w:rPr>
          <w:rFonts w:ascii="Arial Narrow" w:hAnsi="Arial Narrow"/>
        </w:rPr>
        <w:t>8. Management Action Tracker</w:t>
      </w:r>
    </w:p>
    <w:tbl>
      <w:tblPr>
        <w:tblW w:w="12008" w:type="dxa"/>
        <w:jc w:val="center"/>
        <w:tblLayout w:type="fixed"/>
        <w:tblLook w:val="04A0" w:firstRow="1" w:lastRow="0" w:firstColumn="1" w:lastColumn="0" w:noHBand="0" w:noVBand="1"/>
      </w:tblPr>
      <w:tblGrid>
        <w:gridCol w:w="2547"/>
        <w:gridCol w:w="3753"/>
        <w:gridCol w:w="1849"/>
        <w:gridCol w:w="1849"/>
        <w:gridCol w:w="2010"/>
      </w:tblGrid>
      <w:tr w:rsidR="00D304A8" w:rsidRPr="00CA3BD7" w:rsidTr="00B8514B">
        <w:trPr>
          <w:trHeight w:val="340"/>
          <w:jc w:val="center"/>
        </w:trPr>
        <w:tc>
          <w:tcPr>
            <w:tcW w:w="2547"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b/>
                <w:color w:val="FFFFFF"/>
                <w:sz w:val="16"/>
                <w:szCs w:val="16"/>
              </w:rPr>
              <w:t>Issue</w:t>
            </w:r>
          </w:p>
        </w:tc>
        <w:tc>
          <w:tcPr>
            <w:tcW w:w="3753"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b/>
                <w:color w:val="FFFFFF"/>
                <w:sz w:val="16"/>
                <w:szCs w:val="16"/>
              </w:rPr>
              <w:t>Required action</w:t>
            </w:r>
          </w:p>
        </w:tc>
        <w:tc>
          <w:tcPr>
            <w:tcW w:w="1849"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b/>
                <w:color w:val="FFFFFF"/>
                <w:sz w:val="16"/>
                <w:szCs w:val="16"/>
              </w:rPr>
              <w:t>Responsible office</w:t>
            </w:r>
          </w:p>
        </w:tc>
        <w:tc>
          <w:tcPr>
            <w:tcW w:w="1849"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b/>
                <w:color w:val="FFFFFF"/>
                <w:sz w:val="16"/>
                <w:szCs w:val="16"/>
              </w:rPr>
              <w:t>Timing</w:t>
            </w:r>
          </w:p>
        </w:tc>
        <w:tc>
          <w:tcPr>
            <w:tcW w:w="2010" w:type="dxa"/>
            <w:shd w:val="clear" w:color="auto" w:fill="0B3D91"/>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b/>
                <w:color w:val="FFFFFF"/>
                <w:sz w:val="16"/>
                <w:szCs w:val="16"/>
              </w:rPr>
              <w:t>Status / monitoring note</w:t>
            </w:r>
          </w:p>
        </w:tc>
      </w:tr>
      <w:tr w:rsidR="00D304A8" w:rsidRPr="00CA3BD7" w:rsidTr="00B8514B">
        <w:trPr>
          <w:trHeight w:val="643"/>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Low locomotive availability</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Expedite procurement and onboarding of service providers; enforce rolling stock maintenance schedule; closely monitor delivery of remaining six locomotives; strengthen spare parts availability.</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PMU / DRS / DLS</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Immediate and ongoing</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Should remain a standing agenda item until availability improves materially.</w:t>
            </w:r>
          </w:p>
        </w:tc>
      </w:tr>
      <w:tr w:rsidR="00D304A8" w:rsidRPr="00CA3BD7" w:rsidTr="00B8514B">
        <w:trPr>
          <w:trHeight w:val="634"/>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Poor track condition</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Sustain routine inspection and maintenance; accelerate ongoing rehabilitation on critical sections.</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DCEI</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Immediate and ongoing</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Track-related safety and speed restrictions require continuous monitoring.</w:t>
            </w:r>
          </w:p>
        </w:tc>
      </w:tr>
      <w:tr w:rsidR="00D304A8" w:rsidRPr="00CA3BD7" w:rsidTr="00B8514B">
        <w:trPr>
          <w:trHeight w:val="492"/>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Incomplete port link and terminal infrastructure</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Finalize the port link and rail terminal works to unlock freight flow from the port.</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DCEI</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High priority</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Critical to SGR freight recovery.</w:t>
            </w:r>
          </w:p>
        </w:tc>
      </w:tr>
      <w:tr w:rsidR="00D304A8" w:rsidRPr="00CA3BD7" w:rsidTr="00B8514B">
        <w:trPr>
          <w:trHeight w:val="492"/>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Lack of on-track maintenance equipment</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Follow up funding requests and prioritize equipment mobilization for maintenance operations.</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DCEI / DRS / DCPI</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Q3–Q4 FY2025/26</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Affects maintenance response quality and speed.</w:t>
            </w:r>
          </w:p>
        </w:tc>
      </w:tr>
      <w:tr w:rsidR="00D304A8" w:rsidRPr="00CA3BD7" w:rsidTr="00B8514B">
        <w:trPr>
          <w:trHeight w:val="634"/>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Frequent accidents</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Enforce track inspection and maintenance procedures; complete ongoing rehabilitation; conduct staff safety briefings and refresher training.</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DCEI / HRSSU / DHRMA</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Immediate and ongoing</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Safety performance should be reviewed monthly at management level.</w:t>
            </w:r>
          </w:p>
        </w:tc>
      </w:tr>
      <w:tr w:rsidR="00D304A8" w:rsidRPr="00CA3BD7" w:rsidTr="00B8514B">
        <w:trPr>
          <w:trHeight w:val="492"/>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Untimely disbursement of development funds</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Maintain close follow-up with the Ministry of Finance on fund releases.</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DCPI</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Ongoing</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Delays threaten implementation sequencing.</w:t>
            </w:r>
          </w:p>
        </w:tc>
      </w:tr>
      <w:tr w:rsidR="00D304A8" w:rsidRPr="00CA3BD7" w:rsidTr="00B8514B">
        <w:trPr>
          <w:trHeight w:val="340"/>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Insufficient Railway Infrastructure Fund resources</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Strengthen follow-up on financing requests and funding prioritization.</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DCPI</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Ongoing</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Should be monitored alongside project cash flow.</w:t>
            </w:r>
          </w:p>
        </w:tc>
      </w:tr>
      <w:tr w:rsidR="00D304A8" w:rsidRPr="00CA3BD7" w:rsidTr="00B8514B">
        <w:trPr>
          <w:trHeight w:val="492"/>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Low implementation of APP</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Start planning earlier, improve interdepartmental coordination, and strengthen capacity of procurement staff and user departments.</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DPMU</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Immediate and ongoing</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This is a corporate delivery risk, not just a procurement process issue.</w:t>
            </w:r>
          </w:p>
        </w:tc>
      </w:tr>
      <w:tr w:rsidR="00D304A8" w:rsidRPr="00CA3BD7" w:rsidTr="00B8514B">
        <w:trPr>
          <w:trHeight w:val="482"/>
          <w:jc w:val="center"/>
        </w:trPr>
        <w:tc>
          <w:tcPr>
            <w:tcW w:w="2547" w:type="dxa"/>
            <w:shd w:val="clear" w:color="auto" w:fill="EAF1FB"/>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b/>
                <w:sz w:val="16"/>
                <w:szCs w:val="16"/>
              </w:rPr>
              <w:t>Vacating of tenants on SGR premises</w:t>
            </w:r>
          </w:p>
        </w:tc>
        <w:tc>
          <w:tcPr>
            <w:tcW w:w="3753"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Assess the business environment and identify reasons for tenant exit or commercial constraints.</w:t>
            </w:r>
          </w:p>
        </w:tc>
        <w:tc>
          <w:tcPr>
            <w:tcW w:w="1849" w:type="dxa"/>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DEM</w:t>
            </w:r>
          </w:p>
        </w:tc>
        <w:tc>
          <w:tcPr>
            <w:tcW w:w="1849" w:type="dxa"/>
            <w:shd w:val="clear" w:color="auto" w:fill="F4F6F8"/>
            <w:tcMar>
              <w:top w:w="90" w:type="dxa"/>
              <w:left w:w="110" w:type="dxa"/>
              <w:bottom w:w="90" w:type="dxa"/>
              <w:right w:w="110" w:type="dxa"/>
            </w:tcMar>
          </w:tcPr>
          <w:p w:rsidR="00D304A8" w:rsidRPr="00CA3BD7" w:rsidRDefault="00D20120">
            <w:pPr>
              <w:jc w:val="center"/>
              <w:rPr>
                <w:rFonts w:ascii="Arial Narrow" w:hAnsi="Arial Narrow"/>
                <w:sz w:val="16"/>
                <w:szCs w:val="16"/>
              </w:rPr>
            </w:pPr>
            <w:r w:rsidRPr="00CA3BD7">
              <w:rPr>
                <w:rFonts w:ascii="Arial Narrow" w:hAnsi="Arial Narrow"/>
                <w:sz w:val="16"/>
                <w:szCs w:val="16"/>
              </w:rPr>
              <w:t>Near term</w:t>
            </w:r>
          </w:p>
        </w:tc>
        <w:tc>
          <w:tcPr>
            <w:tcW w:w="2010" w:type="dxa"/>
            <w:shd w:val="clear" w:color="auto" w:fill="F4F6F8"/>
            <w:tcMar>
              <w:top w:w="90" w:type="dxa"/>
              <w:left w:w="110" w:type="dxa"/>
              <w:bottom w:w="90" w:type="dxa"/>
              <w:right w:w="110" w:type="dxa"/>
            </w:tcMar>
          </w:tcPr>
          <w:p w:rsidR="00D304A8" w:rsidRPr="00CA3BD7" w:rsidRDefault="00D20120">
            <w:pPr>
              <w:rPr>
                <w:rFonts w:ascii="Arial Narrow" w:hAnsi="Arial Narrow"/>
                <w:sz w:val="16"/>
                <w:szCs w:val="16"/>
              </w:rPr>
            </w:pPr>
            <w:r w:rsidRPr="00CA3BD7">
              <w:rPr>
                <w:rFonts w:ascii="Arial Narrow" w:hAnsi="Arial Narrow"/>
                <w:sz w:val="16"/>
                <w:szCs w:val="16"/>
              </w:rPr>
              <w:t>Important for non-fare revenue optimization.</w:t>
            </w:r>
          </w:p>
        </w:tc>
      </w:tr>
    </w:tbl>
    <w:p w:rsidR="00D304A8" w:rsidRPr="00CA3BD7" w:rsidRDefault="00D20120">
      <w:pPr>
        <w:pStyle w:val="Heading1"/>
        <w:rPr>
          <w:rFonts w:ascii="Arial Narrow" w:hAnsi="Arial Narrow"/>
        </w:rPr>
      </w:pPr>
      <w:r w:rsidRPr="00CA3BD7">
        <w:rPr>
          <w:rFonts w:ascii="Arial Narrow" w:hAnsi="Arial Narrow"/>
        </w:rPr>
        <w:t>9. Data Quality and Reporting Note</w:t>
      </w:r>
    </w:p>
    <w:p w:rsidR="00D304A8" w:rsidRPr="00CA3BD7" w:rsidRDefault="00D20120">
      <w:pPr>
        <w:rPr>
          <w:rFonts w:ascii="Arial Narrow" w:hAnsi="Arial Narrow"/>
        </w:rPr>
      </w:pPr>
      <w:r w:rsidRPr="00CA3BD7">
        <w:rPr>
          <w:rFonts w:ascii="Arial Narrow" w:hAnsi="Arial Narrow"/>
        </w:rPr>
        <w:t xml:space="preserve">KPI classification has been clarified using the categories above target, within target, below target, and not started. </w:t>
      </w:r>
    </w:p>
    <w:p w:rsidR="00D304A8" w:rsidRPr="00CA3BD7" w:rsidRDefault="00D20120">
      <w:pPr>
        <w:pStyle w:val="Heading1"/>
        <w:rPr>
          <w:rFonts w:ascii="Arial Narrow" w:hAnsi="Arial Narrow"/>
        </w:rPr>
      </w:pPr>
      <w:r w:rsidRPr="00CA3BD7">
        <w:rPr>
          <w:rFonts w:ascii="Arial Narrow" w:hAnsi="Arial Narrow"/>
        </w:rPr>
        <w:lastRenderedPageBreak/>
        <w:t>10. Conclusion</w:t>
      </w:r>
    </w:p>
    <w:p w:rsidR="00D304A8" w:rsidRPr="00CA3BD7" w:rsidRDefault="00D20120">
      <w:pPr>
        <w:rPr>
          <w:rFonts w:ascii="Arial Narrow" w:hAnsi="Arial Narrow"/>
        </w:rPr>
      </w:pPr>
      <w:r w:rsidRPr="00CA3BD7">
        <w:rPr>
          <w:rFonts w:ascii="Arial Narrow" w:hAnsi="Arial Narrow"/>
        </w:rPr>
        <w:t>The mid-year review shows that the Corporation has made real progress in selected areas, particularly SGR passenger performance, rolling stock support initiatives, and student enrollment at TIRTEC. However, the overall performance picture remains under strain. Freight performance, locomotive reliability, infrastructure condition, safety outcomes, procurement implementation, and service disruptions continue to affect the achievement of annual commitments.</w:t>
      </w:r>
    </w:p>
    <w:p w:rsidR="00D304A8" w:rsidRPr="00CA3BD7" w:rsidRDefault="00D20120">
      <w:pPr>
        <w:rPr>
          <w:rFonts w:ascii="Arial Narrow" w:hAnsi="Arial Narrow"/>
        </w:rPr>
      </w:pPr>
      <w:r w:rsidRPr="00CA3BD7">
        <w:rPr>
          <w:rFonts w:ascii="Arial Narrow" w:hAnsi="Arial Narrow"/>
        </w:rPr>
        <w:t>The second half of FY 2025/26 should therefore focus on restoring locomotive availability and reliability, reducing safety incidents, accelerating procurement, stabilizing MGR service delivery, and sustaining the positive momentum already achieved in SGR passenger operations. Timely implementation of the actions set out in this report will be essential if the Corporation is to improve service reliability and strengthen performance by year end.</w:t>
      </w: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pPr>
        <w:rPr>
          <w:rFonts w:ascii="Arial Narrow" w:hAnsi="Arial Narrow"/>
        </w:rPr>
      </w:pPr>
    </w:p>
    <w:p w:rsidR="00CA3BD7" w:rsidRPr="00CA3BD7" w:rsidRDefault="00CA3BD7" w:rsidP="00CA3BD7">
      <w:pPr>
        <w:pStyle w:val="Title"/>
        <w:jc w:val="center"/>
        <w:rPr>
          <w:rFonts w:ascii="Arial Narrow" w:hAnsi="Arial Narrow"/>
        </w:rPr>
      </w:pPr>
      <w:r w:rsidRPr="00CA3BD7">
        <w:rPr>
          <w:rFonts w:ascii="Arial Narrow" w:hAnsi="Arial Narrow"/>
        </w:rPr>
        <w:t>APPENDIX 1</w:t>
      </w:r>
    </w:p>
    <w:p w:rsidR="00CA3BD7" w:rsidRPr="00CA3BD7" w:rsidRDefault="00CA3BD7" w:rsidP="00CA3BD7">
      <w:pPr>
        <w:jc w:val="center"/>
        <w:rPr>
          <w:rFonts w:ascii="Arial Narrow" w:hAnsi="Arial Narrow"/>
        </w:rPr>
      </w:pPr>
      <w:r w:rsidRPr="00CA3BD7">
        <w:rPr>
          <w:rFonts w:ascii="Arial Narrow" w:hAnsi="Arial Narrow"/>
          <w:b/>
          <w:sz w:val="26"/>
        </w:rPr>
        <w:t>KEY PERFORMANCE INDICATORS (KPI) MATRIX</w:t>
      </w:r>
      <w:r w:rsidRPr="00CA3BD7">
        <w:rPr>
          <w:rFonts w:ascii="Arial Narrow" w:hAnsi="Arial Narrow"/>
          <w:b/>
          <w:sz w:val="26"/>
        </w:rPr>
        <w:br/>
        <w:t>MID-YEAR MONITORING PERFORMANCE REPORT</w:t>
      </w:r>
      <w:r w:rsidRPr="00CA3BD7">
        <w:rPr>
          <w:rFonts w:ascii="Arial Narrow" w:hAnsi="Arial Narrow"/>
          <w:b/>
          <w:sz w:val="26"/>
        </w:rPr>
        <w:br/>
        <w:t>JULY - DECEMBER 2025</w:t>
      </w:r>
    </w:p>
    <w:tbl>
      <w:tblPr>
        <w:tblW w:w="0" w:type="auto"/>
        <w:jc w:val="center"/>
        <w:tblLook w:val="04A0" w:firstRow="1" w:lastRow="0" w:firstColumn="1" w:lastColumn="0" w:noHBand="0" w:noVBand="1"/>
      </w:tblPr>
      <w:tblGrid>
        <w:gridCol w:w="9936"/>
      </w:tblGrid>
      <w:tr w:rsidR="00CA3BD7" w:rsidRPr="00CA3BD7" w:rsidTr="00024D2B">
        <w:trPr>
          <w:jc w:val="center"/>
        </w:trPr>
        <w:tc>
          <w:tcPr>
            <w:tcW w:w="10224" w:type="dxa"/>
            <w:shd w:val="clear" w:color="auto" w:fill="F4F6F8"/>
            <w:tcMar>
              <w:top w:w="120" w:type="dxa"/>
              <w:left w:w="120" w:type="dxa"/>
              <w:bottom w:w="120" w:type="dxa"/>
              <w:right w:w="120" w:type="dxa"/>
            </w:tcMar>
          </w:tcPr>
          <w:p w:rsidR="00CA3BD7" w:rsidRPr="00CA3BD7" w:rsidRDefault="00CA3BD7" w:rsidP="00024D2B">
            <w:pPr>
              <w:rPr>
                <w:rFonts w:ascii="Arial Narrow" w:hAnsi="Arial Narrow"/>
              </w:rPr>
            </w:pPr>
            <w:r w:rsidRPr="00CA3BD7">
              <w:rPr>
                <w:rFonts w:ascii="Arial Narrow" w:hAnsi="Arial Narrow"/>
                <w:i/>
              </w:rPr>
              <w:t>This appendix consolidates the principal corporate KPIs reflected in the mid-year report and presents them in a management-friendly matrix format. It is intended to accompany the narrative report and support Committee review of performance status, variance, and required follow-up action.</w:t>
            </w:r>
          </w:p>
        </w:tc>
      </w:tr>
    </w:tbl>
    <w:p w:rsidR="00CA3BD7" w:rsidRPr="00CA3BD7" w:rsidRDefault="00CA3BD7" w:rsidP="00CA3BD7">
      <w:pPr>
        <w:rPr>
          <w:rFonts w:ascii="Arial Narrow" w:hAnsi="Arial Narrow"/>
        </w:rPr>
      </w:pPr>
    </w:p>
    <w:p w:rsidR="00CA3BD7" w:rsidRPr="00CA3BD7" w:rsidRDefault="00CA3BD7" w:rsidP="00CA3BD7">
      <w:pPr>
        <w:pStyle w:val="Heading1"/>
        <w:rPr>
          <w:rFonts w:ascii="Arial Narrow" w:hAnsi="Arial Narrow"/>
        </w:rPr>
      </w:pPr>
      <w:r w:rsidRPr="00CA3BD7">
        <w:rPr>
          <w:rFonts w:ascii="Arial Narrow" w:hAnsi="Arial Narrow"/>
        </w:rPr>
        <w:t>1. Overall KPI Status Summary</w:t>
      </w:r>
    </w:p>
    <w:tbl>
      <w:tblPr>
        <w:tblW w:w="0" w:type="auto"/>
        <w:jc w:val="center"/>
        <w:tblLook w:val="04A0" w:firstRow="1" w:lastRow="0" w:firstColumn="1" w:lastColumn="0" w:noHBand="0" w:noVBand="1"/>
      </w:tblPr>
      <w:tblGrid>
        <w:gridCol w:w="1994"/>
        <w:gridCol w:w="1985"/>
        <w:gridCol w:w="1985"/>
        <w:gridCol w:w="1985"/>
        <w:gridCol w:w="1987"/>
      </w:tblGrid>
      <w:tr w:rsidR="00CA3BD7" w:rsidRPr="00CA3BD7" w:rsidTr="00024D2B">
        <w:trPr>
          <w:jc w:val="center"/>
        </w:trPr>
        <w:tc>
          <w:tcPr>
            <w:tcW w:w="2045"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8"/>
              </w:rPr>
              <w:t>Total KPIs Assessed</w:t>
            </w:r>
          </w:p>
        </w:tc>
        <w:tc>
          <w:tcPr>
            <w:tcW w:w="2045"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8"/>
              </w:rPr>
              <w:t>Above Target</w:t>
            </w:r>
          </w:p>
        </w:tc>
        <w:tc>
          <w:tcPr>
            <w:tcW w:w="2045"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8"/>
              </w:rPr>
              <w:t>Within Target</w:t>
            </w:r>
          </w:p>
        </w:tc>
        <w:tc>
          <w:tcPr>
            <w:tcW w:w="2045"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8"/>
              </w:rPr>
              <w:t>Below Target</w:t>
            </w:r>
          </w:p>
        </w:tc>
        <w:tc>
          <w:tcPr>
            <w:tcW w:w="2045"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8"/>
              </w:rPr>
              <w:t>Not Started</w:t>
            </w:r>
          </w:p>
        </w:tc>
      </w:tr>
      <w:tr w:rsidR="00CA3BD7" w:rsidRPr="00CA3BD7" w:rsidTr="00024D2B">
        <w:trPr>
          <w:jc w:val="center"/>
        </w:trPr>
        <w:tc>
          <w:tcPr>
            <w:tcW w:w="2045"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sz w:val="24"/>
              </w:rPr>
              <w:t>321</w:t>
            </w:r>
          </w:p>
        </w:tc>
        <w:tc>
          <w:tcPr>
            <w:tcW w:w="2045" w:type="dxa"/>
            <w:shd w:val="clear" w:color="auto" w:fill="E8F5E9"/>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sz w:val="24"/>
              </w:rPr>
              <w:t>41</w:t>
            </w:r>
          </w:p>
        </w:tc>
        <w:tc>
          <w:tcPr>
            <w:tcW w:w="2045" w:type="dxa"/>
            <w:shd w:val="clear" w:color="auto" w:fill="FFF2CC"/>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sz w:val="24"/>
              </w:rPr>
              <w:t>22</w:t>
            </w:r>
          </w:p>
        </w:tc>
        <w:tc>
          <w:tcPr>
            <w:tcW w:w="2045" w:type="dxa"/>
            <w:shd w:val="clear" w:color="auto" w:fill="FDE9E7"/>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sz w:val="24"/>
              </w:rPr>
              <w:t>246</w:t>
            </w:r>
          </w:p>
        </w:tc>
        <w:tc>
          <w:tcPr>
            <w:tcW w:w="2045" w:type="dxa"/>
            <w:shd w:val="clear" w:color="auto" w:fill="EDE7F6"/>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sz w:val="24"/>
              </w:rPr>
              <w:t>12</w:t>
            </w:r>
          </w:p>
        </w:tc>
      </w:tr>
    </w:tbl>
    <w:p w:rsidR="00CA3BD7" w:rsidRPr="00CA3BD7" w:rsidRDefault="00CA3BD7" w:rsidP="00CA3BD7">
      <w:pPr>
        <w:rPr>
          <w:rFonts w:ascii="Arial Narrow" w:hAnsi="Arial Narrow"/>
        </w:rPr>
      </w:pPr>
    </w:p>
    <w:p w:rsidR="00CA3BD7" w:rsidRPr="00CA3BD7" w:rsidRDefault="00CA3BD7" w:rsidP="00CA3BD7">
      <w:pPr>
        <w:pStyle w:val="Heading1"/>
        <w:rPr>
          <w:rFonts w:ascii="Arial Narrow" w:hAnsi="Arial Narrow"/>
        </w:rPr>
      </w:pPr>
      <w:r w:rsidRPr="00CA3BD7">
        <w:rPr>
          <w:rFonts w:ascii="Arial Narrow" w:hAnsi="Arial Narrow"/>
        </w:rPr>
        <w:lastRenderedPageBreak/>
        <w:t>2. Headline Corporate KPI Matrix</w:t>
      </w:r>
    </w:p>
    <w:tbl>
      <w:tblPr>
        <w:tblStyle w:val="TableGrid"/>
        <w:tblW w:w="0" w:type="auto"/>
        <w:jc w:val="center"/>
        <w:tblLook w:val="04A0" w:firstRow="1" w:lastRow="0" w:firstColumn="1" w:lastColumn="0" w:noHBand="0" w:noVBand="1"/>
      </w:tblPr>
      <w:tblGrid>
        <w:gridCol w:w="543"/>
        <w:gridCol w:w="1262"/>
        <w:gridCol w:w="1206"/>
        <w:gridCol w:w="899"/>
        <w:gridCol w:w="1113"/>
        <w:gridCol w:w="1053"/>
        <w:gridCol w:w="830"/>
        <w:gridCol w:w="1503"/>
        <w:gridCol w:w="1517"/>
      </w:tblGrid>
      <w:tr w:rsidR="00CA3BD7" w:rsidRPr="00CA3BD7" w:rsidTr="00024D2B">
        <w:trPr>
          <w:jc w:val="center"/>
        </w:trPr>
        <w:tc>
          <w:tcPr>
            <w:tcW w:w="1008"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KPI ID</w:t>
            </w:r>
          </w:p>
        </w:tc>
        <w:tc>
          <w:tcPr>
            <w:tcW w:w="1944"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Performance Area</w:t>
            </w:r>
          </w:p>
        </w:tc>
        <w:tc>
          <w:tcPr>
            <w:tcW w:w="1656"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Indicator</w:t>
            </w:r>
          </w:p>
        </w:tc>
        <w:tc>
          <w:tcPr>
            <w:tcW w:w="1440"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Six-Month Target</w:t>
            </w:r>
          </w:p>
        </w:tc>
        <w:tc>
          <w:tcPr>
            <w:tcW w:w="1440"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Actual Achievement</w:t>
            </w:r>
          </w:p>
        </w:tc>
        <w:tc>
          <w:tcPr>
            <w:tcW w:w="1080"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Achievement %</w:t>
            </w:r>
          </w:p>
        </w:tc>
        <w:tc>
          <w:tcPr>
            <w:tcW w:w="1296"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Status</w:t>
            </w:r>
          </w:p>
        </w:tc>
        <w:tc>
          <w:tcPr>
            <w:tcW w:w="3240"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Key Explanation</w:t>
            </w:r>
          </w:p>
        </w:tc>
        <w:tc>
          <w:tcPr>
            <w:tcW w:w="3168" w:type="dxa"/>
            <w:shd w:val="clear" w:color="auto" w:fill="EAF1FB"/>
            <w:tcMar>
              <w:top w:w="70" w:type="dxa"/>
              <w:left w:w="90" w:type="dxa"/>
              <w:bottom w:w="70" w:type="dxa"/>
              <w:right w:w="90" w:type="dxa"/>
            </w:tcMar>
          </w:tcPr>
          <w:p w:rsidR="00CA3BD7" w:rsidRPr="00CA3BD7" w:rsidRDefault="00CA3BD7" w:rsidP="00024D2B">
            <w:pPr>
              <w:jc w:val="center"/>
              <w:rPr>
                <w:rFonts w:ascii="Arial Narrow" w:hAnsi="Arial Narrow"/>
              </w:rPr>
            </w:pPr>
            <w:r w:rsidRPr="00CA3BD7">
              <w:rPr>
                <w:rFonts w:ascii="Arial Narrow" w:hAnsi="Arial Narrow"/>
                <w:b/>
                <w:color w:val="0B3D91"/>
                <w:sz w:val="17"/>
              </w:rPr>
              <w:t>Management Attention / Action</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KPI-01</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MGR Freight Performance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Metric tons transported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414,319 MT</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137,989 MT</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33.30%</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Low locomotive availability and reliability, accidents, speed restrictions, long wagon turnaround time, and flood-related service disruptions.</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Accelerate locomotive recovery, track maintenance, accident reduction, and turnaround improvement measures.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KPI-02</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SGR Freight Performance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Metric tons transported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250,000 MT</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52,350 MT</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20.94%</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Incomplete port cargo infrastructure, customer distance from loading points, double handling costs, and protest-related disruptions.</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Finalize port link/terminal works and improve cargo loading interface and customer access arrangements.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KPI-03</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MGR Passenger - Commuter</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Passengers transported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1,534,406</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969,459</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63.18%</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Delayed and unreliable service, protests, and flood-related service suspensions.</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Stabilize service operations and improve punctuality and locomotive reliability.</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KPI-04</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MGR Passenger - Mainline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Passengers transported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310,457</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270,592</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87.15%</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Speed restrictions and schedule unreliability reduced passenger confidence.</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Improve line condition and on-time departure/arrival performance.</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KPI-05</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SGR Passenger Performance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Passengers transported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1,517,716</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1,644,458</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108.35%</w:t>
            </w:r>
          </w:p>
        </w:tc>
        <w:tc>
          <w:tcPr>
            <w:tcW w:w="1296" w:type="dxa"/>
            <w:shd w:val="clear" w:color="auto" w:fill="E8F5E9"/>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Above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Strong service quality and sustained punctuality supported increased passenger demand.</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Sustain service quality and protect punctuality standards.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KPI-06</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Rolling Stock - Wagons Available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Number of wagons available</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772</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852</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110.36%</w:t>
            </w:r>
          </w:p>
        </w:tc>
        <w:tc>
          <w:tcPr>
            <w:tcW w:w="1296" w:type="dxa"/>
            <w:shd w:val="clear" w:color="auto" w:fill="E8F5E9"/>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Above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Availability improved beyond plan.</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Maintain momentum while improving actual wagon utilization.</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KPI-07</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Rolling Stock - Coaches Available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Number of coaches available</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86</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88</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102.33%</w:t>
            </w:r>
          </w:p>
        </w:tc>
        <w:tc>
          <w:tcPr>
            <w:tcW w:w="1296" w:type="dxa"/>
            <w:shd w:val="clear" w:color="auto" w:fill="E8F5E9"/>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Above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Availability remained above target.</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Maintain preventive maintenance discipline.</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KPI-08</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Rolling Stock - Locomotive Availability</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Average locomotives available per day</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36</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16</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44.44%</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Major maintenance backlog and repeated mechanical failures constrained operations.</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Expedite maintenance outsourcing, spare parts procurement, and delivery of new locomotives.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KPI-09</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Rolling Stock - Locomotive Reliability</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Mean locomotive failure exposure / reliability</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Target not clearly tabled in report narrative</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More than 33 mechanical breakdowns recorded</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N/A</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Reliability remained weak and directly affected freight and passenger performance.</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 xml:space="preserve">Tighten maintenance planning and monitor recovery </w:t>
            </w:r>
            <w:proofErr w:type="spellStart"/>
            <w:r w:rsidRPr="00CA3BD7">
              <w:rPr>
                <w:rFonts w:ascii="Arial Narrow" w:hAnsi="Arial Narrow"/>
                <w:sz w:val="17"/>
              </w:rPr>
              <w:t>programme</w:t>
            </w:r>
            <w:proofErr w:type="spellEnd"/>
            <w:r w:rsidRPr="00CA3BD7">
              <w:rPr>
                <w:rFonts w:ascii="Arial Narrow" w:hAnsi="Arial Narrow"/>
                <w:sz w:val="17"/>
              </w:rPr>
              <w:t xml:space="preserve"> weekly.</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KPI-10</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MGR Safety - Major Accidents</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Number of major accidents</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Should decline from prior trend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141</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N/A</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Critical Concern</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Human error, poor track condition, and mechanical defects caused serious operational risk.</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Escalate safety management, track rehabilitation, inspections, and refresher training.</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KPI-11</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MGR Safety - Minor Incidents</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Number of minor incidents</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Should decline from prior trend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351</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N/A</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Critical Concern</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 xml:space="preserve">Persistent operating and infrastructure weaknesses </w:t>
            </w:r>
            <w:r w:rsidRPr="00CA3BD7">
              <w:rPr>
                <w:rFonts w:ascii="Arial Narrow" w:hAnsi="Arial Narrow"/>
                <w:sz w:val="17"/>
              </w:rPr>
              <w:lastRenderedPageBreak/>
              <w:t>increased minor incidents.</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lastRenderedPageBreak/>
              <w:t>Use incident trend analysis and targeted corrective action by section/cause.</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KPI-12</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SGR Safety - Major Accidents</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Number of major accidents</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Should decline from prior trend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7</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N/A</w:t>
            </w:r>
          </w:p>
        </w:tc>
        <w:tc>
          <w:tcPr>
            <w:tcW w:w="1296" w:type="dxa"/>
            <w:shd w:val="clear" w:color="auto" w:fill="FFF2CC"/>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Concern</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Derailment in yard, wash away, collision in yard, animal strike, trespasser strike, and trailed points were recorded.</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Strengthen operational control and infrastructure reliability checks.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KPI-13</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Revenue Collection</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TZS collected from operational and non-operational activities</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 xml:space="preserve">TZS 134.33 </w:t>
            </w:r>
            <w:proofErr w:type="spellStart"/>
            <w:r w:rsidRPr="00CA3BD7">
              <w:rPr>
                <w:rFonts w:ascii="Arial Narrow" w:hAnsi="Arial Narrow"/>
                <w:sz w:val="17"/>
              </w:rPr>
              <w:t>bn</w:t>
            </w:r>
            <w:proofErr w:type="spellEnd"/>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 xml:space="preserve">TZS 82.02 </w:t>
            </w:r>
            <w:proofErr w:type="spellStart"/>
            <w:r w:rsidRPr="00CA3BD7">
              <w:rPr>
                <w:rFonts w:ascii="Arial Narrow" w:hAnsi="Arial Narrow"/>
                <w:sz w:val="17"/>
              </w:rPr>
              <w:t>bn</w:t>
            </w:r>
            <w:proofErr w:type="spellEnd"/>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61.06%</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Traffic shortfalls and service interruptions suppressed revenue performance.</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Improve operating capacity and commercial recovery measures.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KPI-14</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Expenditure Management</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TZS spent on operating and maintenance activities</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Within available revenue and approved plan</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 xml:space="preserve">TZS 81.38 </w:t>
            </w:r>
            <w:proofErr w:type="spellStart"/>
            <w:r w:rsidRPr="00CA3BD7">
              <w:rPr>
                <w:rFonts w:ascii="Arial Narrow" w:hAnsi="Arial Narrow"/>
                <w:sz w:val="17"/>
              </w:rPr>
              <w:t>bn</w:t>
            </w:r>
            <w:proofErr w:type="spellEnd"/>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N/A</w:t>
            </w:r>
          </w:p>
        </w:tc>
        <w:tc>
          <w:tcPr>
            <w:tcW w:w="1296" w:type="dxa"/>
            <w:shd w:val="clear" w:color="auto" w:fill="FFF2CC"/>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Watch</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Revenue only marginally exceeded expenditure, leaving limited cost efficiency cushion.</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Continue cost control while restoring traffic volumes and service output.</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KPI-15</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Development Budget Performance</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TZS received for development projects</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 xml:space="preserve">TZS 976.10 </w:t>
            </w:r>
            <w:proofErr w:type="spellStart"/>
            <w:r w:rsidRPr="00CA3BD7">
              <w:rPr>
                <w:rFonts w:ascii="Arial Narrow" w:hAnsi="Arial Narrow"/>
                <w:sz w:val="17"/>
              </w:rPr>
              <w:t>bn</w:t>
            </w:r>
            <w:proofErr w:type="spellEnd"/>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 xml:space="preserve">TZS 773.86 </w:t>
            </w:r>
            <w:proofErr w:type="spellStart"/>
            <w:r w:rsidRPr="00CA3BD7">
              <w:rPr>
                <w:rFonts w:ascii="Arial Narrow" w:hAnsi="Arial Narrow"/>
                <w:sz w:val="17"/>
              </w:rPr>
              <w:t>bn</w:t>
            </w:r>
            <w:proofErr w:type="spellEnd"/>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79.28%</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Funding shortfall may delay planned project implementation.</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Strengthen disbursement follow-up and sequencing of project activities.</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KPI-16</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Annual Procurement Plan Implementation</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Tenders signed and under implementation</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99 planned / full-year execution</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55 initiated; 5 signed</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N/A</w:t>
            </w:r>
          </w:p>
        </w:tc>
        <w:tc>
          <w:tcPr>
            <w:tcW w:w="1296" w:type="dxa"/>
            <w:shd w:val="clear" w:color="auto" w:fill="FDE9E7"/>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Below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Slow procurement progress is delaying goods, works, and services needed for operations and maintenance.</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Accelerate procurement planning, coordination, and tender processing.</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KPI-17</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TIRTEC Student Enrollment</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Students enrolled</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700</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689</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98.43%</w:t>
            </w:r>
          </w:p>
        </w:tc>
        <w:tc>
          <w:tcPr>
            <w:tcW w:w="1296" w:type="dxa"/>
            <w:shd w:val="clear" w:color="auto" w:fill="FFF2CC"/>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Near Target</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Enrollment performance remained strong.</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Sustain mobilization and service quality.</w:t>
            </w:r>
          </w:p>
        </w:tc>
      </w:tr>
      <w:tr w:rsidR="00CA3BD7" w:rsidRPr="00CA3BD7" w:rsidTr="00024D2B">
        <w:trPr>
          <w:jc w:val="center"/>
        </w:trPr>
        <w:tc>
          <w:tcPr>
            <w:tcW w:w="1008" w:type="dxa"/>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KPI-18</w:t>
            </w:r>
          </w:p>
        </w:tc>
        <w:tc>
          <w:tcPr>
            <w:tcW w:w="1944"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TIRTEC Refresher Courses</w:t>
            </w:r>
          </w:p>
        </w:tc>
        <w:tc>
          <w:tcPr>
            <w:tcW w:w="1656" w:type="dxa"/>
            <w:shd w:val="clear" w:color="auto" w:fill="FAFCFF"/>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Staff receiving refresher training</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200</w:t>
            </w:r>
          </w:p>
        </w:tc>
        <w:tc>
          <w:tcPr>
            <w:tcW w:w="144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0</w:t>
            </w:r>
          </w:p>
        </w:tc>
        <w:tc>
          <w:tcPr>
            <w:tcW w:w="1080" w:type="dxa"/>
            <w:shd w:val="clear" w:color="auto" w:fill="FFF8F0"/>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sz w:val="17"/>
              </w:rPr>
              <w:t>0.00%</w:t>
            </w:r>
          </w:p>
        </w:tc>
        <w:tc>
          <w:tcPr>
            <w:tcW w:w="1296" w:type="dxa"/>
            <w:shd w:val="clear" w:color="auto" w:fill="EDE7F6"/>
            <w:tcMar>
              <w:top w:w="70" w:type="dxa"/>
              <w:left w:w="85" w:type="dxa"/>
              <w:bottom w:w="70" w:type="dxa"/>
              <w:right w:w="85" w:type="dxa"/>
            </w:tcMar>
          </w:tcPr>
          <w:p w:rsidR="00CA3BD7" w:rsidRPr="00CA3BD7" w:rsidRDefault="00CA3BD7" w:rsidP="00024D2B">
            <w:pPr>
              <w:jc w:val="center"/>
              <w:rPr>
                <w:rFonts w:ascii="Arial Narrow" w:hAnsi="Arial Narrow"/>
              </w:rPr>
            </w:pPr>
            <w:r w:rsidRPr="00CA3BD7">
              <w:rPr>
                <w:rFonts w:ascii="Arial Narrow" w:hAnsi="Arial Narrow"/>
                <w:b/>
                <w:sz w:val="17"/>
              </w:rPr>
              <w:t>Not Started</w:t>
            </w:r>
          </w:p>
        </w:tc>
        <w:tc>
          <w:tcPr>
            <w:tcW w:w="3240"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Refresher training had not commenced by December 2025.</w:t>
            </w:r>
          </w:p>
        </w:tc>
        <w:tc>
          <w:tcPr>
            <w:tcW w:w="3168" w:type="dxa"/>
            <w:shd w:val="clear" w:color="auto" w:fill="F4F6F8"/>
            <w:tcMar>
              <w:top w:w="70" w:type="dxa"/>
              <w:left w:w="85" w:type="dxa"/>
              <w:bottom w:w="70" w:type="dxa"/>
              <w:right w:w="85" w:type="dxa"/>
            </w:tcMar>
          </w:tcPr>
          <w:p w:rsidR="00CA3BD7" w:rsidRPr="00CA3BD7" w:rsidRDefault="00CA3BD7" w:rsidP="00024D2B">
            <w:pPr>
              <w:rPr>
                <w:rFonts w:ascii="Arial Narrow" w:hAnsi="Arial Narrow"/>
              </w:rPr>
            </w:pPr>
            <w:r w:rsidRPr="00CA3BD7">
              <w:rPr>
                <w:rFonts w:ascii="Arial Narrow" w:hAnsi="Arial Narrow"/>
                <w:sz w:val="17"/>
              </w:rPr>
              <w:t>Commence training in Q3 and track completion against plan.</w:t>
            </w:r>
          </w:p>
        </w:tc>
      </w:tr>
    </w:tbl>
    <w:p w:rsidR="00CA3BD7" w:rsidRPr="00CA3BD7" w:rsidRDefault="00CA3BD7" w:rsidP="00CA3BD7">
      <w:pPr>
        <w:pStyle w:val="Heading1"/>
        <w:rPr>
          <w:rFonts w:ascii="Arial Narrow" w:hAnsi="Arial Narrow"/>
        </w:rPr>
      </w:pPr>
    </w:p>
    <w:p w:rsidR="00CA3BD7" w:rsidRPr="00CA3BD7" w:rsidRDefault="00CA3BD7" w:rsidP="00CA3BD7">
      <w:pPr>
        <w:rPr>
          <w:rFonts w:ascii="Arial Narrow" w:hAnsi="Arial Narrow"/>
        </w:rPr>
      </w:pPr>
    </w:p>
    <w:p w:rsidR="00CA3BD7" w:rsidRPr="00CA3BD7" w:rsidRDefault="00CA3BD7">
      <w:pPr>
        <w:rPr>
          <w:rFonts w:ascii="Arial Narrow" w:hAnsi="Arial Narrow"/>
        </w:rPr>
      </w:pPr>
    </w:p>
    <w:sectPr w:rsidR="00CA3BD7" w:rsidRPr="00CA3BD7" w:rsidSect="00034616">
      <w:headerReference w:type="default" r:id="rId8"/>
      <w:footerReference w:type="default" r:id="rId9"/>
      <w:pgSz w:w="12240" w:h="15840"/>
      <w:pgMar w:top="1080" w:right="1152" w:bottom="93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15F" w:rsidRDefault="00D7115F">
      <w:pPr>
        <w:spacing w:after="0" w:line="240" w:lineRule="auto"/>
      </w:pPr>
      <w:r>
        <w:separator/>
      </w:r>
    </w:p>
  </w:endnote>
  <w:endnote w:type="continuationSeparator" w:id="0">
    <w:p w:rsidR="00D7115F" w:rsidRDefault="00D71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4A8" w:rsidRDefault="00D20120">
    <w:pPr>
      <w:pStyle w:val="Footer"/>
      <w:jc w:val="center"/>
    </w:pPr>
    <w:r>
      <w:rPr>
        <w:color w:val="606060"/>
        <w:sz w:val="16"/>
      </w:rPr>
      <w:t>Mid-Year Monitoring Performance Report • FY 2025/26 • July–December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15F" w:rsidRDefault="00D7115F">
      <w:pPr>
        <w:spacing w:after="0" w:line="240" w:lineRule="auto"/>
      </w:pPr>
      <w:r>
        <w:separator/>
      </w:r>
    </w:p>
  </w:footnote>
  <w:footnote w:type="continuationSeparator" w:id="0">
    <w:p w:rsidR="00D7115F" w:rsidRDefault="00D711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4A8" w:rsidRDefault="00D20120">
    <w:pPr>
      <w:pStyle w:val="Header"/>
      <w:jc w:val="right"/>
    </w:pPr>
    <w:r>
      <w:rPr>
        <w:color w:val="606060"/>
        <w:sz w:val="17"/>
      </w:rPr>
      <w:t>Tanzania Railways Corporation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B8514B"/>
    <w:rsid w:val="00CA3BD7"/>
    <w:rsid w:val="00CB0664"/>
    <w:rsid w:val="00D20120"/>
    <w:rsid w:val="00D304A8"/>
    <w:rsid w:val="00D711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3395733-1DCA-4B98-BD6F-C9BE1E9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3D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3D91"/>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3B1B2-B9EE-4420-BB03-27C0B7EA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3393</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22689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Omingo</dc:creator>
  <cp:keywords/>
  <dc:description>generated by python-docx</dc:description>
  <cp:lastModifiedBy>Clifford Omingo</cp:lastModifiedBy>
  <cp:revision>3</cp:revision>
  <dcterms:created xsi:type="dcterms:W3CDTF">2026-04-01T19:07:00Z</dcterms:created>
  <dcterms:modified xsi:type="dcterms:W3CDTF">2026-04-08T07:58:00Z</dcterms:modified>
  <cp:category/>
</cp:coreProperties>
</file>