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9AB9E">
      <w:pPr>
        <w:spacing w:after="0" w:line="360" w:lineRule="auto"/>
        <w:jc w:val="both"/>
        <w:rPr>
          <w:rFonts w:ascii="Arial" w:hAnsi="Arial" w:cs="Arial"/>
          <w:b/>
          <w:sz w:val="28"/>
          <w:szCs w:val="28"/>
        </w:rPr>
      </w:pPr>
    </w:p>
    <w:p w14:paraId="3CC9C9D4">
      <w:pPr>
        <w:spacing w:after="0" w:line="360" w:lineRule="auto"/>
        <w:jc w:val="center"/>
        <w:rPr>
          <w:rFonts w:ascii="Arial" w:hAnsi="Arial" w:eastAsia="Times New Roman" w:cs="Arial"/>
          <w:b/>
          <w:sz w:val="28"/>
          <w:szCs w:val="28"/>
          <w:lang w:val="es-ES"/>
        </w:rPr>
      </w:pPr>
      <w:r>
        <w:rPr>
          <w:rFonts w:ascii="Arial" w:hAnsi="Arial" w:cs="Arial"/>
          <w:b/>
          <w:sz w:val="28"/>
          <w:szCs w:val="28"/>
        </w:rPr>
        <w:t xml:space="preserve">THE </w:t>
      </w:r>
      <w:r>
        <w:rPr>
          <w:rFonts w:ascii="Arial" w:hAnsi="Arial" w:eastAsia="Times New Roman" w:cs="Arial"/>
          <w:b/>
          <w:sz w:val="28"/>
          <w:szCs w:val="28"/>
          <w:lang w:val="es-ES"/>
        </w:rPr>
        <w:t>UNITED REPUBLIC OF TANZANIA</w:t>
      </w:r>
    </w:p>
    <w:p w14:paraId="2450A68E">
      <w:pPr>
        <w:spacing w:after="0" w:line="360" w:lineRule="auto"/>
        <w:jc w:val="center"/>
        <w:rPr>
          <w:rFonts w:ascii="Arial" w:hAnsi="Arial" w:eastAsia="Times New Roman" w:cs="Arial"/>
          <w:b/>
          <w:sz w:val="28"/>
          <w:szCs w:val="28"/>
        </w:rPr>
      </w:pPr>
      <w:r>
        <w:rPr>
          <w:rFonts w:ascii="Arial" w:hAnsi="Arial" w:eastAsia="Times New Roman" w:cs="Arial"/>
          <w:b/>
          <w:sz w:val="28"/>
          <w:szCs w:val="28"/>
        </w:rPr>
        <w:t xml:space="preserve">OFFICE OF THE TREASURY REGISTRAR </w:t>
      </w:r>
    </w:p>
    <w:p w14:paraId="45125593">
      <w:pPr>
        <w:spacing w:after="0" w:line="360" w:lineRule="auto"/>
        <w:ind w:left="270" w:right="209"/>
        <w:jc w:val="center"/>
        <w:rPr>
          <w:rFonts w:ascii="Arial" w:hAnsi="Arial" w:eastAsia="Times New Roman" w:cs="Arial"/>
          <w:b/>
          <w:bCs/>
          <w:sz w:val="28"/>
          <w:szCs w:val="28"/>
          <w:lang w:val="en-GB"/>
        </w:rPr>
      </w:pPr>
      <w:r>
        <w:rPr>
          <w:rFonts w:ascii="Arial" w:hAnsi="Arial" w:eastAsia="Times New Roman" w:cs="Arial"/>
          <w:bCs/>
          <w:sz w:val="28"/>
          <w:szCs w:val="28"/>
        </w:rPr>
        <w:drawing>
          <wp:anchor distT="0" distB="0" distL="114300" distR="114300" simplePos="0" relativeHeight="251659264" behindDoc="0" locked="0" layoutInCell="1" allowOverlap="1">
            <wp:simplePos x="0" y="0"/>
            <wp:positionH relativeFrom="column">
              <wp:posOffset>2609850</wp:posOffset>
            </wp:positionH>
            <wp:positionV relativeFrom="paragraph">
              <wp:posOffset>272415</wp:posOffset>
            </wp:positionV>
            <wp:extent cx="1047750" cy="114300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rcRect/>
                    <a:stretch>
                      <a:fillRect/>
                    </a:stretch>
                  </pic:blipFill>
                  <pic:spPr>
                    <a:xfrm>
                      <a:off x="0" y="0"/>
                      <a:ext cx="1047750" cy="1143000"/>
                    </a:xfrm>
                    <a:prstGeom prst="rect">
                      <a:avLst/>
                    </a:prstGeom>
                    <a:noFill/>
                    <a:ln w="9525">
                      <a:noFill/>
                      <a:miter lim="800000"/>
                      <a:headEnd/>
                      <a:tailEnd/>
                    </a:ln>
                  </pic:spPr>
                </pic:pic>
              </a:graphicData>
            </a:graphic>
          </wp:anchor>
        </w:drawing>
      </w:r>
    </w:p>
    <w:p w14:paraId="6B69C6E2">
      <w:pPr>
        <w:spacing w:after="0" w:line="360" w:lineRule="auto"/>
        <w:ind w:left="270" w:right="209"/>
        <w:jc w:val="center"/>
        <w:rPr>
          <w:rFonts w:ascii="Arial" w:hAnsi="Arial" w:eastAsia="Times New Roman" w:cs="Arial"/>
          <w:b/>
          <w:bCs/>
          <w:sz w:val="28"/>
          <w:szCs w:val="28"/>
          <w:lang w:val="en-GB"/>
        </w:rPr>
      </w:pPr>
    </w:p>
    <w:p w14:paraId="53FFCE2D">
      <w:pPr>
        <w:spacing w:after="0" w:line="360" w:lineRule="auto"/>
        <w:ind w:left="270" w:right="209"/>
        <w:jc w:val="center"/>
        <w:rPr>
          <w:rFonts w:ascii="Arial" w:hAnsi="Arial" w:eastAsia="Times New Roman" w:cs="Arial"/>
          <w:b/>
          <w:bCs/>
          <w:sz w:val="28"/>
          <w:szCs w:val="28"/>
          <w:lang w:val="en-GB"/>
        </w:rPr>
      </w:pPr>
    </w:p>
    <w:p w14:paraId="17957AC7">
      <w:pPr>
        <w:spacing w:after="0" w:line="360" w:lineRule="auto"/>
        <w:ind w:left="270" w:right="209"/>
        <w:jc w:val="center"/>
        <w:rPr>
          <w:rFonts w:ascii="Arial" w:hAnsi="Arial" w:eastAsia="Times New Roman" w:cs="Arial"/>
          <w:b/>
          <w:bCs/>
          <w:sz w:val="28"/>
          <w:szCs w:val="28"/>
          <w:lang w:val="en-GB"/>
        </w:rPr>
      </w:pPr>
    </w:p>
    <w:p w14:paraId="5C93E362">
      <w:pPr>
        <w:spacing w:after="0" w:line="360" w:lineRule="auto"/>
        <w:ind w:left="270" w:right="209"/>
        <w:jc w:val="center"/>
        <w:rPr>
          <w:rFonts w:ascii="Arial" w:hAnsi="Arial" w:eastAsia="Times New Roman" w:cs="Arial"/>
          <w:b/>
          <w:bCs/>
          <w:sz w:val="28"/>
          <w:szCs w:val="28"/>
          <w:lang w:val="en-GB"/>
        </w:rPr>
      </w:pPr>
    </w:p>
    <w:p w14:paraId="3086FE32">
      <w:pPr>
        <w:spacing w:after="0" w:line="360" w:lineRule="auto"/>
        <w:ind w:left="270" w:right="209"/>
        <w:jc w:val="center"/>
        <w:rPr>
          <w:rFonts w:ascii="Arial" w:hAnsi="Arial" w:eastAsia="Times New Roman" w:cs="Arial"/>
          <w:b/>
          <w:bCs/>
          <w:sz w:val="28"/>
          <w:szCs w:val="28"/>
          <w:lang w:val="en-GB"/>
        </w:rPr>
      </w:pPr>
    </w:p>
    <w:p w14:paraId="45D2849A">
      <w:pPr>
        <w:spacing w:after="0" w:line="360" w:lineRule="auto"/>
        <w:ind w:left="270" w:right="209"/>
        <w:jc w:val="center"/>
        <w:rPr>
          <w:rFonts w:ascii="Arial" w:hAnsi="Arial" w:eastAsia="Times New Roman" w:cs="Arial"/>
          <w:b/>
          <w:bCs/>
          <w:sz w:val="28"/>
          <w:szCs w:val="28"/>
          <w:lang w:val="en-GB"/>
        </w:rPr>
      </w:pPr>
    </w:p>
    <w:p w14:paraId="3835E9E1">
      <w:pPr>
        <w:spacing w:after="0" w:line="360" w:lineRule="auto"/>
        <w:ind w:left="270" w:right="209"/>
        <w:jc w:val="center"/>
        <w:rPr>
          <w:rFonts w:ascii="Arial" w:hAnsi="Arial" w:eastAsia="Times New Roman" w:cs="Arial"/>
          <w:b/>
          <w:bCs/>
          <w:sz w:val="28"/>
          <w:szCs w:val="28"/>
          <w:lang w:val="en-GB"/>
        </w:rPr>
      </w:pPr>
      <w:r>
        <w:rPr>
          <w:rFonts w:ascii="Arial" w:hAnsi="Arial" w:eastAsia="Times New Roman" w:cs="Arial"/>
          <w:b/>
          <w:bCs/>
          <w:sz w:val="28"/>
          <w:szCs w:val="28"/>
          <w:lang w:val="en-GB"/>
        </w:rPr>
        <w:t xml:space="preserve">PERFORMANCE CONTRACT </w:t>
      </w:r>
    </w:p>
    <w:p w14:paraId="277FE4E2">
      <w:pPr>
        <w:spacing w:after="0" w:line="360" w:lineRule="auto"/>
        <w:ind w:right="209"/>
        <w:rPr>
          <w:rFonts w:ascii="Arial" w:hAnsi="Arial" w:eastAsia="Times New Roman" w:cs="Arial"/>
          <w:b/>
          <w:bCs/>
          <w:sz w:val="28"/>
          <w:szCs w:val="28"/>
          <w:lang w:val="en-GB"/>
        </w:rPr>
      </w:pPr>
    </w:p>
    <w:p w14:paraId="707C826C">
      <w:pPr>
        <w:spacing w:after="0" w:line="360" w:lineRule="auto"/>
        <w:ind w:left="270" w:right="209"/>
        <w:jc w:val="center"/>
        <w:rPr>
          <w:rFonts w:ascii="Arial" w:hAnsi="Arial" w:eastAsia="Times New Roman" w:cs="Arial"/>
          <w:b/>
          <w:bCs/>
          <w:sz w:val="28"/>
          <w:szCs w:val="28"/>
          <w:lang w:val="en-GB"/>
        </w:rPr>
      </w:pPr>
    </w:p>
    <w:p w14:paraId="73A45EA5">
      <w:pPr>
        <w:spacing w:after="0" w:line="360" w:lineRule="auto"/>
        <w:ind w:left="270" w:right="209"/>
        <w:jc w:val="center"/>
        <w:rPr>
          <w:rFonts w:ascii="Arial" w:hAnsi="Arial" w:eastAsia="Times New Roman" w:cs="Arial"/>
          <w:b/>
          <w:bCs/>
          <w:sz w:val="28"/>
          <w:szCs w:val="28"/>
          <w:lang w:val="en-GB"/>
        </w:rPr>
      </w:pPr>
      <w:r>
        <w:rPr>
          <w:rFonts w:ascii="Arial" w:hAnsi="Arial" w:eastAsia="Times New Roman" w:cs="Arial"/>
          <w:b/>
          <w:bCs/>
          <w:sz w:val="28"/>
          <w:szCs w:val="28"/>
          <w:lang w:val="en-GB"/>
        </w:rPr>
        <w:t>BETWEEN</w:t>
      </w:r>
    </w:p>
    <w:p w14:paraId="56BA5580">
      <w:pPr>
        <w:spacing w:after="0" w:line="360" w:lineRule="auto"/>
        <w:ind w:right="209"/>
        <w:rPr>
          <w:rFonts w:ascii="Arial" w:hAnsi="Arial" w:eastAsia="Times New Roman" w:cs="Arial"/>
          <w:b/>
          <w:bCs/>
          <w:sz w:val="28"/>
          <w:szCs w:val="28"/>
          <w:lang w:val="en-GB"/>
        </w:rPr>
      </w:pPr>
    </w:p>
    <w:p w14:paraId="456EF75A">
      <w:pPr>
        <w:spacing w:after="0" w:line="360" w:lineRule="auto"/>
        <w:ind w:left="270" w:right="209"/>
        <w:jc w:val="center"/>
        <w:rPr>
          <w:rFonts w:ascii="Arial" w:hAnsi="Arial" w:eastAsia="Times New Roman" w:cs="Arial"/>
          <w:b/>
          <w:bCs/>
          <w:sz w:val="28"/>
          <w:szCs w:val="28"/>
          <w:lang w:val="en-GB"/>
        </w:rPr>
      </w:pPr>
    </w:p>
    <w:p w14:paraId="4D140818">
      <w:pPr>
        <w:spacing w:after="0" w:line="360" w:lineRule="auto"/>
        <w:jc w:val="center"/>
        <w:rPr>
          <w:rFonts w:ascii="Arial" w:hAnsi="Arial" w:eastAsia="Times New Roman" w:cs="Arial"/>
          <w:b/>
          <w:sz w:val="28"/>
          <w:szCs w:val="28"/>
        </w:rPr>
      </w:pPr>
      <w:r>
        <w:rPr>
          <w:rFonts w:ascii="Arial" w:hAnsi="Arial" w:eastAsia="Times New Roman" w:cs="Arial"/>
          <w:b/>
          <w:sz w:val="28"/>
          <w:szCs w:val="28"/>
        </w:rPr>
        <w:t xml:space="preserve">TREASURY REGISTRAR </w:t>
      </w:r>
    </w:p>
    <w:p w14:paraId="148756BD">
      <w:pPr>
        <w:spacing w:after="0" w:line="360" w:lineRule="auto"/>
        <w:ind w:left="270" w:right="209"/>
        <w:jc w:val="center"/>
        <w:rPr>
          <w:rFonts w:ascii="Arial" w:hAnsi="Arial" w:eastAsia="Times New Roman" w:cs="Arial"/>
          <w:b/>
          <w:bCs/>
          <w:sz w:val="28"/>
          <w:szCs w:val="28"/>
          <w:lang w:val="en-GB"/>
        </w:rPr>
      </w:pPr>
    </w:p>
    <w:p w14:paraId="27175838">
      <w:pPr>
        <w:spacing w:after="0" w:line="360" w:lineRule="auto"/>
        <w:ind w:left="270" w:right="209"/>
        <w:jc w:val="center"/>
        <w:rPr>
          <w:rFonts w:ascii="Arial" w:hAnsi="Arial" w:eastAsia="Times New Roman" w:cs="Arial"/>
          <w:bCs/>
          <w:sz w:val="28"/>
          <w:szCs w:val="28"/>
          <w:lang w:val="en-GB"/>
        </w:rPr>
      </w:pPr>
    </w:p>
    <w:p w14:paraId="45A021BA">
      <w:pPr>
        <w:spacing w:after="0" w:line="360" w:lineRule="auto"/>
        <w:ind w:left="270" w:right="209"/>
        <w:jc w:val="center"/>
        <w:rPr>
          <w:rFonts w:ascii="Arial" w:hAnsi="Arial" w:eastAsia="Times New Roman" w:cs="Arial"/>
          <w:b/>
          <w:bCs/>
          <w:sz w:val="28"/>
          <w:szCs w:val="28"/>
          <w:lang w:val="en-GB"/>
        </w:rPr>
      </w:pPr>
      <w:r>
        <w:rPr>
          <w:rFonts w:ascii="Arial" w:hAnsi="Arial" w:eastAsia="Times New Roman" w:cs="Arial"/>
          <w:b/>
          <w:bCs/>
          <w:sz w:val="28"/>
          <w:szCs w:val="28"/>
          <w:lang w:val="en-GB"/>
        </w:rPr>
        <w:t>AND</w:t>
      </w:r>
    </w:p>
    <w:p w14:paraId="0799DEA1">
      <w:pPr>
        <w:spacing w:after="0" w:line="360" w:lineRule="auto"/>
        <w:ind w:right="209"/>
        <w:rPr>
          <w:rFonts w:ascii="Arial" w:hAnsi="Arial" w:eastAsia="Times New Roman" w:cs="Arial"/>
          <w:bCs/>
          <w:sz w:val="28"/>
          <w:szCs w:val="28"/>
          <w:lang w:val="en-GB"/>
        </w:rPr>
      </w:pPr>
    </w:p>
    <w:p w14:paraId="34FE7B2A">
      <w:pPr>
        <w:spacing w:after="0" w:line="360" w:lineRule="auto"/>
        <w:jc w:val="both"/>
        <w:rPr>
          <w:rFonts w:ascii="Arial" w:hAnsi="Arial" w:eastAsia="Times New Roman" w:cs="Arial"/>
          <w:sz w:val="28"/>
          <w:szCs w:val="28"/>
        </w:rPr>
      </w:pPr>
    </w:p>
    <w:p w14:paraId="21C7C856">
      <w:pPr>
        <w:spacing w:after="0" w:line="360" w:lineRule="auto"/>
        <w:jc w:val="center"/>
        <w:rPr>
          <w:rFonts w:ascii="Arial" w:hAnsi="Arial" w:eastAsia="Times New Roman" w:cs="Arial"/>
          <w:b/>
          <w:sz w:val="28"/>
          <w:szCs w:val="28"/>
        </w:rPr>
      </w:pPr>
      <w:r>
        <w:rPr>
          <w:rFonts w:ascii="Arial" w:hAnsi="Arial" w:eastAsia="Times New Roman" w:cs="Arial"/>
          <w:b/>
          <w:sz w:val="28"/>
          <w:szCs w:val="28"/>
        </w:rPr>
        <w:t>THE BOARD OF TANZANIA RAILWAYS CORPORATION</w:t>
      </w:r>
    </w:p>
    <w:p w14:paraId="7A08B4C9">
      <w:pPr>
        <w:spacing w:after="0" w:line="360" w:lineRule="auto"/>
        <w:jc w:val="both"/>
        <w:rPr>
          <w:rFonts w:ascii="Arial" w:hAnsi="Arial" w:cs="Arial"/>
          <w:sz w:val="24"/>
          <w:szCs w:val="24"/>
        </w:rPr>
      </w:pPr>
    </w:p>
    <w:p w14:paraId="3B0C6F71">
      <w:pPr>
        <w:spacing w:after="0" w:line="360" w:lineRule="auto"/>
        <w:jc w:val="both"/>
        <w:rPr>
          <w:rFonts w:ascii="Arial" w:hAnsi="Arial" w:cs="Arial"/>
          <w:sz w:val="24"/>
          <w:szCs w:val="24"/>
        </w:rPr>
      </w:pPr>
      <w:r>
        <w:rPr>
          <w:rFonts w:ascii="Arial" w:hAnsi="Arial" w:cs="Arial"/>
          <w:sz w:val="24"/>
          <w:szCs w:val="24"/>
        </w:rPr>
        <w:t xml:space="preserve"> </w:t>
      </w:r>
    </w:p>
    <w:p w14:paraId="717B6C9C">
      <w:pPr>
        <w:spacing w:after="0" w:line="360" w:lineRule="auto"/>
        <w:jc w:val="both"/>
        <w:rPr>
          <w:rFonts w:ascii="Arial" w:hAnsi="Arial" w:cs="Arial"/>
          <w:sz w:val="24"/>
          <w:szCs w:val="24"/>
        </w:rPr>
      </w:pPr>
    </w:p>
    <w:p w14:paraId="2702935C">
      <w:pPr>
        <w:spacing w:after="0" w:line="360" w:lineRule="auto"/>
        <w:jc w:val="center"/>
        <w:rPr>
          <w:rFonts w:ascii="Arial" w:hAnsi="Arial" w:cs="Arial"/>
          <w:b/>
          <w:sz w:val="28"/>
          <w:szCs w:val="28"/>
        </w:rPr>
      </w:pPr>
      <w:r>
        <w:rPr>
          <w:rFonts w:ascii="Arial" w:hAnsi="Arial" w:cs="Arial"/>
          <w:b/>
          <w:sz w:val="28"/>
          <w:szCs w:val="28"/>
        </w:rPr>
        <w:t>JULY 2025</w:t>
      </w:r>
    </w:p>
    <w:p w14:paraId="085D4910">
      <w:pPr>
        <w:spacing w:after="0" w:line="360" w:lineRule="auto"/>
        <w:jc w:val="both"/>
        <w:rPr>
          <w:rFonts w:ascii="Arial" w:hAnsi="Arial" w:cs="Arial"/>
          <w:sz w:val="24"/>
          <w:szCs w:val="24"/>
        </w:rPr>
      </w:pPr>
      <w:r>
        <w:rPr>
          <w:rFonts w:ascii="Arial" w:hAnsi="Arial" w:eastAsia="Times New Roman"/>
          <w:bCs/>
          <w:sz w:val="24"/>
          <w:szCs w:val="24"/>
        </w:rPr>
        <w:t>The Contract is made this ……………………… between Treasury Registrar of the Office of Treasury Registrar, a body Corporate established under the provisions of the Treasury Registrar (Powers and Functions) Act, Cap. 370 as amended, and the successor in title of Consolidated Holding Corporation vide Government Notice No. 203 published on 27</w:t>
      </w:r>
      <w:r>
        <w:rPr>
          <w:rFonts w:ascii="Arial" w:hAnsi="Arial" w:eastAsia="Times New Roman"/>
          <w:bCs/>
          <w:sz w:val="24"/>
          <w:szCs w:val="24"/>
          <w:vertAlign w:val="superscript"/>
        </w:rPr>
        <w:t>th</w:t>
      </w:r>
      <w:r>
        <w:rPr>
          <w:rFonts w:ascii="Arial" w:hAnsi="Arial" w:eastAsia="Times New Roman"/>
          <w:bCs/>
          <w:sz w:val="24"/>
          <w:szCs w:val="24"/>
        </w:rPr>
        <w:t xml:space="preserve"> June 2014 of Mwai Kibaki Road, P.O.BOX 3193, 11104 DAR ES SALAAM, of one part</w:t>
      </w:r>
      <w:r>
        <w:rPr>
          <w:rFonts w:ascii="Arial" w:hAnsi="Arial" w:cs="Arial"/>
          <w:sz w:val="24"/>
          <w:szCs w:val="24"/>
        </w:rPr>
        <w:t xml:space="preserve">;  </w:t>
      </w:r>
    </w:p>
    <w:p w14:paraId="7DC898AA">
      <w:pPr>
        <w:spacing w:after="0" w:line="360" w:lineRule="auto"/>
        <w:jc w:val="both"/>
        <w:rPr>
          <w:rFonts w:ascii="Arial" w:hAnsi="Arial" w:cs="Arial"/>
          <w:sz w:val="24"/>
          <w:szCs w:val="24"/>
        </w:rPr>
      </w:pPr>
    </w:p>
    <w:p w14:paraId="1395B842">
      <w:pPr>
        <w:spacing w:after="0" w:line="360" w:lineRule="auto"/>
        <w:jc w:val="center"/>
        <w:rPr>
          <w:rFonts w:ascii="Arial" w:hAnsi="Arial" w:cs="Arial"/>
          <w:b/>
          <w:sz w:val="24"/>
          <w:szCs w:val="24"/>
        </w:rPr>
      </w:pPr>
      <w:r>
        <w:rPr>
          <w:rFonts w:ascii="Arial" w:hAnsi="Arial" w:cs="Arial"/>
          <w:b/>
          <w:sz w:val="24"/>
          <w:szCs w:val="24"/>
        </w:rPr>
        <w:t>AND</w:t>
      </w:r>
    </w:p>
    <w:p w14:paraId="71CA713F">
      <w:pPr>
        <w:spacing w:after="0" w:line="360" w:lineRule="auto"/>
        <w:ind w:right="-199"/>
        <w:jc w:val="both"/>
        <w:rPr>
          <w:rFonts w:ascii="Arial" w:hAnsi="Arial" w:cs="Arial"/>
          <w:b/>
          <w:sz w:val="24"/>
          <w:szCs w:val="24"/>
        </w:rPr>
      </w:pPr>
    </w:p>
    <w:p w14:paraId="6434A07A">
      <w:pPr>
        <w:spacing w:line="360" w:lineRule="auto"/>
        <w:jc w:val="both"/>
        <w:rPr>
          <w:rFonts w:ascii="Arial" w:hAnsi="Arial" w:cs="Arial"/>
          <w:sz w:val="24"/>
          <w:szCs w:val="24"/>
        </w:rPr>
      </w:pPr>
      <w:r>
        <w:rPr>
          <w:rFonts w:ascii="Arial" w:hAnsi="Arial" w:cs="Arial"/>
          <w:sz w:val="24"/>
          <w:szCs w:val="24"/>
        </w:rPr>
        <w:t xml:space="preserve">Board of </w:t>
      </w:r>
      <w:r>
        <w:rPr>
          <w:rFonts w:ascii="Arial" w:hAnsi="Arial" w:cs="Arial"/>
          <w:b/>
          <w:sz w:val="24"/>
          <w:szCs w:val="24"/>
        </w:rPr>
        <w:t>Tanzania Railways Corporation</w:t>
      </w:r>
      <w:r>
        <w:rPr>
          <w:rFonts w:ascii="Arial" w:hAnsi="Arial" w:cs="Arial"/>
          <w:sz w:val="24"/>
          <w:szCs w:val="24"/>
        </w:rPr>
        <w:t xml:space="preserve"> established and existing under the Railways Act No. 10 of 2017 of P.O. Box 76959 Dar es Salaam (hereinafter to be referred as the</w:t>
      </w:r>
      <w:r>
        <w:rPr>
          <w:rFonts w:ascii="Arial" w:hAnsi="Arial" w:cs="Arial"/>
          <w:b/>
          <w:sz w:val="24"/>
          <w:szCs w:val="24"/>
        </w:rPr>
        <w:t xml:space="preserve"> </w:t>
      </w:r>
      <w:r>
        <w:rPr>
          <w:rFonts w:ascii="Arial" w:hAnsi="Arial" w:cs="Arial"/>
          <w:sz w:val="24"/>
          <w:szCs w:val="24"/>
        </w:rPr>
        <w:t xml:space="preserve">Board </w:t>
      </w:r>
      <w:r>
        <w:rPr>
          <w:rFonts w:ascii="Arial" w:hAnsi="Arial"/>
          <w:sz w:val="24"/>
          <w:szCs w:val="24"/>
        </w:rPr>
        <w:t>of the Director) of</w:t>
      </w:r>
      <w:r>
        <w:rPr>
          <w:rFonts w:ascii="Arial" w:hAnsi="Arial" w:cs="Arial"/>
          <w:sz w:val="24"/>
          <w:szCs w:val="24"/>
        </w:rPr>
        <w:t xml:space="preserve"> the other part.</w:t>
      </w:r>
    </w:p>
    <w:p w14:paraId="51FD4D8C">
      <w:pPr>
        <w:spacing w:after="0" w:line="360" w:lineRule="auto"/>
        <w:ind w:right="-199"/>
        <w:jc w:val="both"/>
        <w:rPr>
          <w:rFonts w:ascii="Arial" w:hAnsi="Arial" w:eastAsia="Times New Roman" w:cs="Arial"/>
          <w:b/>
          <w:sz w:val="24"/>
          <w:szCs w:val="24"/>
          <w:lang w:val="en-GB"/>
        </w:rPr>
      </w:pPr>
      <w:r>
        <w:rPr>
          <w:rFonts w:ascii="Arial" w:hAnsi="Arial" w:eastAsia="Times New Roman" w:cs="Arial"/>
          <w:b/>
          <w:sz w:val="24"/>
          <w:szCs w:val="24"/>
          <w:lang w:val="en-GB"/>
        </w:rPr>
        <w:t>PREAMBLE:</w:t>
      </w:r>
    </w:p>
    <w:p w14:paraId="7D94DCE8">
      <w:pPr>
        <w:spacing w:after="0" w:line="360" w:lineRule="auto"/>
        <w:ind w:right="-199"/>
        <w:jc w:val="both"/>
        <w:rPr>
          <w:rFonts w:ascii="Arial" w:hAnsi="Arial" w:eastAsia="Times New Roman" w:cs="Arial"/>
          <w:b/>
          <w:sz w:val="24"/>
          <w:szCs w:val="24"/>
          <w:lang w:val="en-GB"/>
        </w:rPr>
      </w:pPr>
    </w:p>
    <w:p w14:paraId="37D146F2">
      <w:pPr>
        <w:numPr>
          <w:ilvl w:val="0"/>
          <w:numId w:val="1"/>
        </w:numPr>
        <w:spacing w:after="0" w:line="360" w:lineRule="auto"/>
        <w:jc w:val="both"/>
        <w:rPr>
          <w:rFonts w:ascii="Arial" w:hAnsi="Arial" w:eastAsia="Times New Roman"/>
          <w:sz w:val="24"/>
          <w:szCs w:val="24"/>
          <w:lang w:val="en-GB"/>
        </w:rPr>
      </w:pPr>
      <w:r>
        <w:rPr>
          <w:rFonts w:ascii="Arial" w:hAnsi="Arial" w:eastAsia="Times New Roman"/>
          <w:b/>
          <w:bCs/>
          <w:sz w:val="24"/>
          <w:szCs w:val="24"/>
          <w:lang w:val="en-GB"/>
        </w:rPr>
        <w:t xml:space="preserve">WHEREAS the Treasury Registrar </w:t>
      </w:r>
      <w:r>
        <w:rPr>
          <w:rFonts w:ascii="Arial" w:hAnsi="Arial" w:eastAsia="Times New Roman"/>
          <w:bCs/>
          <w:sz w:val="24"/>
          <w:szCs w:val="24"/>
          <w:lang w:val="en-GB"/>
        </w:rPr>
        <w:t xml:space="preserve">is vested </w:t>
      </w:r>
      <w:r>
        <w:rPr>
          <w:rFonts w:ascii="Arial" w:hAnsi="Arial" w:eastAsia="Times New Roman"/>
          <w:sz w:val="24"/>
          <w:szCs w:val="24"/>
          <w:lang w:val="en-GB"/>
        </w:rPr>
        <w:t>with the responsibilities of holding all investments comprised of paid up capital of Public and Statutory Corporations as well as in private investments where the Government owns shares or interests in trust for the President and for the purposes of the Government of the United Republic of Tanzania given responsibilities to the Board to ensure that the Institution meets the objectives of its establishment;</w:t>
      </w:r>
    </w:p>
    <w:p w14:paraId="148B2299">
      <w:pPr>
        <w:pStyle w:val="11"/>
        <w:numPr>
          <w:ilvl w:val="0"/>
          <w:numId w:val="1"/>
        </w:numPr>
        <w:spacing w:after="0" w:line="360" w:lineRule="auto"/>
        <w:ind w:left="1434" w:hanging="1077"/>
        <w:jc w:val="both"/>
        <w:rPr>
          <w:rFonts w:ascii="Arial" w:hAnsi="Arial" w:eastAsia="Times New Roman"/>
          <w:sz w:val="24"/>
          <w:szCs w:val="24"/>
          <w:highlight w:val="none"/>
          <w:lang w:val="en-GB"/>
        </w:rPr>
      </w:pPr>
      <w:r>
        <w:rPr>
          <w:rFonts w:ascii="Arial" w:hAnsi="Arial" w:eastAsia="Times New Roman"/>
          <w:b/>
          <w:bCs/>
          <w:sz w:val="24"/>
          <w:szCs w:val="24"/>
          <w:highlight w:val="none"/>
          <w:lang w:val="en-GB"/>
        </w:rPr>
        <w:t>WHEREAS the Treasury Registrar</w:t>
      </w:r>
      <w:r>
        <w:rPr>
          <w:rFonts w:ascii="Arial" w:hAnsi="Arial" w:eastAsia="Times New Roman"/>
          <w:sz w:val="24"/>
          <w:szCs w:val="24"/>
          <w:highlight w:val="none"/>
          <w:lang w:val="en-GB"/>
        </w:rPr>
        <w:t xml:space="preserve"> under Section 10(2)(j)&amp;(k) of the Treasury Registrar (Powers and Functions) Act, Cap. 370 is mandated to monitor and evaluate the performance of public and statutory corporations and to ensure that every public corporation enters into performance contract with the Treasury Registrar immediately upon appointment of the government body.</w:t>
      </w:r>
    </w:p>
    <w:p w14:paraId="34EA2D4C">
      <w:pPr>
        <w:pStyle w:val="8"/>
        <w:spacing w:before="0" w:beforeAutospacing="0" w:after="0" w:line="360" w:lineRule="auto"/>
        <w:ind w:left="1440"/>
        <w:jc w:val="both"/>
        <w:rPr>
          <w:rFonts w:ascii="Arial" w:hAnsi="Arial" w:cs="Arial"/>
          <w:lang w:val="en-GB"/>
        </w:rPr>
      </w:pPr>
    </w:p>
    <w:p w14:paraId="22674E60">
      <w:pPr>
        <w:pStyle w:val="8"/>
        <w:numPr>
          <w:ilvl w:val="0"/>
          <w:numId w:val="1"/>
        </w:numPr>
        <w:spacing w:after="0" w:line="360" w:lineRule="auto"/>
        <w:jc w:val="both"/>
        <w:rPr>
          <w:rFonts w:ascii="Arial" w:hAnsi="Arial" w:cs="Arial"/>
          <w:lang w:val="en-GB"/>
        </w:rPr>
      </w:pPr>
      <w:r>
        <w:rPr>
          <w:rFonts w:ascii="Arial" w:hAnsi="Arial" w:cs="Arial"/>
          <w:b/>
          <w:color w:val="000000"/>
        </w:rPr>
        <w:t>WHEREAS The</w:t>
      </w:r>
      <w:r>
        <w:rPr>
          <w:rFonts w:ascii="Arial" w:hAnsi="Arial" w:cs="Arial"/>
          <w:b/>
        </w:rPr>
        <w:t xml:space="preserve"> Tanzania Railway</w:t>
      </w:r>
      <w:r>
        <w:rPr>
          <w:rFonts w:ascii="Arial" w:hAnsi="Arial" w:cs="Arial"/>
          <w:color w:val="000000"/>
        </w:rPr>
        <w:t xml:space="preserve"> </w:t>
      </w:r>
      <w:r>
        <w:rPr>
          <w:rFonts w:ascii="Arial" w:hAnsi="Arial" w:cs="Arial"/>
          <w:b/>
          <w:color w:val="000000"/>
        </w:rPr>
        <w:t xml:space="preserve">Board </w:t>
      </w:r>
      <w:r>
        <w:rPr>
          <w:rFonts w:ascii="Arial" w:hAnsi="Arial" w:cs="Arial"/>
          <w:color w:val="000000"/>
        </w:rPr>
        <w:t xml:space="preserve">is responsible for overseeing, monitoring and regulating the conduct of the </w:t>
      </w:r>
      <w:r>
        <w:rPr>
          <w:rFonts w:ascii="Arial" w:hAnsi="Arial" w:cs="Arial"/>
          <w:b/>
        </w:rPr>
        <w:t>Tanzania Railways Corporation</w:t>
      </w:r>
      <w:r>
        <w:rPr>
          <w:rFonts w:ascii="Arial" w:hAnsi="Arial" w:cs="Arial"/>
        </w:rPr>
        <w:t xml:space="preserve"> </w:t>
      </w:r>
      <w:r>
        <w:rPr>
          <w:rFonts w:ascii="Arial" w:hAnsi="Arial" w:cs="Arial"/>
          <w:color w:val="000000"/>
        </w:rPr>
        <w:t>activities in Tanzania;</w:t>
      </w:r>
      <w:r>
        <w:rPr>
          <w:rFonts w:ascii="Arial" w:hAnsi="Arial" w:cs="Arial"/>
          <w:lang w:val="en-GB"/>
        </w:rPr>
        <w:t xml:space="preserve"> and</w:t>
      </w:r>
    </w:p>
    <w:p w14:paraId="12CCABE3">
      <w:pPr>
        <w:pStyle w:val="11"/>
        <w:rPr>
          <w:rFonts w:ascii="Arial" w:hAnsi="Arial" w:cs="Arial"/>
          <w:lang w:val="en-GB"/>
        </w:rPr>
      </w:pPr>
    </w:p>
    <w:p w14:paraId="5529E6E5">
      <w:pPr>
        <w:pStyle w:val="8"/>
        <w:numPr>
          <w:ilvl w:val="0"/>
          <w:numId w:val="1"/>
        </w:numPr>
        <w:spacing w:after="0" w:line="360" w:lineRule="auto"/>
        <w:jc w:val="both"/>
        <w:rPr>
          <w:rFonts w:ascii="Arial" w:hAnsi="Arial" w:cs="Arial"/>
          <w:lang w:val="en-GB"/>
        </w:rPr>
      </w:pPr>
      <w:bookmarkStart w:id="0" w:name="_Hlk182315872"/>
      <w:r>
        <w:rPr>
          <w:rFonts w:ascii="Arial" w:hAnsi="Arial" w:cs="Arial"/>
          <w:b/>
          <w:color w:val="000000"/>
        </w:rPr>
        <w:t xml:space="preserve">WHEREAS, The Board </w:t>
      </w:r>
      <w:r>
        <w:rPr>
          <w:rFonts w:ascii="Arial" w:hAnsi="Arial" w:cs="Arial"/>
          <w:color w:val="000000"/>
        </w:rPr>
        <w:t xml:space="preserve">is responsible for overseeing, monitoring and regulating the conduct of the </w:t>
      </w:r>
      <w:r>
        <w:rPr>
          <w:rFonts w:ascii="Arial" w:hAnsi="Arial" w:cs="Arial"/>
          <w:b/>
          <w:bCs/>
          <w:lang w:val="en-GB"/>
        </w:rPr>
        <w:t>TANZANIA RAILWAY RPORATION</w:t>
      </w:r>
      <w:r>
        <w:rPr>
          <w:rFonts w:ascii="Arial" w:hAnsi="Arial" w:cs="Arial"/>
          <w:color w:val="000000"/>
        </w:rPr>
        <w:t xml:space="preserve"> activiti</w:t>
      </w:r>
      <w:r>
        <w:rPr>
          <w:rFonts w:ascii="Arial" w:hAnsi="Arial" w:cs="Arial"/>
          <w:color w:val="000000"/>
          <w:highlight w:val="none"/>
        </w:rPr>
        <w:t>es in Tanzania and</w:t>
      </w:r>
      <w:r>
        <w:rPr>
          <w:rFonts w:ascii="Arial" w:hAnsi="Arial"/>
          <w:highlight w:val="none"/>
        </w:rPr>
        <w:t xml:space="preserve"> mandated with all powers necessary for managing and for directing and supervising the management of the business and affairs of a corporation on provision of railway transport services</w:t>
      </w:r>
      <w:bookmarkEnd w:id="0"/>
      <w:r>
        <w:rPr>
          <w:rFonts w:ascii="Arial" w:hAnsi="Arial" w:cs="Arial"/>
          <w:color w:val="000000"/>
          <w:highlight w:val="none"/>
        </w:rPr>
        <w:t>.</w:t>
      </w:r>
    </w:p>
    <w:p w14:paraId="438BBCED">
      <w:pPr>
        <w:pStyle w:val="9"/>
        <w:rPr>
          <w:rFonts w:ascii="Arial" w:hAnsi="Arial" w:eastAsia="Times New Roman" w:cs="Arial"/>
          <w:b/>
          <w:sz w:val="24"/>
          <w:szCs w:val="24"/>
        </w:rPr>
      </w:pPr>
    </w:p>
    <w:p w14:paraId="0D4474A2">
      <w:pPr>
        <w:pStyle w:val="9"/>
        <w:rPr>
          <w:rFonts w:ascii="Arial" w:hAnsi="Arial" w:eastAsia="Times New Roman" w:cs="Arial"/>
          <w:b/>
          <w:sz w:val="24"/>
          <w:szCs w:val="24"/>
        </w:rPr>
      </w:pPr>
      <w:r>
        <w:rPr>
          <w:rFonts w:ascii="Arial" w:hAnsi="Arial" w:eastAsia="Times New Roman" w:cs="Arial"/>
          <w:b/>
          <w:sz w:val="24"/>
          <w:szCs w:val="24"/>
        </w:rPr>
        <w:t>NOW WHEREFORE the Parties herein agree as follows:</w:t>
      </w:r>
    </w:p>
    <w:p w14:paraId="163B35EF">
      <w:pPr>
        <w:spacing w:after="0" w:line="360" w:lineRule="auto"/>
        <w:rPr>
          <w:rFonts w:ascii="Arial" w:hAnsi="Arial" w:eastAsia="Times New Roman" w:cs="Arial"/>
          <w:b/>
          <w:color w:val="000000"/>
          <w:sz w:val="24"/>
          <w:szCs w:val="24"/>
        </w:rPr>
      </w:pPr>
    </w:p>
    <w:p w14:paraId="7890C572">
      <w:pPr>
        <w:numPr>
          <w:ilvl w:val="0"/>
          <w:numId w:val="2"/>
        </w:numPr>
        <w:spacing w:after="0" w:line="360" w:lineRule="auto"/>
        <w:jc w:val="both"/>
        <w:rPr>
          <w:rFonts w:ascii="Arial" w:hAnsi="Arial" w:eastAsia="Times New Roman" w:cs="Arial"/>
          <w:sz w:val="24"/>
          <w:szCs w:val="24"/>
          <w:lang w:val="en-GB"/>
        </w:rPr>
      </w:pPr>
      <w:r>
        <w:rPr>
          <w:rFonts w:ascii="Arial" w:hAnsi="Arial" w:eastAsia="Times New Roman" w:cs="Arial"/>
          <w:b/>
          <w:sz w:val="24"/>
          <w:szCs w:val="24"/>
          <w:lang w:val="en-GB"/>
        </w:rPr>
        <w:t>I</w:t>
      </w:r>
      <w:r>
        <w:rPr>
          <w:rFonts w:ascii="Arial" w:hAnsi="Arial" w:cs="Arial"/>
          <w:b/>
          <w:iCs/>
          <w:sz w:val="24"/>
          <w:szCs w:val="24"/>
        </w:rPr>
        <w:t>NTERPRETATION</w:t>
      </w:r>
    </w:p>
    <w:p w14:paraId="64F3AC62">
      <w:pPr>
        <w:widowControl w:val="0"/>
        <w:autoSpaceDE w:val="0"/>
        <w:autoSpaceDN w:val="0"/>
        <w:adjustRightInd w:val="0"/>
        <w:spacing w:after="0" w:line="360" w:lineRule="auto"/>
        <w:ind w:left="720"/>
        <w:jc w:val="both"/>
        <w:rPr>
          <w:rFonts w:ascii="Arial" w:hAnsi="Arial" w:cs="Arial"/>
          <w:sz w:val="24"/>
          <w:szCs w:val="24"/>
        </w:rPr>
      </w:pPr>
      <w:r>
        <w:rPr>
          <w:rFonts w:ascii="Arial" w:hAnsi="Arial" w:cs="Arial"/>
          <w:sz w:val="24"/>
          <w:szCs w:val="24"/>
        </w:rPr>
        <w:t>For the purpose of this Performance Contract the following terms will have the meanings ascribed:</w:t>
      </w:r>
    </w:p>
    <w:p w14:paraId="7329231C">
      <w:pPr>
        <w:widowControl w:val="0"/>
        <w:autoSpaceDE w:val="0"/>
        <w:autoSpaceDN w:val="0"/>
        <w:adjustRightInd w:val="0"/>
        <w:spacing w:after="0" w:line="360" w:lineRule="auto"/>
        <w:ind w:left="720"/>
        <w:jc w:val="both"/>
        <w:rPr>
          <w:rFonts w:ascii="Arial" w:hAnsi="Arial" w:cs="Arial"/>
          <w:sz w:val="24"/>
          <w:szCs w:val="24"/>
        </w:rPr>
      </w:pPr>
    </w:p>
    <w:tbl>
      <w:tblPr>
        <w:tblStyle w:val="10"/>
        <w:tblW w:w="9228" w:type="dxa"/>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03"/>
        <w:gridCol w:w="6125"/>
      </w:tblGrid>
      <w:tr w14:paraId="046F6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03" w:type="dxa"/>
          </w:tcPr>
          <w:p w14:paraId="0C34DE83">
            <w:pPr>
              <w:widowControl w:val="0"/>
              <w:autoSpaceDE w:val="0"/>
              <w:autoSpaceDN w:val="0"/>
              <w:adjustRightInd w:val="0"/>
              <w:spacing w:after="0" w:line="360" w:lineRule="auto"/>
              <w:jc w:val="both"/>
              <w:rPr>
                <w:rFonts w:ascii="Arial" w:hAnsi="Arial" w:cs="Arial"/>
                <w:b/>
                <w:bCs/>
                <w:iCs/>
                <w:sz w:val="24"/>
                <w:szCs w:val="24"/>
              </w:rPr>
            </w:pPr>
            <w:r>
              <w:rPr>
                <w:rFonts w:ascii="Arial" w:hAnsi="Arial" w:cs="Arial"/>
                <w:b/>
                <w:bCs/>
                <w:iCs/>
                <w:sz w:val="24"/>
                <w:szCs w:val="24"/>
              </w:rPr>
              <w:t>Term</w:t>
            </w:r>
          </w:p>
        </w:tc>
        <w:tc>
          <w:tcPr>
            <w:tcW w:w="6125" w:type="dxa"/>
          </w:tcPr>
          <w:p w14:paraId="63490C72">
            <w:pPr>
              <w:widowControl w:val="0"/>
              <w:autoSpaceDE w:val="0"/>
              <w:autoSpaceDN w:val="0"/>
              <w:adjustRightInd w:val="0"/>
              <w:spacing w:after="0" w:line="360" w:lineRule="auto"/>
              <w:jc w:val="both"/>
              <w:rPr>
                <w:rFonts w:ascii="Arial" w:hAnsi="Arial" w:cs="Arial"/>
                <w:b/>
                <w:bCs/>
                <w:iCs/>
                <w:sz w:val="24"/>
                <w:szCs w:val="24"/>
              </w:rPr>
            </w:pPr>
            <w:r>
              <w:rPr>
                <w:rFonts w:ascii="Arial" w:hAnsi="Arial" w:cs="Arial"/>
                <w:b/>
                <w:bCs/>
                <w:sz w:val="24"/>
                <w:szCs w:val="24"/>
              </w:rPr>
              <w:t>Definition</w:t>
            </w:r>
          </w:p>
        </w:tc>
      </w:tr>
      <w:tr w14:paraId="10504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03" w:type="dxa"/>
          </w:tcPr>
          <w:p w14:paraId="41FC30DB">
            <w:pPr>
              <w:widowControl w:val="0"/>
              <w:autoSpaceDE w:val="0"/>
              <w:autoSpaceDN w:val="0"/>
              <w:adjustRightInd w:val="0"/>
              <w:spacing w:after="0" w:line="360" w:lineRule="auto"/>
              <w:jc w:val="both"/>
              <w:rPr>
                <w:rFonts w:ascii="Arial" w:hAnsi="Arial" w:cs="Arial"/>
                <w:b/>
                <w:bCs/>
                <w:iCs/>
                <w:sz w:val="24"/>
                <w:szCs w:val="24"/>
              </w:rPr>
            </w:pPr>
            <w:r>
              <w:rPr>
                <w:rFonts w:ascii="Arial" w:hAnsi="Arial" w:cs="Arial"/>
                <w:bCs/>
                <w:sz w:val="24"/>
                <w:szCs w:val="24"/>
              </w:rPr>
              <w:t>Act</w:t>
            </w:r>
          </w:p>
        </w:tc>
        <w:tc>
          <w:tcPr>
            <w:tcW w:w="6125" w:type="dxa"/>
          </w:tcPr>
          <w:p w14:paraId="02EB19FA">
            <w:pPr>
              <w:widowControl w:val="0"/>
              <w:autoSpaceDE w:val="0"/>
              <w:autoSpaceDN w:val="0"/>
              <w:adjustRightInd w:val="0"/>
              <w:spacing w:after="0" w:line="360" w:lineRule="auto"/>
              <w:jc w:val="both"/>
              <w:rPr>
                <w:rFonts w:ascii="Arial" w:hAnsi="Arial" w:cs="Arial"/>
                <w:bCs/>
                <w:sz w:val="24"/>
                <w:szCs w:val="24"/>
              </w:rPr>
            </w:pPr>
            <w:r>
              <w:rPr>
                <w:rFonts w:ascii="Arial" w:hAnsi="Arial" w:cs="Arial"/>
                <w:bCs/>
                <w:sz w:val="24"/>
                <w:szCs w:val="24"/>
              </w:rPr>
              <w:t>The Treasury Registrar (Powers and Functions) Act [CAP 370 R.E. 2002] as amended</w:t>
            </w:r>
          </w:p>
        </w:tc>
      </w:tr>
      <w:tr w14:paraId="4F8E3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1" w:hRule="atLeast"/>
        </w:trPr>
        <w:tc>
          <w:tcPr>
            <w:tcW w:w="3103" w:type="dxa"/>
          </w:tcPr>
          <w:p w14:paraId="73878209">
            <w:pPr>
              <w:widowControl w:val="0"/>
              <w:autoSpaceDE w:val="0"/>
              <w:autoSpaceDN w:val="0"/>
              <w:adjustRightInd w:val="0"/>
              <w:spacing w:after="0" w:line="360" w:lineRule="auto"/>
              <w:rPr>
                <w:rFonts w:ascii="Arial" w:hAnsi="Arial" w:cs="Arial"/>
                <w:b/>
                <w:bCs/>
                <w:iCs/>
                <w:sz w:val="24"/>
                <w:szCs w:val="24"/>
              </w:rPr>
            </w:pPr>
            <w:r>
              <w:rPr>
                <w:rFonts w:ascii="Arial" w:hAnsi="Arial" w:cs="Arial"/>
                <w:bCs/>
                <w:sz w:val="24"/>
                <w:szCs w:val="24"/>
              </w:rPr>
              <w:t xml:space="preserve">Board                                              </w:t>
            </w:r>
          </w:p>
        </w:tc>
        <w:tc>
          <w:tcPr>
            <w:tcW w:w="6125" w:type="dxa"/>
          </w:tcPr>
          <w:p w14:paraId="309497BE">
            <w:pPr>
              <w:widowControl w:val="0"/>
              <w:autoSpaceDE w:val="0"/>
              <w:autoSpaceDN w:val="0"/>
              <w:adjustRightInd w:val="0"/>
              <w:spacing w:after="0" w:line="360" w:lineRule="auto"/>
              <w:jc w:val="both"/>
              <w:rPr>
                <w:rFonts w:ascii="Arial" w:hAnsi="Arial" w:cs="Arial"/>
                <w:bCs/>
                <w:sz w:val="24"/>
                <w:szCs w:val="24"/>
              </w:rPr>
            </w:pPr>
            <w:r>
              <w:rPr>
                <w:rFonts w:ascii="Arial" w:hAnsi="Arial" w:cs="Arial"/>
                <w:bCs/>
                <w:sz w:val="24"/>
                <w:szCs w:val="24"/>
              </w:rPr>
              <w:t xml:space="preserve">Board of Directors/Council/ Ministerial Advisory Board/ Governing Council/ Commission/ Governing Board/ Steering Committee/ Quasi-Judicial/ Executive Board/Tribunal/Appeal Board/ Appeal Authority </w:t>
            </w:r>
          </w:p>
        </w:tc>
      </w:tr>
      <w:tr w14:paraId="0E665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03" w:type="dxa"/>
          </w:tcPr>
          <w:p w14:paraId="1D513FA6">
            <w:pPr>
              <w:widowControl w:val="0"/>
              <w:autoSpaceDE w:val="0"/>
              <w:autoSpaceDN w:val="0"/>
              <w:adjustRightInd w:val="0"/>
              <w:spacing w:after="0" w:line="360" w:lineRule="auto"/>
              <w:jc w:val="both"/>
              <w:rPr>
                <w:rFonts w:ascii="Arial" w:hAnsi="Arial" w:cs="Arial"/>
                <w:b/>
                <w:bCs/>
                <w:iCs/>
                <w:sz w:val="24"/>
                <w:szCs w:val="24"/>
              </w:rPr>
            </w:pPr>
            <w:r>
              <w:rPr>
                <w:rFonts w:ascii="Arial" w:hAnsi="Arial" w:cs="Arial"/>
                <w:iCs/>
                <w:sz w:val="24"/>
                <w:szCs w:val="24"/>
              </w:rPr>
              <w:t>Performance</w:t>
            </w:r>
            <w:r>
              <w:rPr>
                <w:rFonts w:ascii="Arial" w:hAnsi="Arial" w:cs="Arial"/>
                <w:sz w:val="24"/>
                <w:szCs w:val="24"/>
              </w:rPr>
              <w:t xml:space="preserve"> Contract:</w:t>
            </w:r>
          </w:p>
        </w:tc>
        <w:tc>
          <w:tcPr>
            <w:tcW w:w="6125" w:type="dxa"/>
          </w:tcPr>
          <w:p w14:paraId="51038085">
            <w:pPr>
              <w:widowControl w:val="0"/>
              <w:autoSpaceDE w:val="0"/>
              <w:autoSpaceDN w:val="0"/>
              <w:adjustRightInd w:val="0"/>
              <w:spacing w:after="0" w:line="360" w:lineRule="auto"/>
              <w:jc w:val="both"/>
              <w:rPr>
                <w:rFonts w:ascii="Arial" w:hAnsi="Arial" w:cs="Arial"/>
                <w:b/>
                <w:bCs/>
                <w:iCs/>
                <w:sz w:val="24"/>
                <w:szCs w:val="24"/>
              </w:rPr>
            </w:pPr>
            <w:r>
              <w:rPr>
                <w:rFonts w:ascii="Arial" w:hAnsi="Arial" w:cs="Arial"/>
                <w:sz w:val="24"/>
                <w:szCs w:val="24"/>
              </w:rPr>
              <w:t>Means Performance Contract Treasury Registrar and the Board</w:t>
            </w:r>
          </w:p>
        </w:tc>
      </w:tr>
      <w:tr w14:paraId="03A01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03" w:type="dxa"/>
          </w:tcPr>
          <w:p w14:paraId="07383DB2">
            <w:pPr>
              <w:widowControl w:val="0"/>
              <w:autoSpaceDE w:val="0"/>
              <w:autoSpaceDN w:val="0"/>
              <w:adjustRightInd w:val="0"/>
              <w:spacing w:after="0" w:line="360" w:lineRule="auto"/>
              <w:jc w:val="both"/>
              <w:rPr>
                <w:rFonts w:ascii="Arial" w:hAnsi="Arial" w:cs="Arial"/>
                <w:b/>
                <w:bCs/>
                <w:iCs/>
                <w:sz w:val="24"/>
                <w:szCs w:val="24"/>
              </w:rPr>
            </w:pPr>
            <w:r>
              <w:rPr>
                <w:rFonts w:ascii="Arial" w:hAnsi="Arial" w:cs="Arial"/>
                <w:sz w:val="24"/>
                <w:szCs w:val="24"/>
              </w:rPr>
              <w:t xml:space="preserve">Manuals and    Guidelines                           </w:t>
            </w:r>
          </w:p>
        </w:tc>
        <w:tc>
          <w:tcPr>
            <w:tcW w:w="6125" w:type="dxa"/>
          </w:tcPr>
          <w:p w14:paraId="13A387DE">
            <w:pPr>
              <w:widowControl w:val="0"/>
              <w:autoSpaceDE w:val="0"/>
              <w:autoSpaceDN w:val="0"/>
              <w:adjustRightInd w:val="0"/>
              <w:spacing w:after="0" w:line="360" w:lineRule="auto"/>
              <w:jc w:val="both"/>
              <w:rPr>
                <w:rFonts w:ascii="Arial" w:hAnsi="Arial" w:cs="Arial"/>
                <w:b/>
                <w:bCs/>
                <w:iCs/>
                <w:sz w:val="24"/>
                <w:szCs w:val="24"/>
              </w:rPr>
            </w:pPr>
            <w:r>
              <w:rPr>
                <w:rFonts w:ascii="Arial" w:hAnsi="Arial" w:cs="Arial"/>
                <w:sz w:val="24"/>
                <w:szCs w:val="24"/>
              </w:rPr>
              <w:t xml:space="preserve">Schemes of Service, Staff Rules, Financial Regulations, </w:t>
            </w:r>
            <w:r>
              <w:rPr>
                <w:rFonts w:ascii="Arial" w:hAnsi="Arial" w:eastAsia="Times New Roman" w:cs="Arial"/>
                <w:bCs/>
                <w:sz w:val="24"/>
                <w:szCs w:val="24"/>
                <w:lang w:val="en-GB"/>
              </w:rPr>
              <w:t>Board Charter, Code of Ethics and Conduct, Client Service Charter, Accounting Manual.</w:t>
            </w:r>
          </w:p>
        </w:tc>
      </w:tr>
      <w:tr w14:paraId="1AD67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03" w:type="dxa"/>
          </w:tcPr>
          <w:p w14:paraId="30A9C600">
            <w:pPr>
              <w:widowControl w:val="0"/>
              <w:autoSpaceDE w:val="0"/>
              <w:autoSpaceDN w:val="0"/>
              <w:adjustRightInd w:val="0"/>
              <w:spacing w:after="0" w:line="360" w:lineRule="auto"/>
              <w:jc w:val="both"/>
              <w:rPr>
                <w:rFonts w:ascii="Arial" w:hAnsi="Arial" w:cs="Arial"/>
                <w:b/>
                <w:bCs/>
                <w:iCs/>
                <w:sz w:val="24"/>
                <w:szCs w:val="24"/>
              </w:rPr>
            </w:pPr>
            <w:r>
              <w:rPr>
                <w:rFonts w:ascii="Arial" w:hAnsi="Arial" w:cs="Arial"/>
                <w:sz w:val="24"/>
                <w:szCs w:val="24"/>
              </w:rPr>
              <w:t>Parties</w:t>
            </w:r>
          </w:p>
        </w:tc>
        <w:tc>
          <w:tcPr>
            <w:tcW w:w="6125" w:type="dxa"/>
          </w:tcPr>
          <w:p w14:paraId="7C1DB5DA">
            <w:pPr>
              <w:widowControl w:val="0"/>
              <w:autoSpaceDE w:val="0"/>
              <w:autoSpaceDN w:val="0"/>
              <w:adjustRightInd w:val="0"/>
              <w:spacing w:after="0" w:line="360" w:lineRule="auto"/>
              <w:jc w:val="both"/>
              <w:rPr>
                <w:rFonts w:ascii="Arial" w:hAnsi="Arial" w:cs="Arial"/>
                <w:b/>
                <w:bCs/>
                <w:iCs/>
                <w:sz w:val="24"/>
                <w:szCs w:val="24"/>
              </w:rPr>
            </w:pPr>
            <w:r>
              <w:rPr>
                <w:rFonts w:ascii="Arial" w:hAnsi="Arial" w:cs="Arial"/>
                <w:sz w:val="24"/>
                <w:szCs w:val="24"/>
              </w:rPr>
              <w:t>Treasury Registrar and the Board</w:t>
            </w:r>
          </w:p>
        </w:tc>
      </w:tr>
      <w:tr w14:paraId="242EE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03" w:type="dxa"/>
          </w:tcPr>
          <w:p w14:paraId="3025EA13">
            <w:pPr>
              <w:widowControl w:val="0"/>
              <w:autoSpaceDE w:val="0"/>
              <w:autoSpaceDN w:val="0"/>
              <w:adjustRightInd w:val="0"/>
              <w:spacing w:after="0" w:line="360" w:lineRule="auto"/>
              <w:jc w:val="both"/>
              <w:rPr>
                <w:rFonts w:ascii="Arial" w:hAnsi="Arial" w:cs="Arial"/>
                <w:b/>
                <w:bCs/>
                <w:iCs/>
                <w:sz w:val="24"/>
                <w:szCs w:val="24"/>
              </w:rPr>
            </w:pPr>
            <w:r>
              <w:rPr>
                <w:rFonts w:ascii="Arial" w:hAnsi="Arial" w:cs="Arial"/>
                <w:iCs/>
                <w:sz w:val="24"/>
                <w:szCs w:val="24"/>
              </w:rPr>
              <w:t>Strategic Objectives</w:t>
            </w:r>
          </w:p>
        </w:tc>
        <w:tc>
          <w:tcPr>
            <w:tcW w:w="6125" w:type="dxa"/>
          </w:tcPr>
          <w:p w14:paraId="3991A9E1">
            <w:pPr>
              <w:widowControl w:val="0"/>
              <w:autoSpaceDE w:val="0"/>
              <w:autoSpaceDN w:val="0"/>
              <w:adjustRightInd w:val="0"/>
              <w:spacing w:after="0" w:line="360" w:lineRule="auto"/>
              <w:jc w:val="both"/>
              <w:rPr>
                <w:rFonts w:ascii="Arial" w:hAnsi="Arial" w:cs="Arial"/>
                <w:b/>
                <w:bCs/>
                <w:iCs/>
                <w:sz w:val="24"/>
                <w:szCs w:val="24"/>
              </w:rPr>
            </w:pPr>
            <w:r>
              <w:rPr>
                <w:rFonts w:ascii="Arial" w:hAnsi="Arial" w:cs="Arial"/>
                <w:sz w:val="24"/>
                <w:szCs w:val="24"/>
              </w:rPr>
              <w:t>Statement that translates the vision and goals into realistic, clearly defined and measurable targets, which can be achieved within a specified time frame</w:t>
            </w:r>
          </w:p>
        </w:tc>
      </w:tr>
      <w:tr w14:paraId="45A75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03" w:type="dxa"/>
          </w:tcPr>
          <w:p w14:paraId="358BC1E9">
            <w:pPr>
              <w:widowControl w:val="0"/>
              <w:autoSpaceDE w:val="0"/>
              <w:autoSpaceDN w:val="0"/>
              <w:adjustRightInd w:val="0"/>
              <w:spacing w:after="0" w:line="360" w:lineRule="auto"/>
              <w:jc w:val="both"/>
              <w:rPr>
                <w:rFonts w:ascii="Arial" w:hAnsi="Arial" w:cs="Arial"/>
                <w:b/>
                <w:bCs/>
                <w:iCs/>
                <w:sz w:val="24"/>
                <w:szCs w:val="24"/>
              </w:rPr>
            </w:pPr>
            <w:r>
              <w:rPr>
                <w:rFonts w:ascii="Arial" w:hAnsi="Arial" w:cs="Arial"/>
                <w:bCs/>
                <w:iCs/>
                <w:sz w:val="24"/>
                <w:szCs w:val="24"/>
              </w:rPr>
              <w:t>PICS</w:t>
            </w:r>
          </w:p>
        </w:tc>
        <w:tc>
          <w:tcPr>
            <w:tcW w:w="6125" w:type="dxa"/>
          </w:tcPr>
          <w:p w14:paraId="4D9AC5E9">
            <w:pPr>
              <w:widowControl w:val="0"/>
              <w:autoSpaceDE w:val="0"/>
              <w:autoSpaceDN w:val="0"/>
              <w:adjustRightInd w:val="0"/>
              <w:spacing w:after="0" w:line="360" w:lineRule="auto"/>
              <w:jc w:val="both"/>
              <w:rPr>
                <w:rFonts w:ascii="Arial" w:hAnsi="Arial" w:cs="Arial"/>
                <w:b/>
                <w:bCs/>
                <w:iCs/>
                <w:sz w:val="24"/>
                <w:szCs w:val="24"/>
              </w:rPr>
            </w:pPr>
            <w:r>
              <w:rPr>
                <w:rFonts w:ascii="Arial" w:hAnsi="Arial" w:eastAsia="Times New Roman" w:cs="Arial"/>
                <w:sz w:val="24"/>
                <w:szCs w:val="24"/>
              </w:rPr>
              <w:t>Public Institutions and Statutory Corporations</w:t>
            </w:r>
          </w:p>
        </w:tc>
      </w:tr>
    </w:tbl>
    <w:p w14:paraId="03AF5C5F">
      <w:pPr>
        <w:widowControl w:val="0"/>
        <w:autoSpaceDE w:val="0"/>
        <w:autoSpaceDN w:val="0"/>
        <w:adjustRightInd w:val="0"/>
        <w:spacing w:after="0" w:line="360" w:lineRule="auto"/>
        <w:jc w:val="both"/>
        <w:rPr>
          <w:rFonts w:ascii="Arial" w:hAnsi="Arial" w:cs="Arial"/>
          <w:b/>
          <w:bCs/>
          <w:sz w:val="24"/>
          <w:szCs w:val="24"/>
        </w:rPr>
      </w:pPr>
      <w:r>
        <w:rPr>
          <w:rFonts w:ascii="Arial" w:hAnsi="Arial" w:cs="Arial"/>
          <w:b/>
          <w:bCs/>
          <w:iCs/>
          <w:sz w:val="24"/>
          <w:szCs w:val="24"/>
        </w:rPr>
        <w:tab/>
      </w:r>
      <w:r>
        <w:rPr>
          <w:rFonts w:ascii="Arial" w:hAnsi="Arial" w:cs="Arial"/>
          <w:b/>
          <w:bCs/>
          <w:i/>
          <w:iCs/>
          <w:sz w:val="24"/>
          <w:szCs w:val="24"/>
        </w:rPr>
        <w:tab/>
      </w:r>
      <w:r>
        <w:rPr>
          <w:rFonts w:ascii="Arial" w:hAnsi="Arial" w:cs="Arial"/>
          <w:b/>
          <w:bCs/>
          <w:i/>
          <w:iCs/>
          <w:sz w:val="24"/>
          <w:szCs w:val="24"/>
        </w:rPr>
        <w:tab/>
      </w:r>
      <w:r>
        <w:rPr>
          <w:rFonts w:ascii="Arial" w:hAnsi="Arial" w:cs="Arial"/>
          <w:b/>
          <w:bCs/>
          <w:i/>
          <w:iCs/>
          <w:sz w:val="24"/>
          <w:szCs w:val="24"/>
        </w:rPr>
        <w:tab/>
      </w:r>
      <w:r>
        <w:rPr>
          <w:rFonts w:ascii="Arial" w:hAnsi="Arial" w:cs="Arial"/>
          <w:b/>
          <w:bCs/>
          <w:i/>
          <w:iCs/>
          <w:sz w:val="24"/>
          <w:szCs w:val="24"/>
        </w:rPr>
        <w:t xml:space="preserve">    </w:t>
      </w:r>
      <w:r>
        <w:rPr>
          <w:rFonts w:ascii="Arial" w:hAnsi="Arial" w:cs="Arial"/>
          <w:iCs/>
          <w:sz w:val="24"/>
          <w:szCs w:val="24"/>
        </w:rPr>
        <w:tab/>
      </w:r>
      <w:r>
        <w:rPr>
          <w:rFonts w:ascii="Arial" w:hAnsi="Arial" w:cs="Arial"/>
          <w:iCs/>
          <w:sz w:val="24"/>
          <w:szCs w:val="24"/>
        </w:rPr>
        <w:tab/>
      </w:r>
    </w:p>
    <w:p w14:paraId="79775E15">
      <w:pPr>
        <w:numPr>
          <w:ilvl w:val="0"/>
          <w:numId w:val="2"/>
        </w:numPr>
        <w:spacing w:after="0" w:line="360" w:lineRule="auto"/>
        <w:jc w:val="both"/>
        <w:rPr>
          <w:rFonts w:ascii="Arial" w:hAnsi="Arial" w:eastAsia="Times New Roman" w:cs="Arial"/>
          <w:b/>
          <w:sz w:val="24"/>
          <w:szCs w:val="24"/>
          <w:lang w:val="en-GB"/>
        </w:rPr>
      </w:pPr>
      <w:r>
        <w:rPr>
          <w:rFonts w:ascii="Arial" w:hAnsi="Arial" w:eastAsia="Times New Roman" w:cs="Arial"/>
          <w:b/>
          <w:sz w:val="24"/>
          <w:szCs w:val="24"/>
          <w:lang w:val="en-GB"/>
        </w:rPr>
        <w:t>OBJECTIVES OF PERFORMANCE CONTRACT</w:t>
      </w:r>
    </w:p>
    <w:p w14:paraId="736146F5">
      <w:pPr>
        <w:numPr>
          <w:ilvl w:val="1"/>
          <w:numId w:val="2"/>
        </w:numPr>
        <w:autoSpaceDE w:val="0"/>
        <w:autoSpaceDN w:val="0"/>
        <w:adjustRightInd w:val="0"/>
        <w:spacing w:after="0" w:line="360" w:lineRule="auto"/>
        <w:jc w:val="both"/>
        <w:rPr>
          <w:rFonts w:ascii="Arial" w:hAnsi="Arial" w:eastAsia="Times New Roman" w:cs="Arial"/>
          <w:sz w:val="24"/>
          <w:szCs w:val="24"/>
          <w:lang w:val="en-GB"/>
        </w:rPr>
      </w:pPr>
      <w:r>
        <w:rPr>
          <w:rFonts w:ascii="Arial" w:hAnsi="Arial" w:eastAsia="Times New Roman" w:cs="Arial"/>
          <w:sz w:val="24"/>
          <w:szCs w:val="24"/>
          <w:lang w:val="en-GB"/>
        </w:rPr>
        <w:t>To comply with Section 10 (2) (k) of the Act;</w:t>
      </w:r>
    </w:p>
    <w:p w14:paraId="75EC249B">
      <w:pPr>
        <w:numPr>
          <w:ilvl w:val="1"/>
          <w:numId w:val="2"/>
        </w:numPr>
        <w:autoSpaceDE w:val="0"/>
        <w:autoSpaceDN w:val="0"/>
        <w:adjustRightInd w:val="0"/>
        <w:spacing w:after="0" w:line="360" w:lineRule="auto"/>
        <w:jc w:val="both"/>
        <w:rPr>
          <w:rFonts w:ascii="Arial" w:hAnsi="Arial" w:eastAsia="Times New Roman" w:cs="Arial"/>
          <w:sz w:val="24"/>
          <w:szCs w:val="24"/>
          <w:lang w:val="en-GB"/>
        </w:rPr>
      </w:pPr>
      <w:r>
        <w:rPr>
          <w:rFonts w:ascii="Arial" w:hAnsi="Arial" w:eastAsia="Times New Roman" w:cs="Arial"/>
          <w:sz w:val="24"/>
          <w:szCs w:val="24"/>
          <w:lang w:val="en-GB"/>
        </w:rPr>
        <w:t>To define objectives and targets to be performed by the Council of the institution entering the contract;</w:t>
      </w:r>
    </w:p>
    <w:p w14:paraId="7F453508">
      <w:pPr>
        <w:numPr>
          <w:ilvl w:val="1"/>
          <w:numId w:val="2"/>
        </w:numPr>
        <w:autoSpaceDE w:val="0"/>
        <w:autoSpaceDN w:val="0"/>
        <w:adjustRightInd w:val="0"/>
        <w:spacing w:after="0" w:line="360" w:lineRule="auto"/>
        <w:jc w:val="both"/>
        <w:rPr>
          <w:rFonts w:ascii="Arial" w:hAnsi="Arial" w:eastAsia="Times New Roman" w:cs="Arial"/>
          <w:sz w:val="24"/>
          <w:szCs w:val="24"/>
          <w:lang w:val="en-GB"/>
        </w:rPr>
      </w:pPr>
      <w:r>
        <w:rPr>
          <w:rFonts w:ascii="Arial" w:hAnsi="Arial" w:eastAsia="Times New Roman" w:cs="Arial"/>
          <w:sz w:val="24"/>
          <w:szCs w:val="24"/>
          <w:lang w:val="en-GB"/>
        </w:rPr>
        <w:t>To monitor and measure performance against targeted output; and</w:t>
      </w:r>
    </w:p>
    <w:p w14:paraId="1D10754F">
      <w:pPr>
        <w:numPr>
          <w:ilvl w:val="1"/>
          <w:numId w:val="2"/>
        </w:numPr>
        <w:autoSpaceDE w:val="0"/>
        <w:autoSpaceDN w:val="0"/>
        <w:adjustRightInd w:val="0"/>
        <w:spacing w:after="0" w:line="360" w:lineRule="auto"/>
        <w:jc w:val="both"/>
        <w:rPr>
          <w:rFonts w:ascii="Arial" w:hAnsi="Arial" w:eastAsia="Times New Roman" w:cs="Arial"/>
          <w:sz w:val="24"/>
          <w:szCs w:val="24"/>
          <w:lang w:val="en-GB"/>
        </w:rPr>
      </w:pPr>
      <w:r>
        <w:rPr>
          <w:rFonts w:ascii="Arial" w:hAnsi="Arial" w:eastAsia="Times New Roman" w:cs="Arial"/>
          <w:sz w:val="24"/>
          <w:szCs w:val="24"/>
          <w:lang w:val="en-GB"/>
        </w:rPr>
        <w:t xml:space="preserve">To use Performance Contracts and Performance Plans as the basis for assessing efficiency and effectiveness of the Board.  </w:t>
      </w:r>
    </w:p>
    <w:p w14:paraId="1B7125DA">
      <w:pPr>
        <w:spacing w:after="0" w:line="360" w:lineRule="auto"/>
        <w:jc w:val="both"/>
        <w:rPr>
          <w:rFonts w:ascii="Arial" w:hAnsi="Arial" w:eastAsia="Times New Roman" w:cs="Arial"/>
          <w:b/>
          <w:bCs/>
          <w:sz w:val="24"/>
          <w:szCs w:val="24"/>
          <w:lang w:val="en-GB"/>
        </w:rPr>
      </w:pPr>
    </w:p>
    <w:p w14:paraId="5EC5E0FA">
      <w:pPr>
        <w:numPr>
          <w:ilvl w:val="0"/>
          <w:numId w:val="2"/>
        </w:numPr>
        <w:spacing w:after="0" w:line="360" w:lineRule="auto"/>
        <w:jc w:val="both"/>
        <w:rPr>
          <w:rFonts w:ascii="Arial" w:hAnsi="Arial" w:eastAsia="Times New Roman" w:cs="Arial"/>
          <w:b/>
          <w:sz w:val="24"/>
          <w:szCs w:val="24"/>
          <w:lang w:val="en-GB"/>
        </w:rPr>
      </w:pPr>
      <w:r>
        <w:rPr>
          <w:rFonts w:ascii="Arial" w:hAnsi="Arial" w:eastAsia="Times New Roman" w:cs="Arial"/>
          <w:b/>
          <w:sz w:val="24"/>
          <w:szCs w:val="24"/>
          <w:lang w:val="en-GB"/>
        </w:rPr>
        <w:t xml:space="preserve">THE AGREEMENT BETWEEN THE PARTIES  </w:t>
      </w:r>
    </w:p>
    <w:p w14:paraId="6854CD48">
      <w:pPr>
        <w:spacing w:after="0" w:line="360" w:lineRule="auto"/>
        <w:ind w:left="1080"/>
        <w:jc w:val="both"/>
        <w:rPr>
          <w:rFonts w:ascii="Arial" w:hAnsi="Arial" w:eastAsia="Times New Roman" w:cs="Arial"/>
          <w:b/>
          <w:sz w:val="24"/>
          <w:szCs w:val="24"/>
          <w:lang w:val="en-GB"/>
        </w:rPr>
      </w:pPr>
    </w:p>
    <w:p w14:paraId="185423AB">
      <w:pPr>
        <w:numPr>
          <w:ilvl w:val="1"/>
          <w:numId w:val="2"/>
        </w:numPr>
        <w:autoSpaceDE w:val="0"/>
        <w:autoSpaceDN w:val="0"/>
        <w:adjustRightInd w:val="0"/>
        <w:spacing w:after="0" w:line="360" w:lineRule="auto"/>
        <w:ind w:left="709" w:hanging="709"/>
        <w:jc w:val="both"/>
        <w:rPr>
          <w:rFonts w:ascii="Arial" w:hAnsi="Arial" w:eastAsia="Times New Roman" w:cs="Arial"/>
          <w:b/>
          <w:sz w:val="24"/>
          <w:szCs w:val="24"/>
        </w:rPr>
      </w:pPr>
      <w:r>
        <w:rPr>
          <w:rFonts w:ascii="Arial" w:hAnsi="Arial" w:eastAsia="Times New Roman" w:cs="Arial"/>
          <w:sz w:val="24"/>
          <w:szCs w:val="24"/>
        </w:rPr>
        <w:t xml:space="preserve">The </w:t>
      </w:r>
      <w:r>
        <w:rPr>
          <w:rFonts w:ascii="Arial" w:hAnsi="Arial" w:eastAsia="Times New Roman" w:cs="Arial"/>
          <w:b/>
          <w:sz w:val="24"/>
          <w:szCs w:val="24"/>
        </w:rPr>
        <w:t>Treasury Registrar</w:t>
      </w:r>
      <w:r>
        <w:rPr>
          <w:rFonts w:ascii="Arial" w:hAnsi="Arial" w:eastAsia="Times New Roman" w:cs="Arial"/>
          <w:sz w:val="24"/>
          <w:szCs w:val="24"/>
        </w:rPr>
        <w:t xml:space="preserve"> is entering into this Performance Contract with the </w:t>
      </w:r>
      <w:r>
        <w:rPr>
          <w:rFonts w:ascii="Arial" w:hAnsi="Arial" w:cs="Arial"/>
          <w:b/>
          <w:sz w:val="24"/>
          <w:szCs w:val="24"/>
        </w:rPr>
        <w:t>Board</w:t>
      </w:r>
      <w:r>
        <w:rPr>
          <w:rFonts w:ascii="Arial" w:hAnsi="Arial" w:eastAsia="Times New Roman" w:cs="Arial"/>
          <w:sz w:val="24"/>
          <w:szCs w:val="24"/>
        </w:rPr>
        <w:t xml:space="preserve">  to clearly define the working relationship between  itself  and the Institution regarding the contribution of the latter in achievement of the national development goals and objectives stipulated in its establishment instrument, as well as National Medium Term and Long Term Strategies (Vision 2025, Five Years Development Plan) and various national policies, and the agreed Key Performance Indicators are as provided in this Contract;</w:t>
      </w:r>
    </w:p>
    <w:p w14:paraId="6EE908CC">
      <w:pPr>
        <w:pStyle w:val="11"/>
        <w:spacing w:line="360" w:lineRule="auto"/>
        <w:rPr>
          <w:rFonts w:ascii="Arial" w:hAnsi="Arial" w:cs="Arial"/>
          <w:sz w:val="24"/>
          <w:szCs w:val="24"/>
        </w:rPr>
      </w:pPr>
    </w:p>
    <w:p w14:paraId="7D03645B">
      <w:pPr>
        <w:numPr>
          <w:ilvl w:val="1"/>
          <w:numId w:val="2"/>
        </w:numPr>
        <w:autoSpaceDE w:val="0"/>
        <w:autoSpaceDN w:val="0"/>
        <w:adjustRightInd w:val="0"/>
        <w:spacing w:after="0" w:line="360" w:lineRule="auto"/>
        <w:ind w:left="709" w:hanging="709"/>
        <w:jc w:val="both"/>
        <w:rPr>
          <w:rFonts w:ascii="Arial" w:hAnsi="Arial" w:cs="Arial"/>
          <w:sz w:val="24"/>
          <w:szCs w:val="24"/>
          <w:lang w:val="en-GB"/>
        </w:rPr>
      </w:pPr>
      <w:r>
        <w:rPr>
          <w:rFonts w:ascii="Arial" w:hAnsi="Arial" w:cs="Arial"/>
          <w:sz w:val="24"/>
          <w:szCs w:val="24"/>
          <w:lang w:val="en-GB"/>
        </w:rPr>
        <w:t xml:space="preserve">The </w:t>
      </w:r>
      <w:r>
        <w:rPr>
          <w:rFonts w:ascii="Arial" w:hAnsi="Arial" w:cs="Arial"/>
          <w:b/>
          <w:sz w:val="24"/>
          <w:szCs w:val="24"/>
        </w:rPr>
        <w:t xml:space="preserve">Board </w:t>
      </w:r>
      <w:r>
        <w:rPr>
          <w:rFonts w:ascii="Arial" w:hAnsi="Arial" w:cs="Arial"/>
          <w:sz w:val="24"/>
          <w:szCs w:val="24"/>
          <w:lang w:val="en-GB"/>
        </w:rPr>
        <w:t>is responsible for formulating internal policies, procedures, rules, and facilitating timely service delivery and ensuring prudent Management of resources in accordance with the policies and procedures in place;</w:t>
      </w:r>
    </w:p>
    <w:p w14:paraId="062DE6C8">
      <w:pPr>
        <w:autoSpaceDE w:val="0"/>
        <w:autoSpaceDN w:val="0"/>
        <w:adjustRightInd w:val="0"/>
        <w:spacing w:after="0" w:line="360" w:lineRule="auto"/>
        <w:ind w:left="1440"/>
        <w:jc w:val="both"/>
        <w:rPr>
          <w:rFonts w:ascii="Arial" w:hAnsi="Arial" w:cs="Arial"/>
          <w:sz w:val="24"/>
          <w:szCs w:val="24"/>
        </w:rPr>
      </w:pPr>
    </w:p>
    <w:p w14:paraId="29FB338A">
      <w:pPr>
        <w:numPr>
          <w:ilvl w:val="1"/>
          <w:numId w:val="2"/>
        </w:numPr>
        <w:autoSpaceDE w:val="0"/>
        <w:autoSpaceDN w:val="0"/>
        <w:adjustRightInd w:val="0"/>
        <w:spacing w:after="0" w:line="360" w:lineRule="auto"/>
        <w:ind w:left="709" w:hanging="709"/>
        <w:jc w:val="both"/>
        <w:rPr>
          <w:rFonts w:ascii="Arial" w:hAnsi="Arial" w:eastAsia="Times New Roman" w:cs="Arial"/>
          <w:sz w:val="24"/>
          <w:szCs w:val="24"/>
        </w:rPr>
      </w:pPr>
      <w:r>
        <w:rPr>
          <w:rFonts w:ascii="Arial" w:hAnsi="Arial" w:eastAsia="Times New Roman" w:cs="Arial"/>
          <w:sz w:val="24"/>
          <w:szCs w:val="24"/>
        </w:rPr>
        <w:t xml:space="preserve">Parties recognize the need for adequate and reasonable managerial and operational autonomy to facilitate achievement by the Board with the Treasury Registrar of the agreed and freely negotiated performance objectives and targets set out in this Contract; </w:t>
      </w:r>
    </w:p>
    <w:p w14:paraId="24F50768">
      <w:pPr>
        <w:autoSpaceDE w:val="0"/>
        <w:autoSpaceDN w:val="0"/>
        <w:adjustRightInd w:val="0"/>
        <w:spacing w:after="0" w:line="360" w:lineRule="auto"/>
        <w:ind w:left="1440"/>
        <w:jc w:val="both"/>
        <w:rPr>
          <w:rFonts w:ascii="Arial" w:hAnsi="Arial" w:cs="Arial"/>
          <w:sz w:val="24"/>
          <w:szCs w:val="24"/>
        </w:rPr>
      </w:pPr>
    </w:p>
    <w:p w14:paraId="6729E530">
      <w:pPr>
        <w:numPr>
          <w:ilvl w:val="1"/>
          <w:numId w:val="2"/>
        </w:numPr>
        <w:autoSpaceDE w:val="0"/>
        <w:autoSpaceDN w:val="0"/>
        <w:adjustRightInd w:val="0"/>
        <w:spacing w:after="0" w:line="360" w:lineRule="auto"/>
        <w:ind w:left="709" w:hanging="709"/>
        <w:jc w:val="both"/>
        <w:rPr>
          <w:rFonts w:ascii="Arial" w:hAnsi="Arial" w:eastAsia="Times New Roman" w:cs="Arial"/>
          <w:sz w:val="24"/>
          <w:szCs w:val="24"/>
        </w:rPr>
      </w:pPr>
      <w:r>
        <w:rPr>
          <w:rFonts w:ascii="Arial" w:hAnsi="Arial" w:eastAsia="Times New Roman" w:cs="Arial"/>
          <w:sz w:val="24"/>
          <w:szCs w:val="24"/>
        </w:rPr>
        <w:t xml:space="preserve">The Parties also recognize the responsibility of the Treasury Registrar, as the shareholder, to assist and facilitate the availability of the required financial resources in line with the supervisory and regulatory requirements, and for the attainment of PICS Strategic Plans; </w:t>
      </w:r>
    </w:p>
    <w:p w14:paraId="4D4A5C6C">
      <w:pPr>
        <w:autoSpaceDE w:val="0"/>
        <w:autoSpaceDN w:val="0"/>
        <w:adjustRightInd w:val="0"/>
        <w:spacing w:after="0" w:line="360" w:lineRule="auto"/>
        <w:ind w:left="1440"/>
        <w:jc w:val="both"/>
        <w:rPr>
          <w:rFonts w:ascii="Arial" w:hAnsi="Arial" w:cs="Arial"/>
          <w:sz w:val="24"/>
          <w:szCs w:val="24"/>
        </w:rPr>
      </w:pPr>
    </w:p>
    <w:p w14:paraId="38C869FC">
      <w:pPr>
        <w:numPr>
          <w:ilvl w:val="1"/>
          <w:numId w:val="2"/>
        </w:numPr>
        <w:autoSpaceDE w:val="0"/>
        <w:autoSpaceDN w:val="0"/>
        <w:adjustRightInd w:val="0"/>
        <w:spacing w:after="0" w:line="360" w:lineRule="auto"/>
        <w:ind w:left="709" w:hanging="709"/>
        <w:jc w:val="both"/>
        <w:rPr>
          <w:rFonts w:ascii="Arial" w:hAnsi="Arial" w:eastAsia="Times New Roman" w:cs="Arial"/>
          <w:sz w:val="24"/>
          <w:szCs w:val="24"/>
        </w:rPr>
      </w:pPr>
      <w:r>
        <w:rPr>
          <w:rFonts w:ascii="Arial" w:hAnsi="Arial" w:eastAsia="Times New Roman" w:cs="Arial"/>
          <w:sz w:val="24"/>
          <w:szCs w:val="24"/>
        </w:rPr>
        <w:t xml:space="preserve">Parties are desirous of enhancing transparency in the management of public resources, improving service delivery and enhancing accountability for positive results; </w:t>
      </w:r>
    </w:p>
    <w:p w14:paraId="7B96BEB6">
      <w:pPr>
        <w:autoSpaceDE w:val="0"/>
        <w:autoSpaceDN w:val="0"/>
        <w:adjustRightInd w:val="0"/>
        <w:spacing w:after="0" w:line="360" w:lineRule="auto"/>
        <w:ind w:left="1440"/>
        <w:jc w:val="both"/>
        <w:rPr>
          <w:rFonts w:ascii="Arial" w:hAnsi="Arial" w:eastAsia="Times New Roman" w:cs="Arial"/>
          <w:sz w:val="24"/>
          <w:szCs w:val="24"/>
        </w:rPr>
      </w:pPr>
    </w:p>
    <w:p w14:paraId="611F47F9">
      <w:pPr>
        <w:numPr>
          <w:ilvl w:val="1"/>
          <w:numId w:val="2"/>
        </w:numPr>
        <w:autoSpaceDE w:val="0"/>
        <w:autoSpaceDN w:val="0"/>
        <w:adjustRightInd w:val="0"/>
        <w:spacing w:after="0" w:line="360" w:lineRule="auto"/>
        <w:ind w:left="709" w:hanging="709"/>
        <w:jc w:val="both"/>
        <w:rPr>
          <w:rFonts w:ascii="Arial" w:hAnsi="Arial" w:eastAsia="Times New Roman" w:cs="Arial"/>
          <w:sz w:val="24"/>
          <w:szCs w:val="24"/>
        </w:rPr>
      </w:pPr>
      <w:r>
        <w:rPr>
          <w:rFonts w:ascii="Arial" w:hAnsi="Arial" w:eastAsia="Times New Roman" w:cs="Arial"/>
          <w:sz w:val="24"/>
          <w:szCs w:val="24"/>
        </w:rPr>
        <w:t xml:space="preserve">The </w:t>
      </w:r>
      <w:r>
        <w:rPr>
          <w:rFonts w:ascii="Arial" w:hAnsi="Arial" w:eastAsia="Times New Roman" w:cs="Arial"/>
          <w:b/>
          <w:sz w:val="24"/>
          <w:szCs w:val="24"/>
        </w:rPr>
        <w:t>Board</w:t>
      </w:r>
      <w:r>
        <w:rPr>
          <w:rFonts w:ascii="Arial" w:hAnsi="Arial" w:eastAsia="Times New Roman" w:cs="Arial"/>
          <w:sz w:val="24"/>
          <w:szCs w:val="24"/>
        </w:rPr>
        <w:t xml:space="preserve"> has indicated its capacity and competence to perform duties and commitments stipulated in the provisions of this Contract; and</w:t>
      </w:r>
    </w:p>
    <w:p w14:paraId="0818FF0A">
      <w:pPr>
        <w:autoSpaceDE w:val="0"/>
        <w:autoSpaceDN w:val="0"/>
        <w:adjustRightInd w:val="0"/>
        <w:spacing w:after="0" w:line="360" w:lineRule="auto"/>
        <w:ind w:left="1440"/>
        <w:jc w:val="both"/>
        <w:rPr>
          <w:rFonts w:ascii="Arial" w:hAnsi="Arial" w:cs="Arial"/>
          <w:sz w:val="24"/>
          <w:szCs w:val="24"/>
        </w:rPr>
      </w:pPr>
    </w:p>
    <w:p w14:paraId="41FCE578">
      <w:pPr>
        <w:numPr>
          <w:ilvl w:val="1"/>
          <w:numId w:val="2"/>
        </w:numPr>
        <w:autoSpaceDE w:val="0"/>
        <w:autoSpaceDN w:val="0"/>
        <w:adjustRightInd w:val="0"/>
        <w:spacing w:after="0" w:line="360" w:lineRule="auto"/>
        <w:ind w:left="709" w:hanging="709"/>
        <w:jc w:val="both"/>
        <w:rPr>
          <w:rFonts w:ascii="Arial" w:hAnsi="Arial" w:eastAsia="Times New Roman" w:cs="Arial"/>
          <w:sz w:val="24"/>
          <w:szCs w:val="24"/>
        </w:rPr>
      </w:pPr>
      <w:r>
        <w:rPr>
          <w:rFonts w:ascii="Arial" w:hAnsi="Arial" w:eastAsia="Times New Roman" w:cs="Arial"/>
          <w:sz w:val="24"/>
          <w:szCs w:val="24"/>
        </w:rPr>
        <w:t>Parties have agreed that the performance of the Board in relation to this contract shall be reviewed annually.</w:t>
      </w:r>
    </w:p>
    <w:p w14:paraId="1DFC0756">
      <w:pPr>
        <w:autoSpaceDE w:val="0"/>
        <w:autoSpaceDN w:val="0"/>
        <w:adjustRightInd w:val="0"/>
        <w:spacing w:after="0" w:line="360" w:lineRule="auto"/>
        <w:jc w:val="both"/>
        <w:rPr>
          <w:rFonts w:ascii="Arial" w:hAnsi="Arial" w:eastAsia="Times New Roman" w:cs="Arial"/>
          <w:sz w:val="24"/>
          <w:szCs w:val="24"/>
        </w:rPr>
      </w:pPr>
    </w:p>
    <w:p w14:paraId="68B22071">
      <w:pPr>
        <w:rPr>
          <w:rFonts w:ascii="Arial" w:hAnsi="Arial" w:cs="Arial"/>
          <w:sz w:val="24"/>
          <w:szCs w:val="24"/>
        </w:rPr>
        <w:sectPr>
          <w:footerReference r:id="rId5" w:type="default"/>
          <w:pgSz w:w="12240" w:h="15840"/>
          <w:pgMar w:top="1440" w:right="1440" w:bottom="1440" w:left="1440" w:header="720" w:footer="720" w:gutter="0"/>
          <w:pgBorders w:display="firstPage" w:offsetFrom="page">
            <w:top w:val="thinThickSmallGap" w:color="auto" w:sz="24" w:space="24"/>
            <w:left w:val="thinThickSmallGap" w:color="auto" w:sz="24" w:space="24"/>
            <w:bottom w:val="thickThinSmallGap" w:color="auto" w:sz="24" w:space="24"/>
            <w:right w:val="thickThinSmallGap" w:color="auto" w:sz="24" w:space="24"/>
          </w:pgBorders>
          <w:cols w:space="720" w:num="1"/>
          <w:titlePg/>
          <w:docGrid w:linePitch="360" w:charSpace="0"/>
        </w:sectPr>
      </w:pPr>
    </w:p>
    <w:p w14:paraId="149383B8">
      <w:pPr>
        <w:numPr>
          <w:ilvl w:val="0"/>
          <w:numId w:val="2"/>
        </w:numPr>
        <w:spacing w:after="0" w:line="360" w:lineRule="auto"/>
        <w:jc w:val="both"/>
        <w:rPr>
          <w:rFonts w:ascii="Arial" w:hAnsi="Arial" w:cs="Arial"/>
          <w:b/>
          <w:sz w:val="24"/>
          <w:szCs w:val="24"/>
        </w:rPr>
      </w:pPr>
      <w:r>
        <w:rPr>
          <w:rFonts w:ascii="Arial" w:hAnsi="Arial" w:cs="Arial"/>
          <w:b/>
          <w:sz w:val="24"/>
          <w:szCs w:val="24"/>
        </w:rPr>
        <w:t xml:space="preserve"> KEY PERFORMANCE INDICATORS FOR TANZANIA RAILWAY CORPORATION (TRC)</w:t>
      </w:r>
    </w:p>
    <w:p w14:paraId="3EFA349A">
      <w:pPr>
        <w:pStyle w:val="11"/>
        <w:autoSpaceDE w:val="0"/>
        <w:autoSpaceDN w:val="0"/>
        <w:adjustRightInd w:val="0"/>
        <w:spacing w:after="0"/>
        <w:rPr>
          <w:rFonts w:ascii="Arial" w:hAnsi="Arial" w:cs="Arial"/>
          <w:b/>
          <w:sz w:val="24"/>
          <w:szCs w:val="24"/>
        </w:rPr>
      </w:pPr>
    </w:p>
    <w:p w14:paraId="1232E3A5">
      <w:pPr>
        <w:autoSpaceDE w:val="0"/>
        <w:autoSpaceDN w:val="0"/>
        <w:adjustRightInd w:val="0"/>
        <w:spacing w:after="0" w:line="360" w:lineRule="auto"/>
        <w:jc w:val="both"/>
        <w:rPr>
          <w:rFonts w:ascii="Arial" w:hAnsi="Arial" w:cs="Arial"/>
          <w:b/>
          <w:sz w:val="24"/>
          <w:szCs w:val="24"/>
        </w:rPr>
      </w:pPr>
      <w:r>
        <w:rPr>
          <w:rFonts w:ascii="Arial" w:hAnsi="Arial" w:cs="Arial"/>
          <w:sz w:val="24"/>
          <w:szCs w:val="24"/>
        </w:rPr>
        <w:t xml:space="preserve">This section will have five parts namely </w:t>
      </w:r>
      <w:bookmarkStart w:id="1" w:name="_Hlk205384137"/>
      <w:r>
        <w:rPr>
          <w:rFonts w:ascii="Arial" w:hAnsi="Arial" w:cs="Arial"/>
          <w:sz w:val="24"/>
          <w:szCs w:val="24"/>
        </w:rPr>
        <w:t>People Management, Customer Service, Environmental Sustainability, Good Governance and Control</w:t>
      </w:r>
      <w:r>
        <w:rPr>
          <w:rFonts w:hint="default" w:ascii="Arial" w:hAnsi="Arial" w:cs="Arial"/>
          <w:sz w:val="24"/>
          <w:szCs w:val="24"/>
          <w:lang w:val="en-US"/>
        </w:rPr>
        <w:t xml:space="preserve">, </w:t>
      </w:r>
      <w:r>
        <w:rPr>
          <w:rFonts w:ascii="Arial" w:hAnsi="Arial" w:cs="Arial"/>
          <w:sz w:val="24"/>
          <w:szCs w:val="24"/>
        </w:rPr>
        <w:t xml:space="preserve"> Core Function/Industry-Specific KPIs and </w:t>
      </w:r>
      <w:bookmarkStart w:id="2" w:name="_Hlk205377253"/>
      <w:r>
        <w:rPr>
          <w:rFonts w:ascii="Arial" w:hAnsi="Arial" w:cs="Arial"/>
          <w:sz w:val="24"/>
          <w:szCs w:val="24"/>
        </w:rPr>
        <w:t xml:space="preserve">Financial Performance. </w:t>
      </w:r>
      <w:bookmarkEnd w:id="1"/>
      <w:bookmarkEnd w:id="2"/>
    </w:p>
    <w:p w14:paraId="7FB569E6">
      <w:pPr>
        <w:spacing w:after="0"/>
        <w:jc w:val="center"/>
        <w:rPr>
          <w:rFonts w:ascii="Arial" w:hAnsi="Arial" w:eastAsia="Times New Roman" w:cs="Arial"/>
          <w:b/>
          <w:bCs/>
          <w:sz w:val="24"/>
          <w:szCs w:val="24"/>
        </w:rPr>
      </w:pPr>
    </w:p>
    <w:p w14:paraId="5A595BA8">
      <w:pPr>
        <w:spacing w:after="0"/>
        <w:jc w:val="center"/>
        <w:rPr>
          <w:rFonts w:ascii="Arial" w:hAnsi="Arial" w:eastAsia="Times New Roman" w:cs="Arial"/>
          <w:b/>
          <w:bCs/>
          <w:sz w:val="24"/>
          <w:szCs w:val="24"/>
        </w:rPr>
      </w:pPr>
    </w:p>
    <w:p w14:paraId="6DAC9530">
      <w:pPr>
        <w:numPr>
          <w:ilvl w:val="0"/>
          <w:numId w:val="3"/>
        </w:numPr>
        <w:spacing w:after="0" w:line="360" w:lineRule="auto"/>
        <w:contextualSpacing/>
        <w:jc w:val="center"/>
        <w:rPr>
          <w:rFonts w:ascii="Arial" w:hAnsi="Arial" w:cs="Arial" w:eastAsiaTheme="minorEastAsia"/>
          <w:b/>
          <w:sz w:val="24"/>
          <w:szCs w:val="24"/>
          <w:lang w:val="en-GB" w:eastAsia="en-GB"/>
        </w:rPr>
      </w:pPr>
      <w:r>
        <w:rPr>
          <w:rFonts w:ascii="Arial" w:hAnsi="Arial" w:eastAsia="Times New Roman" w:cs="Arial"/>
          <w:b/>
          <w:sz w:val="24"/>
          <w:szCs w:val="24"/>
          <w:lang w:val="en-GB"/>
        </w:rPr>
        <w:t xml:space="preserve">PEOPLE MANAGEMENT (20 SCORES) </w:t>
      </w:r>
    </w:p>
    <w:p w14:paraId="10E43D5D">
      <w:pPr>
        <w:spacing w:after="0" w:line="360" w:lineRule="auto"/>
        <w:jc w:val="both"/>
        <w:rPr>
          <w:rFonts w:ascii="Arial" w:hAnsi="Arial" w:cs="Arial" w:eastAsiaTheme="minorEastAsia"/>
          <w:bCs/>
          <w:sz w:val="24"/>
          <w:szCs w:val="24"/>
          <w:lang w:eastAsia="en-GB"/>
        </w:rPr>
      </w:pPr>
      <w:r>
        <w:rPr>
          <w:rFonts w:ascii="Arial" w:hAnsi="Arial" w:cs="Arial" w:eastAsiaTheme="minorEastAsia"/>
          <w:bCs/>
          <w:sz w:val="24"/>
          <w:szCs w:val="24"/>
          <w:lang w:eastAsia="en-GB"/>
        </w:rPr>
        <w:t>This criterion measures the efficiency of various Human Resource Management practices towards enhancing organizational productivity and sustainability. It covers aspects such as human capital utilization, human capital development, Performance management systems, employee welfare, promotion of an inclusive working environment, and care and fight of HIV, AIDS, and non-communicable disease.</w:t>
      </w:r>
    </w:p>
    <w:tbl>
      <w:tblPr>
        <w:tblStyle w:val="3"/>
        <w:tblW w:w="13547"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4799"/>
        <w:gridCol w:w="2820"/>
        <w:gridCol w:w="1188"/>
        <w:gridCol w:w="1188"/>
        <w:gridCol w:w="1728"/>
        <w:gridCol w:w="1104"/>
      </w:tblGrid>
      <w:tr w14:paraId="7CA84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blHeader/>
        </w:trPr>
        <w:tc>
          <w:tcPr>
            <w:tcW w:w="720" w:type="dxa"/>
            <w:vMerge w:val="restart"/>
            <w:shd w:val="clear" w:color="auto" w:fill="D8D8D8" w:themeFill="background1" w:themeFillShade="D9"/>
            <w:vAlign w:val="center"/>
          </w:tcPr>
          <w:p w14:paraId="1F12D40E">
            <w:pPr>
              <w:spacing w:line="360" w:lineRule="auto"/>
              <w:contextualSpacing/>
              <w:jc w:val="center"/>
              <w:rPr>
                <w:rFonts w:ascii="Arial" w:hAnsi="Arial" w:eastAsia="Times New Roman" w:cs="Arial"/>
                <w:b/>
                <w:bCs/>
                <w:color w:val="000000"/>
                <w:sz w:val="24"/>
                <w:szCs w:val="24"/>
                <w:lang w:eastAsia="en-GB"/>
              </w:rPr>
            </w:pPr>
            <w:bookmarkStart w:id="3" w:name="_Hlk197693649"/>
            <w:r>
              <w:rPr>
                <w:rFonts w:ascii="Arial" w:hAnsi="Arial" w:eastAsia="Times New Roman" w:cs="Arial"/>
                <w:b/>
                <w:bCs/>
                <w:color w:val="000000"/>
                <w:sz w:val="24"/>
                <w:szCs w:val="24"/>
                <w:lang w:eastAsia="en-GB"/>
              </w:rPr>
              <w:t>SN</w:t>
            </w:r>
          </w:p>
        </w:tc>
        <w:tc>
          <w:tcPr>
            <w:tcW w:w="4799" w:type="dxa"/>
            <w:vMerge w:val="restart"/>
            <w:shd w:val="clear" w:color="auto" w:fill="D8D8D8" w:themeFill="background1" w:themeFillShade="D9"/>
            <w:noWrap/>
            <w:vAlign w:val="center"/>
          </w:tcPr>
          <w:p w14:paraId="305DEA90">
            <w:pPr>
              <w:spacing w:line="240" w:lineRule="auto"/>
              <w:contextualSpacing/>
              <w:jc w:val="center"/>
              <w:rPr>
                <w:rFonts w:ascii="Arial" w:hAnsi="Arial" w:eastAsia="Times New Roman" w:cs="Arial"/>
                <w:color w:val="000000"/>
                <w:sz w:val="24"/>
                <w:szCs w:val="24"/>
                <w:lang w:eastAsia="en-GB"/>
              </w:rPr>
            </w:pPr>
            <w:r>
              <w:rPr>
                <w:rFonts w:ascii="Arial" w:hAnsi="Arial" w:eastAsia="Times New Roman" w:cs="Arial"/>
                <w:b/>
                <w:color w:val="000000"/>
                <w:sz w:val="24"/>
                <w:szCs w:val="24"/>
                <w:lang w:val="en-GB" w:eastAsia="en-GB"/>
              </w:rPr>
              <w:t>Key Performance Indicators</w:t>
            </w:r>
          </w:p>
        </w:tc>
        <w:tc>
          <w:tcPr>
            <w:tcW w:w="2820" w:type="dxa"/>
            <w:vMerge w:val="restart"/>
            <w:shd w:val="clear" w:color="auto" w:fill="D8D8D8" w:themeFill="background1" w:themeFillShade="D9"/>
            <w:vAlign w:val="center"/>
          </w:tcPr>
          <w:p w14:paraId="1DFC691C">
            <w:pPr>
              <w:spacing w:after="0" w:line="240" w:lineRule="auto"/>
              <w:contextualSpacing/>
              <w:jc w:val="center"/>
              <w:rPr>
                <w:rFonts w:ascii="Arial" w:hAnsi="Arial" w:eastAsia="Times New Roman" w:cs="Arial"/>
                <w:b/>
                <w:color w:val="000000"/>
                <w:sz w:val="24"/>
                <w:szCs w:val="24"/>
                <w:lang w:eastAsia="en-GB"/>
              </w:rPr>
            </w:pPr>
            <w:r>
              <w:rPr>
                <w:rFonts w:ascii="Arial" w:hAnsi="Arial" w:eastAsia="Times New Roman" w:cs="Arial"/>
                <w:b/>
                <w:color w:val="000000"/>
                <w:sz w:val="24"/>
                <w:szCs w:val="24"/>
                <w:lang w:eastAsia="en-GB"/>
              </w:rPr>
              <w:t>Benchmark</w:t>
            </w:r>
          </w:p>
        </w:tc>
        <w:tc>
          <w:tcPr>
            <w:tcW w:w="2376" w:type="dxa"/>
            <w:gridSpan w:val="2"/>
            <w:shd w:val="clear" w:color="auto" w:fill="D8D8D8" w:themeFill="background1" w:themeFillShade="D9"/>
            <w:vAlign w:val="center"/>
          </w:tcPr>
          <w:p w14:paraId="775925FE">
            <w:pPr>
              <w:spacing w:line="360" w:lineRule="auto"/>
              <w:contextualSpacing/>
              <w:jc w:val="center"/>
              <w:rPr>
                <w:rFonts w:ascii="Arial" w:hAnsi="Arial" w:eastAsia="Times New Roman" w:cs="Arial"/>
                <w:b/>
                <w:color w:val="000000"/>
                <w:sz w:val="24"/>
                <w:szCs w:val="24"/>
                <w:lang w:eastAsia="en-GB"/>
              </w:rPr>
            </w:pPr>
            <w:r>
              <w:rPr>
                <w:rFonts w:ascii="Arial" w:hAnsi="Arial" w:eastAsia="Times New Roman" w:cs="Arial"/>
                <w:b/>
                <w:color w:val="000000"/>
                <w:sz w:val="24"/>
                <w:szCs w:val="24"/>
                <w:lang w:val="en-GB" w:eastAsia="en-GB"/>
              </w:rPr>
              <w:t>Baseline</w:t>
            </w:r>
            <w:r>
              <w:rPr>
                <w:rFonts w:ascii="Arial" w:hAnsi="Arial" w:eastAsia="Times New Roman" w:cs="Arial"/>
                <w:b/>
                <w:color w:val="000000"/>
                <w:sz w:val="24"/>
                <w:szCs w:val="24"/>
                <w:lang w:eastAsia="en-GB"/>
              </w:rPr>
              <w:t xml:space="preserve"> Data</w:t>
            </w:r>
          </w:p>
        </w:tc>
        <w:tc>
          <w:tcPr>
            <w:tcW w:w="1728" w:type="dxa"/>
            <w:shd w:val="clear" w:color="auto" w:fill="D8D8D8" w:themeFill="background1" w:themeFillShade="D9"/>
            <w:vAlign w:val="center"/>
          </w:tcPr>
          <w:p w14:paraId="321384C6">
            <w:pPr>
              <w:spacing w:line="360" w:lineRule="auto"/>
              <w:contextualSpacing/>
              <w:jc w:val="center"/>
              <w:rPr>
                <w:rFonts w:ascii="Arial" w:hAnsi="Arial" w:eastAsia="Times New Roman" w:cs="Arial"/>
                <w:b/>
                <w:color w:val="000000"/>
                <w:sz w:val="24"/>
                <w:szCs w:val="24"/>
                <w:lang w:val="en-GB" w:eastAsia="en-GB"/>
              </w:rPr>
            </w:pPr>
            <w:r>
              <w:rPr>
                <w:rFonts w:ascii="Arial" w:hAnsi="Arial" w:eastAsia="Times New Roman" w:cs="Arial"/>
                <w:b/>
                <w:color w:val="000000"/>
                <w:sz w:val="24"/>
                <w:szCs w:val="24"/>
                <w:lang w:val="en-GB" w:eastAsia="en-GB"/>
              </w:rPr>
              <w:t>Indicator Target Value</w:t>
            </w:r>
          </w:p>
        </w:tc>
        <w:tc>
          <w:tcPr>
            <w:tcW w:w="1104" w:type="dxa"/>
            <w:vMerge w:val="restart"/>
            <w:shd w:val="clear" w:color="auto" w:fill="D8D8D8" w:themeFill="background1" w:themeFillShade="D9"/>
            <w:vAlign w:val="center"/>
          </w:tcPr>
          <w:p w14:paraId="31D97161">
            <w:pPr>
              <w:spacing w:after="0" w:line="240" w:lineRule="auto"/>
              <w:contextualSpacing/>
              <w:jc w:val="center"/>
              <w:rPr>
                <w:rFonts w:ascii="Arial" w:hAnsi="Arial" w:eastAsia="Times New Roman" w:cs="Arial"/>
                <w:b/>
                <w:color w:val="000000"/>
                <w:sz w:val="24"/>
                <w:szCs w:val="24"/>
                <w:lang w:val="en-GB" w:eastAsia="en-GB"/>
              </w:rPr>
            </w:pPr>
            <w:r>
              <w:rPr>
                <w:rFonts w:ascii="Arial" w:hAnsi="Arial" w:eastAsia="Times New Roman" w:cs="Arial"/>
                <w:b/>
                <w:color w:val="000000"/>
                <w:sz w:val="24"/>
                <w:szCs w:val="24"/>
                <w:lang w:val="en-GB" w:eastAsia="en-GB"/>
              </w:rPr>
              <w:t>Weight</w:t>
            </w:r>
          </w:p>
          <w:p w14:paraId="7DDF5AB8">
            <w:pPr>
              <w:spacing w:after="0" w:line="240" w:lineRule="auto"/>
              <w:contextualSpacing/>
              <w:jc w:val="center"/>
              <w:rPr>
                <w:rFonts w:ascii="Arial" w:hAnsi="Arial" w:eastAsia="Times New Roman" w:cs="Arial"/>
                <w:b/>
                <w:color w:val="000000"/>
                <w:sz w:val="24"/>
                <w:szCs w:val="24"/>
                <w:lang w:val="en-GB" w:eastAsia="en-GB"/>
              </w:rPr>
            </w:pPr>
            <w:r>
              <w:rPr>
                <w:rFonts w:ascii="Arial" w:hAnsi="Arial" w:eastAsia="Times New Roman" w:cs="Arial"/>
                <w:b/>
                <w:color w:val="000000"/>
                <w:sz w:val="24"/>
                <w:szCs w:val="24"/>
                <w:lang w:val="en-GB" w:eastAsia="en-GB"/>
              </w:rPr>
              <w:t>(%)</w:t>
            </w:r>
          </w:p>
        </w:tc>
      </w:tr>
      <w:tr w14:paraId="7D11B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blHeader/>
        </w:trPr>
        <w:tc>
          <w:tcPr>
            <w:tcW w:w="720" w:type="dxa"/>
            <w:vMerge w:val="continue"/>
            <w:shd w:val="clear" w:color="auto" w:fill="D8D8D8" w:themeFill="background1" w:themeFillShade="D9"/>
            <w:vAlign w:val="center"/>
          </w:tcPr>
          <w:p w14:paraId="5E8A6DD0">
            <w:pPr>
              <w:spacing w:line="360" w:lineRule="auto"/>
              <w:contextualSpacing/>
              <w:jc w:val="center"/>
              <w:rPr>
                <w:rFonts w:ascii="Arial" w:hAnsi="Arial" w:eastAsia="Times New Roman" w:cs="Arial"/>
                <w:color w:val="000000"/>
                <w:sz w:val="24"/>
                <w:szCs w:val="24"/>
                <w:lang w:eastAsia="en-GB"/>
              </w:rPr>
            </w:pPr>
          </w:p>
        </w:tc>
        <w:tc>
          <w:tcPr>
            <w:tcW w:w="4799" w:type="dxa"/>
            <w:vMerge w:val="continue"/>
            <w:shd w:val="clear" w:color="auto" w:fill="D8D8D8" w:themeFill="background1" w:themeFillShade="D9"/>
            <w:noWrap/>
            <w:vAlign w:val="center"/>
          </w:tcPr>
          <w:p w14:paraId="7FA3A225">
            <w:pPr>
              <w:spacing w:line="360" w:lineRule="auto"/>
              <w:contextualSpacing/>
              <w:jc w:val="center"/>
              <w:rPr>
                <w:rFonts w:ascii="Arial" w:hAnsi="Arial" w:eastAsia="Times New Roman" w:cs="Arial"/>
                <w:b/>
                <w:color w:val="000000"/>
                <w:sz w:val="24"/>
                <w:szCs w:val="24"/>
                <w:lang w:val="en-GB" w:eastAsia="en-GB"/>
              </w:rPr>
            </w:pPr>
          </w:p>
        </w:tc>
        <w:tc>
          <w:tcPr>
            <w:tcW w:w="2820" w:type="dxa"/>
            <w:vMerge w:val="continue"/>
            <w:shd w:val="clear" w:color="auto" w:fill="D8D8D8" w:themeFill="background1" w:themeFillShade="D9"/>
            <w:vAlign w:val="center"/>
          </w:tcPr>
          <w:p w14:paraId="439060A0">
            <w:pPr>
              <w:spacing w:line="360" w:lineRule="auto"/>
              <w:contextualSpacing/>
              <w:jc w:val="center"/>
              <w:rPr>
                <w:rFonts w:ascii="Arial" w:hAnsi="Arial" w:eastAsia="Times New Roman" w:cs="Arial"/>
                <w:b/>
                <w:color w:val="000000"/>
                <w:sz w:val="24"/>
                <w:szCs w:val="24"/>
                <w:lang w:val="en-GB" w:eastAsia="en-GB"/>
              </w:rPr>
            </w:pPr>
          </w:p>
        </w:tc>
        <w:tc>
          <w:tcPr>
            <w:tcW w:w="1188" w:type="dxa"/>
            <w:shd w:val="clear" w:color="auto" w:fill="D8D8D8" w:themeFill="background1" w:themeFillShade="D9"/>
            <w:vAlign w:val="center"/>
          </w:tcPr>
          <w:p w14:paraId="14D7A548">
            <w:pPr>
              <w:spacing w:line="360" w:lineRule="auto"/>
              <w:contextualSpacing/>
              <w:jc w:val="center"/>
              <w:rPr>
                <w:rFonts w:ascii="Arial" w:hAnsi="Arial" w:eastAsia="Times New Roman" w:cs="Arial"/>
                <w:b/>
                <w:color w:val="000000"/>
                <w:sz w:val="24"/>
                <w:szCs w:val="24"/>
                <w:lang w:val="en-GB" w:eastAsia="en-GB"/>
              </w:rPr>
            </w:pPr>
            <w:r>
              <w:rPr>
                <w:rFonts w:ascii="Arial" w:hAnsi="Arial" w:eastAsia="Times New Roman" w:cs="Arial"/>
                <w:b/>
                <w:color w:val="000000"/>
                <w:sz w:val="24"/>
                <w:szCs w:val="24"/>
                <w:lang w:val="en-GB" w:eastAsia="en-GB"/>
              </w:rPr>
              <w:t>2023/24</w:t>
            </w:r>
          </w:p>
        </w:tc>
        <w:tc>
          <w:tcPr>
            <w:tcW w:w="1188" w:type="dxa"/>
            <w:shd w:val="clear" w:color="auto" w:fill="D8D8D8" w:themeFill="background1" w:themeFillShade="D9"/>
            <w:vAlign w:val="center"/>
          </w:tcPr>
          <w:p w14:paraId="2FEC75C0">
            <w:pPr>
              <w:spacing w:line="360" w:lineRule="auto"/>
              <w:contextualSpacing/>
              <w:jc w:val="center"/>
              <w:rPr>
                <w:rFonts w:ascii="Arial" w:hAnsi="Arial" w:eastAsia="Times New Roman" w:cs="Arial"/>
                <w:b/>
                <w:color w:val="000000"/>
                <w:sz w:val="24"/>
                <w:szCs w:val="24"/>
                <w:lang w:val="en-GB" w:eastAsia="en-GB"/>
              </w:rPr>
            </w:pPr>
            <w:r>
              <w:rPr>
                <w:rFonts w:ascii="Arial" w:hAnsi="Arial" w:eastAsia="Times New Roman" w:cs="Arial"/>
                <w:b/>
                <w:color w:val="000000"/>
                <w:sz w:val="24"/>
                <w:szCs w:val="24"/>
                <w:lang w:val="en-GB" w:eastAsia="en-GB"/>
              </w:rPr>
              <w:t>2024/25</w:t>
            </w:r>
          </w:p>
        </w:tc>
        <w:tc>
          <w:tcPr>
            <w:tcW w:w="1728" w:type="dxa"/>
            <w:shd w:val="clear" w:color="auto" w:fill="D8D8D8" w:themeFill="background1" w:themeFillShade="D9"/>
            <w:vAlign w:val="center"/>
          </w:tcPr>
          <w:p w14:paraId="1D6E223D">
            <w:pPr>
              <w:spacing w:line="360" w:lineRule="auto"/>
              <w:contextualSpacing/>
              <w:jc w:val="center"/>
              <w:rPr>
                <w:rFonts w:ascii="Arial" w:hAnsi="Arial" w:eastAsia="Times New Roman" w:cs="Arial"/>
                <w:b/>
                <w:color w:val="000000"/>
                <w:sz w:val="24"/>
                <w:szCs w:val="24"/>
                <w:lang w:val="en-GB" w:eastAsia="en-GB"/>
              </w:rPr>
            </w:pPr>
            <w:r>
              <w:rPr>
                <w:rFonts w:ascii="Arial" w:hAnsi="Arial" w:eastAsia="Times New Roman" w:cs="Arial"/>
                <w:b/>
                <w:color w:val="000000"/>
                <w:sz w:val="24"/>
                <w:szCs w:val="24"/>
                <w:lang w:val="en-GB" w:eastAsia="en-GB"/>
              </w:rPr>
              <w:t>2025/2026</w:t>
            </w:r>
          </w:p>
        </w:tc>
        <w:tc>
          <w:tcPr>
            <w:tcW w:w="1104" w:type="dxa"/>
            <w:vMerge w:val="continue"/>
            <w:shd w:val="clear" w:color="auto" w:fill="D8D8D8" w:themeFill="background1" w:themeFillShade="D9"/>
            <w:vAlign w:val="center"/>
          </w:tcPr>
          <w:p w14:paraId="25244FAF">
            <w:pPr>
              <w:spacing w:line="360" w:lineRule="auto"/>
              <w:contextualSpacing/>
              <w:jc w:val="center"/>
              <w:rPr>
                <w:rFonts w:ascii="Arial" w:hAnsi="Arial" w:eastAsia="Times New Roman" w:cs="Arial"/>
                <w:b/>
                <w:color w:val="000000"/>
                <w:sz w:val="24"/>
                <w:szCs w:val="24"/>
                <w:lang w:val="en-GB" w:eastAsia="en-GB"/>
              </w:rPr>
            </w:pPr>
          </w:p>
        </w:tc>
      </w:tr>
      <w:tr w14:paraId="16F9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720" w:type="dxa"/>
          </w:tcPr>
          <w:p w14:paraId="2BCDBB03">
            <w:pPr>
              <w:pStyle w:val="11"/>
              <w:numPr>
                <w:ilvl w:val="0"/>
                <w:numId w:val="4"/>
              </w:numPr>
              <w:spacing w:after="0" w:line="360" w:lineRule="auto"/>
              <w:ind w:left="450"/>
              <w:rPr>
                <w:rFonts w:ascii="Arial" w:hAnsi="Arial" w:cs="Arial"/>
                <w:color w:val="000000"/>
                <w:sz w:val="24"/>
                <w:szCs w:val="24"/>
                <w:lang w:eastAsia="en-GB"/>
              </w:rPr>
            </w:pPr>
          </w:p>
        </w:tc>
        <w:tc>
          <w:tcPr>
            <w:tcW w:w="4799" w:type="dxa"/>
            <w:noWrap/>
          </w:tcPr>
          <w:p w14:paraId="0E8C2D3F">
            <w:pPr>
              <w:spacing w:after="0"/>
              <w:contextualSpacing/>
              <w:rPr>
                <w:rFonts w:ascii="Arial" w:hAnsi="Arial" w:eastAsia="Times New Roman" w:cs="Arial"/>
                <w:color w:val="000000"/>
                <w:sz w:val="24"/>
                <w:szCs w:val="24"/>
                <w:lang w:eastAsia="en-GB"/>
              </w:rPr>
            </w:pPr>
            <w:r>
              <w:rPr>
                <w:rFonts w:ascii="Arial" w:hAnsi="Arial" w:cs="Arial"/>
                <w:color w:val="000000"/>
                <w:sz w:val="24"/>
                <w:szCs w:val="24"/>
              </w:rPr>
              <w:t>Employee satisfaction rate</w:t>
            </w:r>
          </w:p>
        </w:tc>
        <w:tc>
          <w:tcPr>
            <w:tcW w:w="2820" w:type="dxa"/>
          </w:tcPr>
          <w:p w14:paraId="32B0847B">
            <w:pPr>
              <w:spacing w:after="0"/>
              <w:contextualSpacing/>
              <w:jc w:val="left"/>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Increase Year on Year</w:t>
            </w:r>
          </w:p>
        </w:tc>
        <w:tc>
          <w:tcPr>
            <w:tcW w:w="1188" w:type="dxa"/>
            <w:shd w:val="clear" w:color="auto" w:fill="auto"/>
            <w:vAlign w:val="center"/>
          </w:tcPr>
          <w:p w14:paraId="38D73E2C">
            <w:pPr>
              <w:spacing w:line="240" w:lineRule="auto"/>
              <w:contextualSpacing/>
              <w:jc w:val="center"/>
              <w:rPr>
                <w:rFonts w:ascii="Arial" w:hAnsi="Arial" w:eastAsia="Times New Roman" w:cs="Arial"/>
                <w:color w:val="000000"/>
                <w:sz w:val="24"/>
                <w:szCs w:val="24"/>
                <w:lang w:val="en-US" w:eastAsia="en-GB" w:bidi="ar-SA"/>
              </w:rPr>
            </w:pPr>
            <w:r>
              <w:rPr>
                <w:rFonts w:ascii="Arial" w:hAnsi="Arial" w:eastAsia="Times New Roman" w:cs="Arial"/>
                <w:color w:val="000000"/>
                <w:sz w:val="24"/>
                <w:szCs w:val="24"/>
                <w:lang w:eastAsia="en-GB"/>
              </w:rPr>
              <w:t>9</w:t>
            </w:r>
            <w:r>
              <w:rPr>
                <w:rFonts w:hint="default" w:ascii="Arial" w:hAnsi="Arial" w:eastAsia="Times New Roman" w:cs="Arial"/>
                <w:color w:val="000000"/>
                <w:sz w:val="24"/>
                <w:szCs w:val="24"/>
                <w:lang w:val="en-US" w:eastAsia="en-GB"/>
              </w:rPr>
              <w:t>3</w:t>
            </w:r>
            <w:r>
              <w:rPr>
                <w:rFonts w:ascii="Arial" w:hAnsi="Arial" w:eastAsia="Times New Roman" w:cs="Arial"/>
                <w:color w:val="000000"/>
                <w:sz w:val="24"/>
                <w:szCs w:val="24"/>
                <w:lang w:eastAsia="en-GB"/>
              </w:rPr>
              <w:t>.5%</w:t>
            </w:r>
          </w:p>
        </w:tc>
        <w:tc>
          <w:tcPr>
            <w:tcW w:w="1188" w:type="dxa"/>
            <w:vAlign w:val="center"/>
          </w:tcPr>
          <w:p w14:paraId="3478EF82">
            <w:pPr>
              <w:spacing w:after="0" w:line="360" w:lineRule="auto"/>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81%</w:t>
            </w:r>
          </w:p>
        </w:tc>
        <w:tc>
          <w:tcPr>
            <w:tcW w:w="1728" w:type="dxa"/>
            <w:vAlign w:val="center"/>
          </w:tcPr>
          <w:p w14:paraId="1E8919AF">
            <w:pPr>
              <w:spacing w:after="0" w:line="360" w:lineRule="auto"/>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80%</w:t>
            </w:r>
          </w:p>
        </w:tc>
        <w:tc>
          <w:tcPr>
            <w:tcW w:w="1104" w:type="dxa"/>
            <w:vAlign w:val="center"/>
          </w:tcPr>
          <w:p w14:paraId="0CAAFEAF">
            <w:pPr>
              <w:spacing w:after="0" w:line="360" w:lineRule="auto"/>
              <w:contextualSpacing/>
              <w:jc w:val="center"/>
              <w:rPr>
                <w:rFonts w:hint="default" w:ascii="Arial" w:hAnsi="Arial" w:eastAsia="Times New Roman" w:cs="Arial"/>
                <w:b/>
                <w:bCs/>
                <w:color w:val="auto"/>
                <w:sz w:val="24"/>
                <w:szCs w:val="24"/>
                <w:lang w:val="en-US" w:eastAsia="en-GB"/>
              </w:rPr>
            </w:pPr>
            <w:r>
              <w:rPr>
                <w:rFonts w:hint="default" w:ascii="Arial" w:hAnsi="Arial" w:eastAsia="Times New Roman" w:cs="Arial"/>
                <w:b/>
                <w:bCs/>
                <w:color w:val="auto"/>
                <w:sz w:val="24"/>
                <w:szCs w:val="24"/>
                <w:lang w:val="en-US" w:eastAsia="en-GB"/>
              </w:rPr>
              <w:t>3</w:t>
            </w:r>
          </w:p>
        </w:tc>
      </w:tr>
      <w:tr w14:paraId="66E85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20" w:type="dxa"/>
          </w:tcPr>
          <w:p w14:paraId="6EEF2500">
            <w:pPr>
              <w:pStyle w:val="11"/>
              <w:numPr>
                <w:ilvl w:val="0"/>
                <w:numId w:val="4"/>
              </w:numPr>
              <w:spacing w:after="0" w:line="360" w:lineRule="auto"/>
              <w:ind w:left="450"/>
              <w:rPr>
                <w:rFonts w:ascii="Arial" w:hAnsi="Arial" w:cs="Arial"/>
                <w:color w:val="000000"/>
                <w:sz w:val="24"/>
                <w:szCs w:val="24"/>
                <w:lang w:eastAsia="en-GB"/>
              </w:rPr>
            </w:pPr>
          </w:p>
        </w:tc>
        <w:tc>
          <w:tcPr>
            <w:tcW w:w="4799" w:type="dxa"/>
            <w:noWrap/>
          </w:tcPr>
          <w:p w14:paraId="676B54BA">
            <w:pPr>
              <w:spacing w:after="0"/>
              <w:contextualSpacing/>
              <w:rPr>
                <w:rFonts w:ascii="Arial" w:hAnsi="Arial" w:eastAsia="Times New Roman" w:cs="Arial"/>
                <w:color w:val="000000"/>
                <w:sz w:val="24"/>
                <w:szCs w:val="24"/>
                <w:lang w:eastAsia="en-GB"/>
              </w:rPr>
            </w:pPr>
            <w:r>
              <w:rPr>
                <w:rFonts w:ascii="Arial" w:hAnsi="Arial" w:cs="Arial"/>
                <w:color w:val="000000"/>
                <w:sz w:val="24"/>
                <w:szCs w:val="24"/>
              </w:rPr>
              <w:t>% of Staff Trained</w:t>
            </w:r>
          </w:p>
        </w:tc>
        <w:tc>
          <w:tcPr>
            <w:tcW w:w="2820" w:type="dxa"/>
          </w:tcPr>
          <w:p w14:paraId="1B9E5AC9">
            <w:pPr>
              <w:spacing w:after="0"/>
              <w:contextualSpacing/>
              <w:jc w:val="left"/>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100% implementation of Training Program</w:t>
            </w:r>
          </w:p>
        </w:tc>
        <w:tc>
          <w:tcPr>
            <w:tcW w:w="1188" w:type="dxa"/>
            <w:shd w:val="clear" w:color="auto" w:fill="auto"/>
            <w:vAlign w:val="center"/>
          </w:tcPr>
          <w:p w14:paraId="250D841F">
            <w:pPr>
              <w:spacing w:line="240" w:lineRule="auto"/>
              <w:contextualSpacing/>
              <w:jc w:val="center"/>
              <w:rPr>
                <w:rFonts w:ascii="Arial" w:hAnsi="Arial" w:eastAsia="Times New Roman" w:cs="Arial"/>
                <w:color w:val="000000"/>
                <w:sz w:val="24"/>
                <w:szCs w:val="24"/>
                <w:lang w:val="en-US" w:eastAsia="en-GB" w:bidi="ar-SA"/>
              </w:rPr>
            </w:pPr>
            <w:r>
              <w:rPr>
                <w:rFonts w:ascii="Arial" w:hAnsi="Arial" w:eastAsia="Times New Roman" w:cs="Arial"/>
                <w:color w:val="000000"/>
                <w:sz w:val="24"/>
                <w:szCs w:val="24"/>
                <w:lang w:eastAsia="en-GB"/>
              </w:rPr>
              <w:t>90%</w:t>
            </w:r>
          </w:p>
        </w:tc>
        <w:tc>
          <w:tcPr>
            <w:tcW w:w="1188" w:type="dxa"/>
            <w:vAlign w:val="center"/>
          </w:tcPr>
          <w:p w14:paraId="12926E75">
            <w:pPr>
              <w:spacing w:after="0" w:line="360" w:lineRule="auto"/>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74%</w:t>
            </w:r>
          </w:p>
        </w:tc>
        <w:tc>
          <w:tcPr>
            <w:tcW w:w="1728" w:type="dxa"/>
            <w:vAlign w:val="center"/>
          </w:tcPr>
          <w:p w14:paraId="16A44623">
            <w:pPr>
              <w:spacing w:after="0" w:line="360" w:lineRule="auto"/>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100%</w:t>
            </w:r>
          </w:p>
        </w:tc>
        <w:tc>
          <w:tcPr>
            <w:tcW w:w="1104" w:type="dxa"/>
            <w:vAlign w:val="center"/>
          </w:tcPr>
          <w:p w14:paraId="37237911">
            <w:pPr>
              <w:spacing w:after="0" w:line="360" w:lineRule="auto"/>
              <w:contextualSpacing/>
              <w:jc w:val="center"/>
              <w:rPr>
                <w:rFonts w:hint="default" w:ascii="Arial" w:hAnsi="Arial" w:eastAsia="Times New Roman" w:cs="Arial"/>
                <w:b/>
                <w:bCs/>
                <w:color w:val="auto"/>
                <w:sz w:val="24"/>
                <w:szCs w:val="24"/>
                <w:lang w:val="en-US" w:eastAsia="en-GB"/>
              </w:rPr>
            </w:pPr>
            <w:r>
              <w:rPr>
                <w:rFonts w:hint="default" w:ascii="Arial" w:hAnsi="Arial" w:eastAsia="Times New Roman" w:cs="Arial"/>
                <w:b/>
                <w:bCs/>
                <w:color w:val="auto"/>
                <w:sz w:val="24"/>
                <w:szCs w:val="24"/>
                <w:lang w:val="en-US" w:eastAsia="en-GB"/>
              </w:rPr>
              <w:t>4</w:t>
            </w:r>
          </w:p>
        </w:tc>
      </w:tr>
      <w:tr w14:paraId="4C699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20" w:type="dxa"/>
          </w:tcPr>
          <w:p w14:paraId="7B7F940B">
            <w:pPr>
              <w:pStyle w:val="11"/>
              <w:numPr>
                <w:ilvl w:val="0"/>
                <w:numId w:val="4"/>
              </w:numPr>
              <w:spacing w:after="0" w:line="360" w:lineRule="auto"/>
              <w:ind w:left="450"/>
              <w:rPr>
                <w:rFonts w:ascii="Arial" w:hAnsi="Arial" w:cs="Arial"/>
                <w:color w:val="000000"/>
                <w:sz w:val="24"/>
                <w:szCs w:val="24"/>
                <w:lang w:eastAsia="en-GB"/>
              </w:rPr>
            </w:pPr>
          </w:p>
        </w:tc>
        <w:tc>
          <w:tcPr>
            <w:tcW w:w="4799" w:type="dxa"/>
            <w:noWrap/>
          </w:tcPr>
          <w:p w14:paraId="685F67E0">
            <w:pPr>
              <w:spacing w:after="0"/>
              <w:contextualSpacing/>
              <w:rPr>
                <w:rFonts w:ascii="Arial" w:hAnsi="Arial" w:eastAsia="Times New Roman" w:cs="Arial"/>
                <w:color w:val="000000"/>
                <w:sz w:val="24"/>
                <w:szCs w:val="24"/>
                <w:lang w:eastAsia="en-GB"/>
              </w:rPr>
            </w:pPr>
            <w:r>
              <w:rPr>
                <w:rFonts w:ascii="Arial" w:hAnsi="Arial" w:cs="Arial"/>
                <w:color w:val="000000"/>
                <w:sz w:val="24"/>
                <w:szCs w:val="24"/>
              </w:rPr>
              <w:t>Employee Retention Rate</w:t>
            </w:r>
          </w:p>
        </w:tc>
        <w:tc>
          <w:tcPr>
            <w:tcW w:w="2820" w:type="dxa"/>
          </w:tcPr>
          <w:p w14:paraId="24093210">
            <w:pPr>
              <w:spacing w:after="0"/>
              <w:contextualSpacing/>
              <w:jc w:val="left"/>
              <w:rPr>
                <w:rFonts w:hint="default" w:ascii="Arial" w:hAnsi="Arial" w:cs="Arial"/>
                <w:bCs/>
                <w:sz w:val="24"/>
                <w:szCs w:val="24"/>
                <w:highlight w:val="none"/>
                <w:lang w:val="en-US" w:eastAsia="en-GB"/>
              </w:rPr>
            </w:pPr>
            <w:r>
              <w:rPr>
                <w:rFonts w:ascii="Arial" w:hAnsi="Arial" w:cs="Arial"/>
                <w:bCs/>
                <w:sz w:val="24"/>
                <w:szCs w:val="24"/>
                <w:highlight w:val="none"/>
              </w:rPr>
              <w:t>70%</w:t>
            </w:r>
            <w:r>
              <w:rPr>
                <w:rFonts w:hint="default" w:ascii="Arial" w:hAnsi="Arial" w:cs="Arial"/>
                <w:bCs/>
                <w:sz w:val="24"/>
                <w:szCs w:val="24"/>
                <w:highlight w:val="none"/>
                <w:lang w:val="en-US"/>
              </w:rPr>
              <w:t xml:space="preserve"> and above</w:t>
            </w:r>
          </w:p>
        </w:tc>
        <w:tc>
          <w:tcPr>
            <w:tcW w:w="1188" w:type="dxa"/>
            <w:shd w:val="clear" w:color="auto" w:fill="auto"/>
            <w:vAlign w:val="center"/>
          </w:tcPr>
          <w:p w14:paraId="1AACC34F">
            <w:pPr>
              <w:spacing w:line="240" w:lineRule="auto"/>
              <w:contextualSpacing/>
              <w:jc w:val="center"/>
              <w:rPr>
                <w:rFonts w:ascii="Arial" w:hAnsi="Arial" w:eastAsia="Times New Roman" w:cs="Arial"/>
                <w:color w:val="000000"/>
                <w:sz w:val="24"/>
                <w:szCs w:val="24"/>
                <w:lang w:val="en-US" w:eastAsia="en-GB" w:bidi="ar-SA"/>
              </w:rPr>
            </w:pPr>
            <w:r>
              <w:rPr>
                <w:rFonts w:ascii="Arial" w:hAnsi="Arial" w:eastAsia="Times New Roman" w:cs="Arial"/>
                <w:color w:val="000000"/>
                <w:sz w:val="24"/>
                <w:szCs w:val="24"/>
                <w:lang w:eastAsia="en-GB"/>
              </w:rPr>
              <w:t>99.94%</w:t>
            </w:r>
          </w:p>
        </w:tc>
        <w:tc>
          <w:tcPr>
            <w:tcW w:w="1188" w:type="dxa"/>
            <w:vAlign w:val="center"/>
          </w:tcPr>
          <w:p w14:paraId="70CD704F">
            <w:pPr>
              <w:spacing w:after="0" w:line="360" w:lineRule="auto"/>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97%</w:t>
            </w:r>
          </w:p>
        </w:tc>
        <w:tc>
          <w:tcPr>
            <w:tcW w:w="1728" w:type="dxa"/>
            <w:vAlign w:val="center"/>
          </w:tcPr>
          <w:p w14:paraId="145A72E6">
            <w:pPr>
              <w:spacing w:after="0" w:line="360" w:lineRule="auto"/>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70%</w:t>
            </w:r>
          </w:p>
        </w:tc>
        <w:tc>
          <w:tcPr>
            <w:tcW w:w="1104" w:type="dxa"/>
            <w:vAlign w:val="center"/>
          </w:tcPr>
          <w:p w14:paraId="6CF6A01E">
            <w:pPr>
              <w:spacing w:after="0" w:line="360" w:lineRule="auto"/>
              <w:contextualSpacing/>
              <w:jc w:val="center"/>
              <w:rPr>
                <w:rFonts w:hint="default" w:ascii="Arial" w:hAnsi="Arial" w:eastAsia="Times New Roman" w:cs="Arial"/>
                <w:b/>
                <w:bCs/>
                <w:color w:val="auto"/>
                <w:sz w:val="24"/>
                <w:szCs w:val="24"/>
                <w:lang w:val="en-US" w:eastAsia="en-GB"/>
              </w:rPr>
            </w:pPr>
            <w:r>
              <w:rPr>
                <w:rFonts w:hint="default" w:ascii="Arial" w:hAnsi="Arial" w:eastAsia="Times New Roman" w:cs="Arial"/>
                <w:b/>
                <w:bCs/>
                <w:color w:val="auto"/>
                <w:sz w:val="24"/>
                <w:szCs w:val="24"/>
                <w:lang w:val="en-US" w:eastAsia="en-GB"/>
              </w:rPr>
              <w:t>4</w:t>
            </w:r>
          </w:p>
        </w:tc>
      </w:tr>
      <w:tr w14:paraId="118B6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0" w:type="dxa"/>
          </w:tcPr>
          <w:p w14:paraId="0923B020">
            <w:pPr>
              <w:pStyle w:val="11"/>
              <w:numPr>
                <w:ilvl w:val="0"/>
                <w:numId w:val="4"/>
              </w:numPr>
              <w:spacing w:after="0" w:line="360" w:lineRule="auto"/>
              <w:ind w:left="450"/>
              <w:rPr>
                <w:rFonts w:ascii="Arial" w:hAnsi="Arial" w:cs="Arial"/>
                <w:color w:val="000000"/>
                <w:sz w:val="24"/>
                <w:szCs w:val="24"/>
                <w:lang w:eastAsia="en-GB"/>
              </w:rPr>
            </w:pPr>
          </w:p>
        </w:tc>
        <w:tc>
          <w:tcPr>
            <w:tcW w:w="4799" w:type="dxa"/>
            <w:noWrap/>
          </w:tcPr>
          <w:p w14:paraId="39288282">
            <w:pPr>
              <w:spacing w:after="0"/>
              <w:contextualSpacing/>
              <w:rPr>
                <w:rFonts w:ascii="Arial" w:hAnsi="Arial" w:eastAsia="Times New Roman" w:cs="Arial"/>
                <w:color w:val="000000"/>
                <w:sz w:val="24"/>
                <w:szCs w:val="24"/>
                <w:lang w:eastAsia="en-GB"/>
              </w:rPr>
            </w:pPr>
            <w:r>
              <w:rPr>
                <w:rFonts w:ascii="Arial" w:hAnsi="Arial" w:cs="Arial"/>
                <w:color w:val="000000"/>
                <w:sz w:val="24"/>
                <w:szCs w:val="24"/>
              </w:rPr>
              <w:t>% of grievance resolved</w:t>
            </w:r>
          </w:p>
        </w:tc>
        <w:tc>
          <w:tcPr>
            <w:tcW w:w="2820" w:type="dxa"/>
          </w:tcPr>
          <w:p w14:paraId="6223889F">
            <w:pPr>
              <w:spacing w:after="0"/>
              <w:contextualSpacing/>
              <w:jc w:val="center"/>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100%</w:t>
            </w:r>
          </w:p>
          <w:p w14:paraId="0A469973">
            <w:pPr>
              <w:spacing w:after="0"/>
              <w:contextualSpacing/>
              <w:jc w:val="center"/>
              <w:rPr>
                <w:rFonts w:ascii="Arial" w:hAnsi="Arial" w:eastAsia="Times New Roman" w:cs="Arial"/>
                <w:color w:val="000000"/>
                <w:sz w:val="24"/>
                <w:szCs w:val="24"/>
                <w:lang w:eastAsia="en-GB"/>
              </w:rPr>
            </w:pPr>
          </w:p>
        </w:tc>
        <w:tc>
          <w:tcPr>
            <w:tcW w:w="1188" w:type="dxa"/>
            <w:shd w:val="clear" w:color="auto" w:fill="auto"/>
            <w:vAlign w:val="center"/>
          </w:tcPr>
          <w:p w14:paraId="39C1C65B">
            <w:pPr>
              <w:spacing w:line="240" w:lineRule="auto"/>
              <w:contextualSpacing/>
              <w:jc w:val="center"/>
              <w:rPr>
                <w:rFonts w:ascii="Arial" w:hAnsi="Arial" w:eastAsia="Times New Roman" w:cs="Arial"/>
                <w:color w:val="000000"/>
                <w:sz w:val="24"/>
                <w:szCs w:val="24"/>
                <w:lang w:val="en-US" w:eastAsia="en-GB" w:bidi="ar-SA"/>
              </w:rPr>
            </w:pPr>
            <w:r>
              <w:rPr>
                <w:rFonts w:ascii="Arial" w:hAnsi="Arial" w:eastAsia="Times New Roman" w:cs="Arial"/>
                <w:color w:val="000000"/>
                <w:sz w:val="24"/>
                <w:szCs w:val="24"/>
                <w:lang w:eastAsia="en-GB"/>
              </w:rPr>
              <w:t>85%</w:t>
            </w:r>
          </w:p>
        </w:tc>
        <w:tc>
          <w:tcPr>
            <w:tcW w:w="1188" w:type="dxa"/>
            <w:vAlign w:val="center"/>
          </w:tcPr>
          <w:p w14:paraId="2B66DBA0">
            <w:pPr>
              <w:spacing w:after="0" w:line="360" w:lineRule="auto"/>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89%</w:t>
            </w:r>
          </w:p>
        </w:tc>
        <w:tc>
          <w:tcPr>
            <w:tcW w:w="1728" w:type="dxa"/>
            <w:vAlign w:val="center"/>
          </w:tcPr>
          <w:p w14:paraId="24045D7F">
            <w:pPr>
              <w:spacing w:after="0" w:line="360" w:lineRule="auto"/>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100%</w:t>
            </w:r>
          </w:p>
        </w:tc>
        <w:tc>
          <w:tcPr>
            <w:tcW w:w="1104" w:type="dxa"/>
            <w:vAlign w:val="center"/>
          </w:tcPr>
          <w:p w14:paraId="568398D8">
            <w:pPr>
              <w:spacing w:after="0" w:line="360" w:lineRule="auto"/>
              <w:contextualSpacing/>
              <w:jc w:val="center"/>
              <w:rPr>
                <w:rFonts w:hint="default" w:ascii="Arial" w:hAnsi="Arial" w:eastAsia="Times New Roman" w:cs="Arial"/>
                <w:b/>
                <w:bCs/>
                <w:color w:val="auto"/>
                <w:sz w:val="24"/>
                <w:szCs w:val="24"/>
                <w:lang w:val="en-US" w:eastAsia="en-GB"/>
              </w:rPr>
            </w:pPr>
            <w:r>
              <w:rPr>
                <w:rFonts w:hint="default" w:ascii="Arial" w:hAnsi="Arial" w:eastAsia="Times New Roman" w:cs="Arial"/>
                <w:b/>
                <w:bCs/>
                <w:color w:val="auto"/>
                <w:sz w:val="24"/>
                <w:szCs w:val="24"/>
                <w:lang w:val="en-US" w:eastAsia="en-GB"/>
              </w:rPr>
              <w:t>3</w:t>
            </w:r>
          </w:p>
        </w:tc>
      </w:tr>
      <w:tr w14:paraId="7263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tcPr>
          <w:p w14:paraId="2C6643A0">
            <w:pPr>
              <w:pStyle w:val="11"/>
              <w:numPr>
                <w:ilvl w:val="0"/>
                <w:numId w:val="4"/>
              </w:numPr>
              <w:spacing w:line="360" w:lineRule="auto"/>
              <w:ind w:left="450"/>
              <w:rPr>
                <w:rFonts w:ascii="Arial" w:hAnsi="Arial" w:cs="Arial"/>
                <w:color w:val="000000"/>
                <w:sz w:val="24"/>
                <w:szCs w:val="24"/>
                <w:lang w:eastAsia="en-GB"/>
              </w:rPr>
            </w:pPr>
          </w:p>
        </w:tc>
        <w:tc>
          <w:tcPr>
            <w:tcW w:w="4799" w:type="dxa"/>
            <w:noWrap/>
          </w:tcPr>
          <w:p w14:paraId="6A3D1169">
            <w:pPr>
              <w:spacing w:line="360" w:lineRule="auto"/>
              <w:contextualSpacing/>
              <w:rPr>
                <w:rFonts w:ascii="Arial" w:hAnsi="Arial" w:eastAsia="Times New Roman" w:cs="Arial"/>
                <w:color w:val="000000"/>
                <w:sz w:val="24"/>
                <w:szCs w:val="24"/>
                <w:lang w:eastAsia="en-GB"/>
              </w:rPr>
            </w:pPr>
            <w:r>
              <w:rPr>
                <w:rFonts w:ascii="Arial" w:hAnsi="Arial" w:cs="Arial"/>
                <w:color w:val="000000"/>
                <w:sz w:val="24"/>
                <w:szCs w:val="24"/>
              </w:rPr>
              <w:t xml:space="preserve">% of PLHA provided with care and support </w:t>
            </w:r>
          </w:p>
        </w:tc>
        <w:tc>
          <w:tcPr>
            <w:tcW w:w="2820" w:type="dxa"/>
          </w:tcPr>
          <w:p w14:paraId="43D1E381">
            <w:pPr>
              <w:spacing w:line="360" w:lineRule="auto"/>
              <w:contextualSpacing/>
              <w:jc w:val="center"/>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100%</w:t>
            </w:r>
          </w:p>
        </w:tc>
        <w:tc>
          <w:tcPr>
            <w:tcW w:w="1188" w:type="dxa"/>
            <w:shd w:val="clear" w:color="auto" w:fill="auto"/>
            <w:vAlign w:val="center"/>
          </w:tcPr>
          <w:p w14:paraId="66119717">
            <w:pPr>
              <w:spacing w:line="240" w:lineRule="auto"/>
              <w:contextualSpacing/>
              <w:jc w:val="center"/>
              <w:rPr>
                <w:rFonts w:ascii="Arial" w:hAnsi="Arial" w:eastAsia="Times New Roman" w:cs="Arial"/>
                <w:color w:val="000000"/>
                <w:sz w:val="24"/>
                <w:szCs w:val="24"/>
                <w:lang w:val="en-US" w:eastAsia="en-GB" w:bidi="ar-SA"/>
              </w:rPr>
            </w:pPr>
            <w:r>
              <w:rPr>
                <w:rFonts w:ascii="Arial" w:hAnsi="Arial" w:eastAsia="Times New Roman" w:cs="Arial"/>
                <w:color w:val="000000"/>
                <w:sz w:val="24"/>
                <w:szCs w:val="24"/>
                <w:lang w:eastAsia="en-GB"/>
              </w:rPr>
              <w:t>100%</w:t>
            </w:r>
          </w:p>
        </w:tc>
        <w:tc>
          <w:tcPr>
            <w:tcW w:w="1188" w:type="dxa"/>
            <w:vAlign w:val="center"/>
          </w:tcPr>
          <w:p w14:paraId="4BDE3548">
            <w:pPr>
              <w:spacing w:line="360" w:lineRule="auto"/>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98%</w:t>
            </w:r>
          </w:p>
        </w:tc>
        <w:tc>
          <w:tcPr>
            <w:tcW w:w="1728" w:type="dxa"/>
            <w:vAlign w:val="center"/>
          </w:tcPr>
          <w:p w14:paraId="26AEE286">
            <w:pPr>
              <w:spacing w:line="360" w:lineRule="auto"/>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100%</w:t>
            </w:r>
          </w:p>
        </w:tc>
        <w:tc>
          <w:tcPr>
            <w:tcW w:w="1104" w:type="dxa"/>
            <w:vAlign w:val="center"/>
          </w:tcPr>
          <w:p w14:paraId="1E350094">
            <w:pPr>
              <w:spacing w:line="360" w:lineRule="auto"/>
              <w:contextualSpacing/>
              <w:jc w:val="center"/>
              <w:rPr>
                <w:rFonts w:hint="default" w:ascii="Arial" w:hAnsi="Arial" w:eastAsia="Times New Roman" w:cs="Arial"/>
                <w:b/>
                <w:bCs/>
                <w:color w:val="auto"/>
                <w:sz w:val="24"/>
                <w:szCs w:val="24"/>
                <w:lang w:val="en-US" w:eastAsia="en-GB"/>
              </w:rPr>
            </w:pPr>
            <w:r>
              <w:rPr>
                <w:rFonts w:hint="default" w:ascii="Arial" w:hAnsi="Arial" w:eastAsia="Times New Roman" w:cs="Arial"/>
                <w:b/>
                <w:bCs/>
                <w:color w:val="auto"/>
                <w:sz w:val="24"/>
                <w:szCs w:val="24"/>
                <w:lang w:val="en-US" w:eastAsia="en-GB"/>
              </w:rPr>
              <w:t>3</w:t>
            </w:r>
          </w:p>
        </w:tc>
      </w:tr>
      <w:tr w14:paraId="3401C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20" w:type="dxa"/>
          </w:tcPr>
          <w:p w14:paraId="7FD595E3">
            <w:pPr>
              <w:pStyle w:val="11"/>
              <w:numPr>
                <w:ilvl w:val="0"/>
                <w:numId w:val="4"/>
              </w:numPr>
              <w:spacing w:line="360" w:lineRule="auto"/>
              <w:ind w:left="450"/>
              <w:rPr>
                <w:rFonts w:ascii="Arial" w:hAnsi="Arial" w:cs="Arial"/>
                <w:color w:val="000000"/>
                <w:sz w:val="24"/>
                <w:szCs w:val="24"/>
                <w:lang w:eastAsia="en-GB"/>
              </w:rPr>
            </w:pPr>
          </w:p>
        </w:tc>
        <w:tc>
          <w:tcPr>
            <w:tcW w:w="4799" w:type="dxa"/>
            <w:noWrap/>
          </w:tcPr>
          <w:p w14:paraId="3FE418C8">
            <w:pPr>
              <w:contextualSpacing/>
              <w:rPr>
                <w:rFonts w:ascii="Arial" w:hAnsi="Arial" w:eastAsia="Times New Roman" w:cs="Arial"/>
                <w:color w:val="000000"/>
                <w:sz w:val="24"/>
                <w:szCs w:val="24"/>
                <w:lang w:eastAsia="en-GB"/>
              </w:rPr>
            </w:pPr>
            <w:r>
              <w:rPr>
                <w:rFonts w:ascii="Arial" w:hAnsi="Arial" w:cs="Arial"/>
                <w:color w:val="000000"/>
                <w:sz w:val="24"/>
                <w:szCs w:val="24"/>
              </w:rPr>
              <w:t>No of Sensitization Programs Conducted for (HIV), NCD and Mental Health</w:t>
            </w:r>
          </w:p>
        </w:tc>
        <w:tc>
          <w:tcPr>
            <w:tcW w:w="2820" w:type="dxa"/>
          </w:tcPr>
          <w:p w14:paraId="2C97791D">
            <w:pPr>
              <w:contextualSpacing/>
              <w:jc w:val="left"/>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Min One (1) per year</w:t>
            </w:r>
          </w:p>
        </w:tc>
        <w:tc>
          <w:tcPr>
            <w:tcW w:w="1188" w:type="dxa"/>
            <w:vAlign w:val="center"/>
          </w:tcPr>
          <w:p w14:paraId="4A0E19D0">
            <w:pPr>
              <w:contextualSpacing/>
              <w:jc w:val="center"/>
              <w:rPr>
                <w:rFonts w:hint="default" w:ascii="Arial" w:hAnsi="Arial" w:eastAsia="Times New Roman" w:cs="Arial"/>
                <w:color w:val="000000"/>
                <w:lang w:val="en-US" w:eastAsia="en-GB"/>
              </w:rPr>
            </w:pPr>
            <w:r>
              <w:rPr>
                <w:rFonts w:hint="default" w:ascii="Arial" w:hAnsi="Arial" w:eastAsia="Times New Roman" w:cs="Arial"/>
                <w:color w:val="000000"/>
                <w:lang w:val="en-US" w:eastAsia="en-GB"/>
              </w:rPr>
              <w:t>4</w:t>
            </w:r>
          </w:p>
        </w:tc>
        <w:tc>
          <w:tcPr>
            <w:tcW w:w="1188" w:type="dxa"/>
            <w:vAlign w:val="center"/>
          </w:tcPr>
          <w:p w14:paraId="1A0116F5">
            <w:pPr>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4</w:t>
            </w:r>
          </w:p>
        </w:tc>
        <w:tc>
          <w:tcPr>
            <w:tcW w:w="1728" w:type="dxa"/>
            <w:vAlign w:val="center"/>
          </w:tcPr>
          <w:p w14:paraId="36DA790A">
            <w:pPr>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4</w:t>
            </w:r>
          </w:p>
        </w:tc>
        <w:tc>
          <w:tcPr>
            <w:tcW w:w="1104" w:type="dxa"/>
            <w:vAlign w:val="center"/>
          </w:tcPr>
          <w:p w14:paraId="76624BC5">
            <w:pPr>
              <w:contextualSpacing/>
              <w:jc w:val="center"/>
              <w:rPr>
                <w:rFonts w:hint="default" w:ascii="Arial" w:hAnsi="Arial" w:eastAsia="Times New Roman" w:cs="Arial"/>
                <w:b/>
                <w:bCs/>
                <w:color w:val="auto"/>
                <w:sz w:val="24"/>
                <w:szCs w:val="24"/>
                <w:lang w:val="en-US" w:eastAsia="en-GB"/>
              </w:rPr>
            </w:pPr>
            <w:r>
              <w:rPr>
                <w:rFonts w:hint="default" w:ascii="Arial" w:hAnsi="Arial" w:eastAsia="Times New Roman" w:cs="Arial"/>
                <w:b/>
                <w:bCs/>
                <w:color w:val="auto"/>
                <w:sz w:val="24"/>
                <w:szCs w:val="24"/>
                <w:lang w:val="en-US" w:eastAsia="en-GB"/>
              </w:rPr>
              <w:t>3</w:t>
            </w:r>
          </w:p>
        </w:tc>
      </w:tr>
      <w:tr w14:paraId="0A62A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20" w:type="dxa"/>
          </w:tcPr>
          <w:p w14:paraId="44539AF7">
            <w:pPr>
              <w:pStyle w:val="11"/>
              <w:spacing w:line="360" w:lineRule="auto"/>
              <w:ind w:left="450"/>
              <w:rPr>
                <w:rFonts w:ascii="Arial" w:hAnsi="Arial" w:cs="Arial"/>
                <w:color w:val="000000"/>
                <w:lang w:eastAsia="en-GB"/>
              </w:rPr>
            </w:pPr>
          </w:p>
        </w:tc>
        <w:tc>
          <w:tcPr>
            <w:tcW w:w="4799" w:type="dxa"/>
            <w:noWrap/>
          </w:tcPr>
          <w:p w14:paraId="566CC467">
            <w:pPr>
              <w:contextualSpacing/>
              <w:rPr>
                <w:rFonts w:ascii="Arial" w:hAnsi="Arial" w:cs="Arial"/>
                <w:b/>
                <w:bCs/>
                <w:color w:val="000000"/>
              </w:rPr>
            </w:pPr>
            <w:r>
              <w:rPr>
                <w:rFonts w:ascii="Arial" w:hAnsi="Arial" w:cs="Arial"/>
                <w:b/>
                <w:bCs/>
                <w:color w:val="000000"/>
              </w:rPr>
              <w:t>TOTAL</w:t>
            </w:r>
          </w:p>
        </w:tc>
        <w:tc>
          <w:tcPr>
            <w:tcW w:w="6924" w:type="dxa"/>
            <w:gridSpan w:val="4"/>
            <w:vAlign w:val="center"/>
          </w:tcPr>
          <w:p w14:paraId="25B798FB">
            <w:pPr>
              <w:contextualSpacing/>
              <w:jc w:val="center"/>
              <w:rPr>
                <w:rFonts w:ascii="Arial" w:hAnsi="Arial" w:eastAsia="Times New Roman" w:cs="Arial"/>
                <w:color w:val="000000"/>
                <w:lang w:eastAsia="en-GB"/>
              </w:rPr>
            </w:pPr>
          </w:p>
        </w:tc>
        <w:tc>
          <w:tcPr>
            <w:tcW w:w="1104" w:type="dxa"/>
            <w:vAlign w:val="center"/>
          </w:tcPr>
          <w:p w14:paraId="0F74AECD">
            <w:pPr>
              <w:contextualSpacing/>
              <w:jc w:val="center"/>
              <w:rPr>
                <w:rFonts w:ascii="Arial" w:hAnsi="Arial" w:eastAsia="Times New Roman" w:cs="Arial"/>
                <w:b/>
                <w:bCs/>
                <w:color w:val="000000"/>
                <w:lang w:eastAsia="en-GB"/>
              </w:rPr>
            </w:pPr>
            <w:r>
              <w:rPr>
                <w:rFonts w:ascii="Arial" w:hAnsi="Arial" w:eastAsia="Times New Roman" w:cs="Arial"/>
                <w:b/>
                <w:bCs/>
                <w:color w:val="000000"/>
                <w:lang w:eastAsia="en-GB"/>
              </w:rPr>
              <w:t>20</w:t>
            </w:r>
          </w:p>
        </w:tc>
      </w:tr>
      <w:bookmarkEnd w:id="3"/>
    </w:tbl>
    <w:p w14:paraId="0D49B78D">
      <w:pPr>
        <w:autoSpaceDE w:val="0"/>
        <w:autoSpaceDN w:val="0"/>
        <w:adjustRightInd w:val="0"/>
        <w:spacing w:after="0"/>
        <w:rPr>
          <w:rFonts w:ascii="Arial" w:hAnsi="Arial" w:cs="Arial"/>
          <w:b/>
          <w:sz w:val="24"/>
          <w:szCs w:val="24"/>
        </w:rPr>
      </w:pPr>
    </w:p>
    <w:p w14:paraId="10E0167E">
      <w:pPr>
        <w:pStyle w:val="11"/>
        <w:tabs>
          <w:tab w:val="left" w:pos="2880"/>
        </w:tabs>
        <w:spacing w:after="0" w:line="360" w:lineRule="auto"/>
        <w:ind w:left="502" w:right="278"/>
        <w:jc w:val="both"/>
        <w:rPr>
          <w:rFonts w:ascii="Arial" w:hAnsi="Arial" w:cs="Arial"/>
          <w:b/>
          <w:bCs/>
          <w:sz w:val="24"/>
          <w:szCs w:val="24"/>
          <w:lang w:eastAsia="en-GB"/>
        </w:rPr>
      </w:pPr>
      <w:bookmarkStart w:id="4" w:name="_Hlk197698981"/>
      <w:r>
        <w:rPr>
          <w:rFonts w:ascii="Arial" w:hAnsi="Arial" w:cs="Arial"/>
          <w:b/>
          <w:bCs/>
          <w:sz w:val="24"/>
          <w:szCs w:val="24"/>
          <w:lang w:eastAsia="en-GB"/>
        </w:rPr>
        <w:tab/>
      </w:r>
      <w:r>
        <w:rPr>
          <w:rFonts w:ascii="Arial" w:hAnsi="Arial" w:cs="Arial"/>
          <w:b/>
          <w:bCs/>
          <w:sz w:val="24"/>
          <w:szCs w:val="24"/>
          <w:lang w:eastAsia="en-GB"/>
        </w:rPr>
        <w:t>2.        CUSTOMER SERVICE (20 SCORES)</w:t>
      </w:r>
    </w:p>
    <w:p w14:paraId="7FCB9CD6">
      <w:pPr>
        <w:spacing w:line="360" w:lineRule="auto"/>
        <w:jc w:val="both"/>
        <w:rPr>
          <w:rFonts w:ascii="Arial" w:hAnsi="Arial" w:eastAsia="Times New Roman" w:cs="Arial"/>
          <w:sz w:val="24"/>
          <w:szCs w:val="24"/>
          <w:lang w:eastAsia="en-GB"/>
        </w:rPr>
      </w:pPr>
      <w:r>
        <w:rPr>
          <w:rFonts w:ascii="Arial" w:hAnsi="Arial" w:eastAsia="Times New Roman" w:cs="Arial"/>
          <w:sz w:val="24"/>
          <w:szCs w:val="24"/>
          <w:lang w:eastAsia="en-GB"/>
        </w:rPr>
        <w:t xml:space="preserve">This criterion measures the capacity of the institution to provide quality and innovative services to its customers, including the growth of its customer base. Key parameters of interest include efficiency in service delivery, client satisfaction, service automation, and efficiency in complaints handling </w:t>
      </w:r>
    </w:p>
    <w:bookmarkEnd w:id="4"/>
    <w:tbl>
      <w:tblPr>
        <w:tblStyle w:val="3"/>
        <w:tblW w:w="1345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3479"/>
        <w:gridCol w:w="3684"/>
        <w:gridCol w:w="1308"/>
        <w:gridCol w:w="1668"/>
        <w:gridCol w:w="1464"/>
        <w:gridCol w:w="1044"/>
      </w:tblGrid>
      <w:tr w14:paraId="272CC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blHeader/>
        </w:trPr>
        <w:tc>
          <w:tcPr>
            <w:tcW w:w="810" w:type="dxa"/>
            <w:vMerge w:val="restart"/>
            <w:shd w:val="clear" w:color="auto" w:fill="D8D8D8" w:themeFill="background1" w:themeFillShade="D9"/>
            <w:vAlign w:val="center"/>
          </w:tcPr>
          <w:p w14:paraId="414CBF5E">
            <w:pPr>
              <w:spacing w:line="360" w:lineRule="auto"/>
              <w:contextualSpacing/>
              <w:jc w:val="center"/>
              <w:rPr>
                <w:rFonts w:ascii="Arial" w:hAnsi="Arial" w:eastAsia="Times New Roman" w:cs="Arial"/>
                <w:b/>
                <w:bCs/>
                <w:color w:val="000000"/>
                <w:sz w:val="24"/>
                <w:szCs w:val="24"/>
                <w:lang w:eastAsia="en-GB"/>
              </w:rPr>
            </w:pPr>
            <w:bookmarkStart w:id="5" w:name="_Hlk197693827"/>
            <w:r>
              <w:rPr>
                <w:rFonts w:ascii="Arial" w:hAnsi="Arial" w:eastAsia="Times New Roman" w:cs="Arial"/>
                <w:b/>
                <w:bCs/>
                <w:color w:val="000000"/>
                <w:sz w:val="24"/>
                <w:szCs w:val="24"/>
                <w:lang w:eastAsia="en-GB"/>
              </w:rPr>
              <w:t>SN</w:t>
            </w:r>
          </w:p>
        </w:tc>
        <w:tc>
          <w:tcPr>
            <w:tcW w:w="3479" w:type="dxa"/>
            <w:vMerge w:val="restart"/>
            <w:shd w:val="clear" w:color="auto" w:fill="D8D8D8" w:themeFill="background1" w:themeFillShade="D9"/>
            <w:noWrap/>
            <w:vAlign w:val="center"/>
          </w:tcPr>
          <w:p w14:paraId="38565C48">
            <w:pPr>
              <w:spacing w:line="240" w:lineRule="auto"/>
              <w:contextualSpacing/>
              <w:jc w:val="center"/>
              <w:rPr>
                <w:rFonts w:ascii="Arial" w:hAnsi="Arial" w:eastAsia="Times New Roman" w:cs="Arial"/>
                <w:color w:val="000000"/>
                <w:sz w:val="24"/>
                <w:szCs w:val="24"/>
                <w:lang w:eastAsia="en-GB"/>
              </w:rPr>
            </w:pPr>
            <w:r>
              <w:rPr>
                <w:rFonts w:ascii="Arial" w:hAnsi="Arial" w:eastAsia="Times New Roman" w:cs="Arial"/>
                <w:b/>
                <w:color w:val="000000"/>
                <w:sz w:val="24"/>
                <w:szCs w:val="24"/>
                <w:lang w:val="en-GB" w:eastAsia="en-GB"/>
              </w:rPr>
              <w:t>Key Performance Indicators</w:t>
            </w:r>
          </w:p>
        </w:tc>
        <w:tc>
          <w:tcPr>
            <w:tcW w:w="3684" w:type="dxa"/>
            <w:vMerge w:val="restart"/>
            <w:shd w:val="clear" w:color="auto" w:fill="D8D8D8" w:themeFill="background1" w:themeFillShade="D9"/>
            <w:vAlign w:val="center"/>
          </w:tcPr>
          <w:p w14:paraId="641EF58B">
            <w:pPr>
              <w:spacing w:after="0" w:line="240" w:lineRule="auto"/>
              <w:contextualSpacing/>
              <w:jc w:val="center"/>
              <w:rPr>
                <w:rFonts w:ascii="Arial" w:hAnsi="Arial" w:eastAsia="Times New Roman" w:cs="Arial"/>
                <w:b/>
                <w:color w:val="000000"/>
                <w:sz w:val="24"/>
                <w:szCs w:val="24"/>
                <w:lang w:eastAsia="en-GB"/>
              </w:rPr>
            </w:pPr>
            <w:r>
              <w:rPr>
                <w:rFonts w:ascii="Arial" w:hAnsi="Arial" w:eastAsia="Times New Roman" w:cs="Arial"/>
                <w:b/>
                <w:color w:val="000000"/>
                <w:sz w:val="24"/>
                <w:szCs w:val="24"/>
                <w:lang w:eastAsia="en-GB"/>
              </w:rPr>
              <w:t>Benchmark</w:t>
            </w:r>
          </w:p>
        </w:tc>
        <w:tc>
          <w:tcPr>
            <w:tcW w:w="2976" w:type="dxa"/>
            <w:gridSpan w:val="2"/>
            <w:shd w:val="clear" w:color="auto" w:fill="D8D8D8" w:themeFill="background1" w:themeFillShade="D9"/>
            <w:vAlign w:val="center"/>
          </w:tcPr>
          <w:p w14:paraId="12BEC8F7">
            <w:pPr>
              <w:spacing w:line="360" w:lineRule="auto"/>
              <w:contextualSpacing/>
              <w:jc w:val="center"/>
              <w:rPr>
                <w:rFonts w:ascii="Arial" w:hAnsi="Arial" w:eastAsia="Times New Roman" w:cs="Arial"/>
                <w:b/>
                <w:color w:val="000000"/>
                <w:sz w:val="24"/>
                <w:szCs w:val="24"/>
                <w:lang w:eastAsia="en-GB"/>
              </w:rPr>
            </w:pPr>
            <w:r>
              <w:rPr>
                <w:rFonts w:ascii="Arial" w:hAnsi="Arial" w:eastAsia="Times New Roman" w:cs="Arial"/>
                <w:b/>
                <w:color w:val="000000"/>
                <w:sz w:val="24"/>
                <w:szCs w:val="24"/>
                <w:lang w:val="en-GB" w:eastAsia="en-GB"/>
              </w:rPr>
              <w:t>Baseline</w:t>
            </w:r>
            <w:r>
              <w:rPr>
                <w:rFonts w:ascii="Arial" w:hAnsi="Arial" w:eastAsia="Times New Roman" w:cs="Arial"/>
                <w:b/>
                <w:color w:val="000000"/>
                <w:sz w:val="24"/>
                <w:szCs w:val="24"/>
                <w:lang w:eastAsia="en-GB"/>
              </w:rPr>
              <w:t xml:space="preserve"> Data</w:t>
            </w:r>
          </w:p>
        </w:tc>
        <w:tc>
          <w:tcPr>
            <w:tcW w:w="1464" w:type="dxa"/>
            <w:shd w:val="clear" w:color="auto" w:fill="D8D8D8" w:themeFill="background1" w:themeFillShade="D9"/>
            <w:vAlign w:val="center"/>
          </w:tcPr>
          <w:p w14:paraId="3C305BAF">
            <w:pPr>
              <w:spacing w:line="360" w:lineRule="auto"/>
              <w:contextualSpacing/>
              <w:jc w:val="center"/>
              <w:rPr>
                <w:rFonts w:ascii="Arial" w:hAnsi="Arial" w:eastAsia="Times New Roman" w:cs="Arial"/>
                <w:b/>
                <w:color w:val="000000"/>
                <w:sz w:val="24"/>
                <w:szCs w:val="24"/>
                <w:lang w:val="en-GB" w:eastAsia="en-GB"/>
              </w:rPr>
            </w:pPr>
            <w:r>
              <w:rPr>
                <w:rFonts w:ascii="Arial" w:hAnsi="Arial" w:eastAsia="Times New Roman" w:cs="Arial"/>
                <w:b/>
                <w:color w:val="000000"/>
                <w:sz w:val="24"/>
                <w:szCs w:val="24"/>
                <w:lang w:val="en-GB" w:eastAsia="en-GB"/>
              </w:rPr>
              <w:t>Indicator Target Value</w:t>
            </w:r>
          </w:p>
        </w:tc>
        <w:tc>
          <w:tcPr>
            <w:tcW w:w="1044" w:type="dxa"/>
            <w:vMerge w:val="restart"/>
            <w:shd w:val="clear" w:color="auto" w:fill="D8D8D8" w:themeFill="background1" w:themeFillShade="D9"/>
            <w:vAlign w:val="center"/>
          </w:tcPr>
          <w:p w14:paraId="263A2C02">
            <w:pPr>
              <w:spacing w:after="0" w:line="240" w:lineRule="auto"/>
              <w:contextualSpacing/>
              <w:jc w:val="center"/>
              <w:rPr>
                <w:rFonts w:ascii="Arial" w:hAnsi="Arial" w:eastAsia="Times New Roman" w:cs="Arial"/>
                <w:b/>
                <w:color w:val="000000"/>
                <w:sz w:val="24"/>
                <w:szCs w:val="24"/>
                <w:lang w:val="en-GB" w:eastAsia="en-GB"/>
              </w:rPr>
            </w:pPr>
            <w:r>
              <w:rPr>
                <w:rFonts w:ascii="Arial" w:hAnsi="Arial" w:eastAsia="Times New Roman" w:cs="Arial"/>
                <w:b/>
                <w:color w:val="000000"/>
                <w:sz w:val="24"/>
                <w:szCs w:val="24"/>
                <w:lang w:val="en-GB" w:eastAsia="en-GB"/>
              </w:rPr>
              <w:t>Weight</w:t>
            </w:r>
          </w:p>
          <w:p w14:paraId="20B6FDA1">
            <w:pPr>
              <w:spacing w:after="0" w:line="240" w:lineRule="auto"/>
              <w:contextualSpacing/>
              <w:jc w:val="center"/>
              <w:rPr>
                <w:rFonts w:ascii="Arial" w:hAnsi="Arial" w:eastAsia="Times New Roman" w:cs="Arial"/>
                <w:b/>
                <w:color w:val="000000"/>
                <w:sz w:val="24"/>
                <w:szCs w:val="24"/>
                <w:lang w:val="en-GB" w:eastAsia="en-GB"/>
              </w:rPr>
            </w:pPr>
            <w:r>
              <w:rPr>
                <w:rFonts w:ascii="Arial" w:hAnsi="Arial" w:eastAsia="Times New Roman" w:cs="Arial"/>
                <w:b/>
                <w:color w:val="000000"/>
                <w:sz w:val="24"/>
                <w:szCs w:val="24"/>
                <w:lang w:val="en-GB" w:eastAsia="en-GB"/>
              </w:rPr>
              <w:t>(%)</w:t>
            </w:r>
          </w:p>
        </w:tc>
      </w:tr>
      <w:tr w14:paraId="5A15F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blHeader/>
        </w:trPr>
        <w:tc>
          <w:tcPr>
            <w:tcW w:w="810" w:type="dxa"/>
            <w:vMerge w:val="continue"/>
            <w:shd w:val="clear" w:color="auto" w:fill="D8D8D8" w:themeFill="background1" w:themeFillShade="D9"/>
            <w:vAlign w:val="center"/>
          </w:tcPr>
          <w:p w14:paraId="7BB8D19F">
            <w:pPr>
              <w:spacing w:line="360" w:lineRule="auto"/>
              <w:contextualSpacing/>
              <w:jc w:val="center"/>
              <w:rPr>
                <w:rFonts w:ascii="Arial" w:hAnsi="Arial" w:eastAsia="Times New Roman" w:cs="Arial"/>
                <w:color w:val="000000"/>
                <w:sz w:val="24"/>
                <w:szCs w:val="24"/>
                <w:lang w:eastAsia="en-GB"/>
              </w:rPr>
            </w:pPr>
          </w:p>
        </w:tc>
        <w:tc>
          <w:tcPr>
            <w:tcW w:w="3479" w:type="dxa"/>
            <w:vMerge w:val="continue"/>
            <w:shd w:val="clear" w:color="auto" w:fill="D8D8D8" w:themeFill="background1" w:themeFillShade="D9"/>
            <w:noWrap/>
            <w:vAlign w:val="center"/>
          </w:tcPr>
          <w:p w14:paraId="7C4EBC77">
            <w:pPr>
              <w:spacing w:line="360" w:lineRule="auto"/>
              <w:contextualSpacing/>
              <w:jc w:val="center"/>
              <w:rPr>
                <w:rFonts w:ascii="Arial" w:hAnsi="Arial" w:eastAsia="Times New Roman" w:cs="Arial"/>
                <w:b/>
                <w:color w:val="000000"/>
                <w:sz w:val="24"/>
                <w:szCs w:val="24"/>
                <w:lang w:val="en-GB" w:eastAsia="en-GB"/>
              </w:rPr>
            </w:pPr>
          </w:p>
        </w:tc>
        <w:tc>
          <w:tcPr>
            <w:tcW w:w="3684" w:type="dxa"/>
            <w:vMerge w:val="continue"/>
            <w:shd w:val="clear" w:color="auto" w:fill="D8D8D8" w:themeFill="background1" w:themeFillShade="D9"/>
            <w:vAlign w:val="center"/>
          </w:tcPr>
          <w:p w14:paraId="73A11D3C">
            <w:pPr>
              <w:spacing w:line="360" w:lineRule="auto"/>
              <w:contextualSpacing/>
              <w:jc w:val="center"/>
              <w:rPr>
                <w:rFonts w:ascii="Arial" w:hAnsi="Arial" w:eastAsia="Times New Roman" w:cs="Arial"/>
                <w:b/>
                <w:color w:val="000000"/>
                <w:sz w:val="24"/>
                <w:szCs w:val="24"/>
                <w:lang w:val="en-GB" w:eastAsia="en-GB"/>
              </w:rPr>
            </w:pPr>
          </w:p>
        </w:tc>
        <w:tc>
          <w:tcPr>
            <w:tcW w:w="1308" w:type="dxa"/>
            <w:shd w:val="clear" w:color="auto" w:fill="D8D8D8" w:themeFill="background1" w:themeFillShade="D9"/>
            <w:vAlign w:val="center"/>
          </w:tcPr>
          <w:p w14:paraId="06EB7851">
            <w:pPr>
              <w:spacing w:line="360" w:lineRule="auto"/>
              <w:contextualSpacing/>
              <w:jc w:val="center"/>
              <w:rPr>
                <w:rFonts w:ascii="Arial" w:hAnsi="Arial" w:eastAsia="Times New Roman" w:cs="Arial"/>
                <w:b/>
                <w:color w:val="000000"/>
                <w:sz w:val="24"/>
                <w:szCs w:val="24"/>
                <w:lang w:val="en-GB" w:eastAsia="en-GB"/>
              </w:rPr>
            </w:pPr>
            <w:r>
              <w:rPr>
                <w:rFonts w:ascii="Arial" w:hAnsi="Arial" w:eastAsia="Times New Roman" w:cs="Arial"/>
                <w:b/>
                <w:color w:val="000000"/>
                <w:sz w:val="24"/>
                <w:szCs w:val="24"/>
                <w:lang w:val="en-GB" w:eastAsia="en-GB"/>
              </w:rPr>
              <w:t>2023/24</w:t>
            </w:r>
          </w:p>
        </w:tc>
        <w:tc>
          <w:tcPr>
            <w:tcW w:w="1668" w:type="dxa"/>
            <w:shd w:val="clear" w:color="auto" w:fill="D8D8D8" w:themeFill="background1" w:themeFillShade="D9"/>
            <w:vAlign w:val="center"/>
          </w:tcPr>
          <w:p w14:paraId="12737619">
            <w:pPr>
              <w:spacing w:line="360" w:lineRule="auto"/>
              <w:contextualSpacing/>
              <w:jc w:val="center"/>
              <w:rPr>
                <w:rFonts w:ascii="Arial" w:hAnsi="Arial" w:eastAsia="Times New Roman" w:cs="Arial"/>
                <w:b/>
                <w:color w:val="000000"/>
                <w:sz w:val="24"/>
                <w:szCs w:val="24"/>
                <w:lang w:val="en-GB" w:eastAsia="en-GB"/>
              </w:rPr>
            </w:pPr>
            <w:r>
              <w:rPr>
                <w:rFonts w:ascii="Arial" w:hAnsi="Arial" w:eastAsia="Times New Roman" w:cs="Arial"/>
                <w:b/>
                <w:color w:val="000000"/>
                <w:sz w:val="24"/>
                <w:szCs w:val="24"/>
                <w:lang w:val="en-GB" w:eastAsia="en-GB"/>
              </w:rPr>
              <w:t>2024/25</w:t>
            </w:r>
          </w:p>
        </w:tc>
        <w:tc>
          <w:tcPr>
            <w:tcW w:w="1464" w:type="dxa"/>
            <w:shd w:val="clear" w:color="auto" w:fill="D8D8D8" w:themeFill="background1" w:themeFillShade="D9"/>
            <w:vAlign w:val="center"/>
          </w:tcPr>
          <w:p w14:paraId="7286592C">
            <w:pPr>
              <w:spacing w:line="360" w:lineRule="auto"/>
              <w:contextualSpacing/>
              <w:jc w:val="center"/>
              <w:rPr>
                <w:rFonts w:ascii="Arial" w:hAnsi="Arial" w:eastAsia="Times New Roman" w:cs="Arial"/>
                <w:b/>
                <w:color w:val="000000"/>
                <w:sz w:val="24"/>
                <w:szCs w:val="24"/>
                <w:lang w:val="en-GB" w:eastAsia="en-GB"/>
              </w:rPr>
            </w:pPr>
            <w:r>
              <w:rPr>
                <w:rFonts w:ascii="Arial" w:hAnsi="Arial" w:eastAsia="Times New Roman" w:cs="Arial"/>
                <w:b/>
                <w:color w:val="000000"/>
                <w:sz w:val="24"/>
                <w:szCs w:val="24"/>
                <w:lang w:val="en-GB" w:eastAsia="en-GB"/>
              </w:rPr>
              <w:t>2025/2026</w:t>
            </w:r>
          </w:p>
        </w:tc>
        <w:tc>
          <w:tcPr>
            <w:tcW w:w="1044" w:type="dxa"/>
            <w:vMerge w:val="continue"/>
            <w:shd w:val="clear" w:color="auto" w:fill="D8D8D8" w:themeFill="background1" w:themeFillShade="D9"/>
            <w:vAlign w:val="center"/>
          </w:tcPr>
          <w:p w14:paraId="2717E0C0">
            <w:pPr>
              <w:spacing w:line="360" w:lineRule="auto"/>
              <w:contextualSpacing/>
              <w:jc w:val="center"/>
              <w:rPr>
                <w:rFonts w:ascii="Arial" w:hAnsi="Arial" w:eastAsia="Times New Roman" w:cs="Arial"/>
                <w:b/>
                <w:color w:val="000000"/>
                <w:sz w:val="24"/>
                <w:szCs w:val="24"/>
                <w:lang w:val="en-GB" w:eastAsia="en-GB"/>
              </w:rPr>
            </w:pPr>
          </w:p>
        </w:tc>
      </w:tr>
      <w:tr w14:paraId="1687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10" w:type="dxa"/>
          </w:tcPr>
          <w:p w14:paraId="16E46D96">
            <w:pPr>
              <w:pStyle w:val="11"/>
              <w:numPr>
                <w:ilvl w:val="0"/>
                <w:numId w:val="5"/>
              </w:numPr>
              <w:spacing w:after="0" w:line="360" w:lineRule="auto"/>
              <w:jc w:val="both"/>
              <w:rPr>
                <w:rFonts w:ascii="Arial" w:hAnsi="Arial" w:cs="Arial"/>
                <w:color w:val="000000"/>
                <w:sz w:val="24"/>
                <w:szCs w:val="24"/>
                <w:lang w:eastAsia="en-GB"/>
              </w:rPr>
            </w:pPr>
          </w:p>
        </w:tc>
        <w:tc>
          <w:tcPr>
            <w:tcW w:w="3479" w:type="dxa"/>
            <w:noWrap/>
          </w:tcPr>
          <w:p w14:paraId="544CC5C5">
            <w:pPr>
              <w:spacing w:after="0"/>
              <w:contextualSpacing/>
              <w:rPr>
                <w:rFonts w:ascii="Arial" w:hAnsi="Arial" w:eastAsia="Times New Roman" w:cs="Arial"/>
                <w:color w:val="000000"/>
                <w:sz w:val="24"/>
                <w:szCs w:val="24"/>
                <w:lang w:eastAsia="en-GB"/>
              </w:rPr>
            </w:pPr>
            <w:r>
              <w:rPr>
                <w:rFonts w:ascii="Arial" w:hAnsi="Arial" w:cs="Arial"/>
                <w:color w:val="000000"/>
                <w:sz w:val="24"/>
                <w:szCs w:val="24"/>
              </w:rPr>
              <w:t xml:space="preserve">Average response time in serving client  </w:t>
            </w:r>
          </w:p>
        </w:tc>
        <w:tc>
          <w:tcPr>
            <w:tcW w:w="3684" w:type="dxa"/>
          </w:tcPr>
          <w:p w14:paraId="204BEBD6">
            <w:pPr>
              <w:spacing w:after="0"/>
              <w:contextualSpacing/>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As per client service charter of the respective PSC (the lower the better)</w:t>
            </w:r>
          </w:p>
        </w:tc>
        <w:tc>
          <w:tcPr>
            <w:tcW w:w="1308" w:type="dxa"/>
          </w:tcPr>
          <w:p w14:paraId="1FE125A0">
            <w:pPr>
              <w:spacing w:line="240" w:lineRule="auto"/>
              <w:contextualSpacing/>
              <w:jc w:val="center"/>
              <w:rPr>
                <w:rFonts w:ascii="Arial" w:hAnsi="Arial" w:eastAsia="Times New Roman" w:cs="Arial"/>
                <w:color w:val="000000"/>
                <w:sz w:val="24"/>
                <w:szCs w:val="24"/>
                <w:highlight w:val="none"/>
                <w:lang w:eastAsia="en-GB"/>
              </w:rPr>
            </w:pPr>
            <w:r>
              <w:rPr>
                <w:rFonts w:ascii="Arial" w:hAnsi="Arial" w:eastAsia="Times New Roman" w:cs="Arial"/>
                <w:color w:val="000000"/>
                <w:sz w:val="24"/>
                <w:szCs w:val="24"/>
                <w:highlight w:val="none"/>
                <w:lang w:eastAsia="en-GB"/>
              </w:rPr>
              <w:t>2.5</w:t>
            </w:r>
          </w:p>
          <w:p w14:paraId="0B88CE64">
            <w:pPr>
              <w:spacing w:after="0"/>
              <w:contextualSpacing/>
              <w:rPr>
                <w:rFonts w:ascii="Arial" w:hAnsi="Arial" w:eastAsia="Times New Roman" w:cs="Arial"/>
                <w:color w:val="000000"/>
                <w:sz w:val="24"/>
                <w:szCs w:val="24"/>
                <w:highlight w:val="none"/>
                <w:lang w:eastAsia="en-GB"/>
              </w:rPr>
            </w:pPr>
            <w:r>
              <w:rPr>
                <w:rFonts w:ascii="Arial" w:hAnsi="Arial" w:eastAsia="Times New Roman" w:cs="Arial"/>
                <w:color w:val="000000"/>
                <w:sz w:val="24"/>
                <w:szCs w:val="24"/>
                <w:highlight w:val="none"/>
                <w:lang w:eastAsia="en-GB"/>
              </w:rPr>
              <w:t xml:space="preserve">Minutes </w:t>
            </w:r>
          </w:p>
        </w:tc>
        <w:tc>
          <w:tcPr>
            <w:tcW w:w="1668" w:type="dxa"/>
          </w:tcPr>
          <w:p w14:paraId="60C1DB33">
            <w:pPr>
              <w:spacing w:after="0"/>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2</w:t>
            </w:r>
          </w:p>
          <w:p w14:paraId="425B57F2">
            <w:pPr>
              <w:spacing w:after="0"/>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Minutes</w:t>
            </w:r>
          </w:p>
        </w:tc>
        <w:tc>
          <w:tcPr>
            <w:tcW w:w="1464" w:type="dxa"/>
          </w:tcPr>
          <w:p w14:paraId="08031144">
            <w:pPr>
              <w:spacing w:after="0"/>
              <w:contextualSpacing/>
              <w:jc w:val="center"/>
              <w:rPr>
                <w:rFonts w:ascii="Arial" w:hAnsi="Arial" w:eastAsia="Times New Roman" w:cs="Arial"/>
                <w:color w:val="000000"/>
                <w:sz w:val="24"/>
                <w:szCs w:val="24"/>
                <w:highlight w:val="none"/>
                <w:lang w:eastAsia="en-GB"/>
              </w:rPr>
            </w:pPr>
            <w:r>
              <w:rPr>
                <w:rFonts w:ascii="Arial" w:hAnsi="Arial" w:eastAsia="Times New Roman" w:cs="Arial"/>
                <w:color w:val="000000"/>
                <w:sz w:val="24"/>
                <w:szCs w:val="24"/>
                <w:highlight w:val="none"/>
                <w:lang w:eastAsia="en-GB"/>
              </w:rPr>
              <w:t>3 Minutes</w:t>
            </w:r>
          </w:p>
        </w:tc>
        <w:tc>
          <w:tcPr>
            <w:tcW w:w="1044" w:type="dxa"/>
          </w:tcPr>
          <w:p w14:paraId="78BA1A18">
            <w:pPr>
              <w:spacing w:after="0"/>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3</w:t>
            </w:r>
          </w:p>
        </w:tc>
      </w:tr>
      <w:tr w14:paraId="6EE1C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0" w:type="dxa"/>
          </w:tcPr>
          <w:p w14:paraId="78A8390D">
            <w:pPr>
              <w:pStyle w:val="11"/>
              <w:numPr>
                <w:ilvl w:val="0"/>
                <w:numId w:val="5"/>
              </w:numPr>
              <w:spacing w:after="0" w:line="360" w:lineRule="auto"/>
              <w:jc w:val="both"/>
              <w:rPr>
                <w:rFonts w:ascii="Arial" w:hAnsi="Arial" w:cs="Arial"/>
                <w:color w:val="000000"/>
                <w:sz w:val="24"/>
                <w:szCs w:val="24"/>
                <w:lang w:eastAsia="en-GB"/>
              </w:rPr>
            </w:pPr>
          </w:p>
        </w:tc>
        <w:tc>
          <w:tcPr>
            <w:tcW w:w="3479" w:type="dxa"/>
            <w:noWrap/>
          </w:tcPr>
          <w:p w14:paraId="68A1A97F">
            <w:pPr>
              <w:spacing w:after="0"/>
              <w:contextualSpacing/>
              <w:rPr>
                <w:rFonts w:ascii="Arial" w:hAnsi="Arial" w:eastAsia="Times New Roman" w:cs="Arial"/>
                <w:color w:val="000000"/>
                <w:sz w:val="24"/>
                <w:szCs w:val="24"/>
                <w:lang w:eastAsia="en-GB"/>
              </w:rPr>
            </w:pPr>
            <w:r>
              <w:rPr>
                <w:rFonts w:ascii="Arial" w:hAnsi="Arial" w:cs="Arial"/>
                <w:color w:val="000000"/>
                <w:sz w:val="24"/>
                <w:szCs w:val="24"/>
              </w:rPr>
              <w:t>% of outreach programs implemented</w:t>
            </w:r>
          </w:p>
        </w:tc>
        <w:tc>
          <w:tcPr>
            <w:tcW w:w="3684" w:type="dxa"/>
          </w:tcPr>
          <w:p w14:paraId="1CF05E0E">
            <w:pPr>
              <w:spacing w:after="0"/>
              <w:contextualSpacing/>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100% of the Annual communication strategies</w:t>
            </w:r>
          </w:p>
        </w:tc>
        <w:tc>
          <w:tcPr>
            <w:tcW w:w="1308" w:type="dxa"/>
          </w:tcPr>
          <w:p w14:paraId="4C550EA9">
            <w:pPr>
              <w:spacing w:after="0"/>
              <w:contextualSpacing/>
              <w:jc w:val="center"/>
              <w:rPr>
                <w:rFonts w:hint="default" w:ascii="Arial" w:hAnsi="Arial" w:eastAsia="Times New Roman" w:cs="Arial"/>
                <w:color w:val="000000"/>
                <w:sz w:val="24"/>
                <w:szCs w:val="24"/>
                <w:lang w:val="en-US" w:eastAsia="en-GB"/>
              </w:rPr>
            </w:pPr>
            <w:r>
              <w:rPr>
                <w:rFonts w:ascii="Arial" w:hAnsi="Arial" w:eastAsia="Times New Roman" w:cs="Arial"/>
                <w:color w:val="000000"/>
                <w:sz w:val="24"/>
                <w:szCs w:val="24"/>
                <w:lang w:eastAsia="en-GB"/>
              </w:rPr>
              <w:t>57.50%</w:t>
            </w:r>
          </w:p>
        </w:tc>
        <w:tc>
          <w:tcPr>
            <w:tcW w:w="1668" w:type="dxa"/>
          </w:tcPr>
          <w:p w14:paraId="76203F7C">
            <w:pPr>
              <w:spacing w:after="0"/>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76%</w:t>
            </w:r>
          </w:p>
        </w:tc>
        <w:tc>
          <w:tcPr>
            <w:tcW w:w="1464" w:type="dxa"/>
          </w:tcPr>
          <w:p w14:paraId="4E306CEF">
            <w:pPr>
              <w:spacing w:after="0"/>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100%</w:t>
            </w:r>
          </w:p>
        </w:tc>
        <w:tc>
          <w:tcPr>
            <w:tcW w:w="1044" w:type="dxa"/>
          </w:tcPr>
          <w:p w14:paraId="32CFF474">
            <w:pPr>
              <w:spacing w:after="0"/>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4</w:t>
            </w:r>
          </w:p>
        </w:tc>
      </w:tr>
      <w:tr w14:paraId="4F01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10" w:type="dxa"/>
          </w:tcPr>
          <w:p w14:paraId="65CE463B">
            <w:pPr>
              <w:pStyle w:val="11"/>
              <w:numPr>
                <w:ilvl w:val="0"/>
                <w:numId w:val="5"/>
              </w:numPr>
              <w:spacing w:after="0" w:line="360" w:lineRule="auto"/>
              <w:jc w:val="both"/>
              <w:rPr>
                <w:rFonts w:ascii="Arial" w:hAnsi="Arial" w:cs="Arial"/>
                <w:color w:val="000000"/>
                <w:sz w:val="24"/>
                <w:szCs w:val="24"/>
                <w:lang w:eastAsia="en-GB"/>
              </w:rPr>
            </w:pPr>
          </w:p>
        </w:tc>
        <w:tc>
          <w:tcPr>
            <w:tcW w:w="3479" w:type="dxa"/>
            <w:noWrap/>
          </w:tcPr>
          <w:p w14:paraId="3569324E">
            <w:pPr>
              <w:spacing w:after="0"/>
              <w:contextualSpacing/>
              <w:rPr>
                <w:rFonts w:ascii="Arial" w:hAnsi="Arial" w:eastAsia="Times New Roman" w:cs="Arial"/>
                <w:color w:val="000000"/>
                <w:sz w:val="24"/>
                <w:szCs w:val="24"/>
                <w:lang w:eastAsia="en-GB"/>
              </w:rPr>
            </w:pPr>
            <w:r>
              <w:rPr>
                <w:rFonts w:ascii="Arial" w:hAnsi="Arial" w:cs="Arial"/>
                <w:color w:val="000000"/>
                <w:sz w:val="24"/>
                <w:szCs w:val="24"/>
              </w:rPr>
              <w:t>Customer satisfaction survey score</w:t>
            </w:r>
          </w:p>
        </w:tc>
        <w:tc>
          <w:tcPr>
            <w:tcW w:w="3684" w:type="dxa"/>
          </w:tcPr>
          <w:p w14:paraId="1FBBB141">
            <w:pPr>
              <w:spacing w:after="0"/>
              <w:contextualSpacing/>
              <w:jc w:val="center"/>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Min 80%</w:t>
            </w:r>
          </w:p>
        </w:tc>
        <w:tc>
          <w:tcPr>
            <w:tcW w:w="1308" w:type="dxa"/>
          </w:tcPr>
          <w:p w14:paraId="7E8BD90F">
            <w:pPr>
              <w:spacing w:after="0"/>
              <w:contextualSpacing/>
              <w:jc w:val="center"/>
              <w:rPr>
                <w:rFonts w:ascii="Arial" w:hAnsi="Arial" w:eastAsia="Times New Roman" w:cs="Arial"/>
                <w:color w:val="000000"/>
                <w:sz w:val="24"/>
                <w:szCs w:val="24"/>
                <w:lang w:eastAsia="en-GB"/>
              </w:rPr>
            </w:pPr>
            <w:r>
              <w:rPr>
                <w:rFonts w:ascii="Arial" w:hAnsi="Arial" w:eastAsia="Times New Roman" w:cs="Arial"/>
                <w:sz w:val="24"/>
                <w:szCs w:val="24"/>
                <w:lang w:eastAsia="en-GB"/>
              </w:rPr>
              <w:t>81.17%</w:t>
            </w:r>
          </w:p>
        </w:tc>
        <w:tc>
          <w:tcPr>
            <w:tcW w:w="1668" w:type="dxa"/>
          </w:tcPr>
          <w:p w14:paraId="56131B78">
            <w:pPr>
              <w:spacing w:after="0"/>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Survey was not conducted</w:t>
            </w:r>
          </w:p>
        </w:tc>
        <w:tc>
          <w:tcPr>
            <w:tcW w:w="1464" w:type="dxa"/>
          </w:tcPr>
          <w:p w14:paraId="3611B0B9">
            <w:pPr>
              <w:spacing w:after="0"/>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80%</w:t>
            </w:r>
          </w:p>
        </w:tc>
        <w:tc>
          <w:tcPr>
            <w:tcW w:w="1044" w:type="dxa"/>
          </w:tcPr>
          <w:p w14:paraId="5FB572C9">
            <w:pPr>
              <w:spacing w:after="0"/>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3</w:t>
            </w:r>
          </w:p>
        </w:tc>
      </w:tr>
      <w:tr w14:paraId="60C2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10" w:type="dxa"/>
          </w:tcPr>
          <w:p w14:paraId="055C8B07">
            <w:pPr>
              <w:pStyle w:val="11"/>
              <w:numPr>
                <w:ilvl w:val="0"/>
                <w:numId w:val="5"/>
              </w:numPr>
              <w:spacing w:after="0" w:line="360" w:lineRule="auto"/>
              <w:jc w:val="both"/>
              <w:rPr>
                <w:rFonts w:ascii="Arial" w:hAnsi="Arial" w:cs="Arial"/>
                <w:color w:val="000000"/>
                <w:sz w:val="24"/>
                <w:szCs w:val="24"/>
                <w:highlight w:val="none"/>
                <w:lang w:eastAsia="en-GB"/>
              </w:rPr>
            </w:pPr>
          </w:p>
        </w:tc>
        <w:tc>
          <w:tcPr>
            <w:tcW w:w="3479" w:type="dxa"/>
            <w:noWrap/>
          </w:tcPr>
          <w:p w14:paraId="4A4E2ED5">
            <w:pPr>
              <w:spacing w:after="0"/>
              <w:contextualSpacing/>
              <w:rPr>
                <w:rFonts w:ascii="Arial" w:hAnsi="Arial" w:eastAsia="Times New Roman" w:cs="Arial"/>
                <w:color w:val="000000"/>
                <w:sz w:val="24"/>
                <w:szCs w:val="24"/>
                <w:highlight w:val="none"/>
                <w:lang w:eastAsia="en-GB"/>
              </w:rPr>
            </w:pPr>
            <w:r>
              <w:rPr>
                <w:rFonts w:ascii="Arial" w:hAnsi="Arial" w:cs="Arial"/>
                <w:color w:val="000000"/>
                <w:sz w:val="24"/>
                <w:szCs w:val="24"/>
                <w:highlight w:val="none"/>
              </w:rPr>
              <w:t>Customer retention rate</w:t>
            </w:r>
          </w:p>
        </w:tc>
        <w:tc>
          <w:tcPr>
            <w:tcW w:w="3684" w:type="dxa"/>
          </w:tcPr>
          <w:p w14:paraId="3467906C">
            <w:pPr>
              <w:spacing w:after="0"/>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80</w:t>
            </w:r>
            <w:r>
              <w:rPr>
                <w:rFonts w:ascii="Arial" w:hAnsi="Arial" w:eastAsia="Times New Roman" w:cs="Arial"/>
                <w:color w:val="000000"/>
                <w:sz w:val="24"/>
                <w:szCs w:val="24"/>
                <w:highlight w:val="none"/>
                <w:lang w:eastAsia="en-GB"/>
              </w:rPr>
              <w:t>%</w:t>
            </w:r>
          </w:p>
        </w:tc>
        <w:tc>
          <w:tcPr>
            <w:tcW w:w="1308" w:type="dxa"/>
          </w:tcPr>
          <w:p w14:paraId="041C606C">
            <w:pPr>
              <w:spacing w:after="0"/>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w:t>
            </w:r>
          </w:p>
        </w:tc>
        <w:tc>
          <w:tcPr>
            <w:tcW w:w="1668" w:type="dxa"/>
          </w:tcPr>
          <w:p w14:paraId="4FABB2E6">
            <w:pPr>
              <w:spacing w:after="0"/>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w:t>
            </w:r>
          </w:p>
        </w:tc>
        <w:tc>
          <w:tcPr>
            <w:tcW w:w="1464" w:type="dxa"/>
          </w:tcPr>
          <w:p w14:paraId="08FB0D15">
            <w:pPr>
              <w:spacing w:after="0"/>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80%</w:t>
            </w:r>
          </w:p>
          <w:p w14:paraId="75347313">
            <w:pPr>
              <w:spacing w:after="0"/>
              <w:contextualSpacing/>
              <w:jc w:val="center"/>
              <w:rPr>
                <w:rFonts w:hint="default" w:ascii="Arial" w:hAnsi="Arial" w:eastAsia="Times New Roman" w:cs="Arial"/>
                <w:color w:val="000000"/>
                <w:sz w:val="24"/>
                <w:szCs w:val="24"/>
                <w:highlight w:val="none"/>
                <w:lang w:val="en-US" w:eastAsia="en-GB"/>
              </w:rPr>
            </w:pPr>
          </w:p>
        </w:tc>
        <w:tc>
          <w:tcPr>
            <w:tcW w:w="1044" w:type="dxa"/>
          </w:tcPr>
          <w:p w14:paraId="223184D8">
            <w:pPr>
              <w:spacing w:after="0"/>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4</w:t>
            </w:r>
          </w:p>
        </w:tc>
      </w:tr>
      <w:tr w14:paraId="62835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10" w:type="dxa"/>
          </w:tcPr>
          <w:p w14:paraId="1213FC6E">
            <w:pPr>
              <w:pStyle w:val="11"/>
              <w:numPr>
                <w:ilvl w:val="0"/>
                <w:numId w:val="5"/>
              </w:numPr>
              <w:spacing w:after="0" w:line="360" w:lineRule="auto"/>
              <w:jc w:val="both"/>
              <w:rPr>
                <w:rFonts w:ascii="Arial" w:hAnsi="Arial" w:cs="Arial"/>
                <w:color w:val="000000"/>
                <w:sz w:val="24"/>
                <w:szCs w:val="24"/>
                <w:lang w:eastAsia="en-GB"/>
              </w:rPr>
            </w:pPr>
          </w:p>
        </w:tc>
        <w:tc>
          <w:tcPr>
            <w:tcW w:w="3479" w:type="dxa"/>
            <w:noWrap/>
          </w:tcPr>
          <w:p w14:paraId="23C7BA3D">
            <w:pPr>
              <w:spacing w:after="0"/>
              <w:contextualSpacing/>
              <w:rPr>
                <w:rFonts w:ascii="Arial" w:hAnsi="Arial" w:eastAsia="Times New Roman" w:cs="Arial"/>
                <w:color w:val="000000"/>
                <w:sz w:val="24"/>
                <w:szCs w:val="24"/>
                <w:lang w:eastAsia="en-GB"/>
              </w:rPr>
            </w:pPr>
            <w:r>
              <w:rPr>
                <w:rFonts w:ascii="Arial" w:hAnsi="Arial" w:cs="Arial"/>
                <w:color w:val="000000"/>
                <w:sz w:val="24"/>
                <w:szCs w:val="24"/>
              </w:rPr>
              <w:t xml:space="preserve">% of customers   complaints resolved on time </w:t>
            </w:r>
          </w:p>
        </w:tc>
        <w:tc>
          <w:tcPr>
            <w:tcW w:w="3684" w:type="dxa"/>
          </w:tcPr>
          <w:p w14:paraId="40408B6E">
            <w:pPr>
              <w:spacing w:after="0"/>
              <w:contextualSpacing/>
              <w:jc w:val="center"/>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100%</w:t>
            </w:r>
          </w:p>
        </w:tc>
        <w:tc>
          <w:tcPr>
            <w:tcW w:w="1308" w:type="dxa"/>
          </w:tcPr>
          <w:p w14:paraId="0731C991">
            <w:pPr>
              <w:spacing w:after="0"/>
              <w:contextualSpacing/>
              <w:jc w:val="center"/>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84%</w:t>
            </w:r>
          </w:p>
        </w:tc>
        <w:tc>
          <w:tcPr>
            <w:tcW w:w="1668" w:type="dxa"/>
          </w:tcPr>
          <w:p w14:paraId="1C0E618C">
            <w:pPr>
              <w:spacing w:after="0"/>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96%</w:t>
            </w:r>
          </w:p>
        </w:tc>
        <w:tc>
          <w:tcPr>
            <w:tcW w:w="1464" w:type="dxa"/>
          </w:tcPr>
          <w:p w14:paraId="6EC0EF3B">
            <w:pPr>
              <w:spacing w:after="0"/>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100%</w:t>
            </w:r>
          </w:p>
          <w:p w14:paraId="24B539E6">
            <w:pPr>
              <w:spacing w:after="0"/>
              <w:contextualSpacing/>
              <w:jc w:val="center"/>
              <w:rPr>
                <w:rFonts w:hint="default" w:ascii="Arial" w:hAnsi="Arial" w:eastAsia="Times New Roman" w:cs="Arial"/>
                <w:color w:val="000000"/>
                <w:sz w:val="24"/>
                <w:szCs w:val="24"/>
                <w:lang w:val="en-US" w:eastAsia="en-GB"/>
              </w:rPr>
            </w:pPr>
          </w:p>
        </w:tc>
        <w:tc>
          <w:tcPr>
            <w:tcW w:w="1044" w:type="dxa"/>
          </w:tcPr>
          <w:p w14:paraId="7AA68D30">
            <w:pPr>
              <w:spacing w:after="0"/>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3</w:t>
            </w:r>
          </w:p>
        </w:tc>
      </w:tr>
      <w:tr w14:paraId="106DF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10" w:type="dxa"/>
          </w:tcPr>
          <w:p w14:paraId="63350EA3">
            <w:pPr>
              <w:pStyle w:val="11"/>
              <w:numPr>
                <w:ilvl w:val="0"/>
                <w:numId w:val="5"/>
              </w:numPr>
              <w:spacing w:after="0" w:line="360" w:lineRule="auto"/>
              <w:jc w:val="both"/>
              <w:rPr>
                <w:rFonts w:ascii="Arial" w:hAnsi="Arial" w:cs="Arial"/>
                <w:color w:val="000000"/>
                <w:sz w:val="24"/>
                <w:szCs w:val="24"/>
                <w:lang w:eastAsia="en-GB"/>
              </w:rPr>
            </w:pPr>
          </w:p>
        </w:tc>
        <w:tc>
          <w:tcPr>
            <w:tcW w:w="3479" w:type="dxa"/>
            <w:noWrap/>
          </w:tcPr>
          <w:p w14:paraId="057F7CC1">
            <w:pPr>
              <w:spacing w:after="0"/>
              <w:contextualSpacing/>
              <w:rPr>
                <w:rFonts w:ascii="Arial" w:hAnsi="Arial" w:cs="Arial"/>
                <w:color w:val="000000"/>
                <w:sz w:val="24"/>
                <w:szCs w:val="24"/>
              </w:rPr>
            </w:pPr>
            <w:r>
              <w:rPr>
                <w:rFonts w:ascii="Arial" w:hAnsi="Arial" w:cs="Arial"/>
                <w:color w:val="000000"/>
                <w:sz w:val="24"/>
                <w:szCs w:val="24"/>
              </w:rPr>
              <w:t>% of new customers</w:t>
            </w:r>
          </w:p>
        </w:tc>
        <w:tc>
          <w:tcPr>
            <w:tcW w:w="3684" w:type="dxa"/>
          </w:tcPr>
          <w:p w14:paraId="06E19D0F">
            <w:pPr>
              <w:spacing w:after="0"/>
              <w:contextualSpacing/>
              <w:jc w:val="center"/>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Increasing</w:t>
            </w:r>
          </w:p>
        </w:tc>
        <w:tc>
          <w:tcPr>
            <w:tcW w:w="1308" w:type="dxa"/>
          </w:tcPr>
          <w:p w14:paraId="1852EA9F">
            <w:pPr>
              <w:spacing w:after="0"/>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w:t>
            </w:r>
          </w:p>
        </w:tc>
        <w:tc>
          <w:tcPr>
            <w:tcW w:w="1668" w:type="dxa"/>
          </w:tcPr>
          <w:p w14:paraId="3FFF82A5">
            <w:pPr>
              <w:spacing w:after="0"/>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w:t>
            </w:r>
          </w:p>
        </w:tc>
        <w:tc>
          <w:tcPr>
            <w:tcW w:w="1464" w:type="dxa"/>
          </w:tcPr>
          <w:p w14:paraId="4843C636">
            <w:pPr>
              <w:spacing w:after="0"/>
              <w:contextualSpacing/>
              <w:jc w:val="center"/>
              <w:rPr>
                <w:rFonts w:hint="default" w:ascii="Arial" w:hAnsi="Arial" w:eastAsia="Times New Roman" w:cs="Arial"/>
                <w:color w:val="auto"/>
                <w:sz w:val="24"/>
                <w:szCs w:val="24"/>
                <w:lang w:val="en-US" w:eastAsia="en-GB"/>
              </w:rPr>
            </w:pPr>
            <w:r>
              <w:rPr>
                <w:rFonts w:hint="default" w:ascii="Arial" w:hAnsi="Arial" w:eastAsia="Times New Roman" w:cs="Arial"/>
                <w:color w:val="auto"/>
                <w:sz w:val="24"/>
                <w:szCs w:val="24"/>
                <w:lang w:val="en-US" w:eastAsia="en-GB"/>
              </w:rPr>
              <w:t>5%</w:t>
            </w:r>
          </w:p>
          <w:p w14:paraId="1AD558C0">
            <w:pPr>
              <w:spacing w:after="0"/>
              <w:contextualSpacing/>
              <w:jc w:val="center"/>
              <w:rPr>
                <w:rFonts w:hint="default" w:ascii="Arial" w:hAnsi="Arial" w:eastAsia="Times New Roman" w:cs="Arial"/>
                <w:color w:val="FF0000"/>
                <w:sz w:val="24"/>
                <w:szCs w:val="24"/>
                <w:lang w:val="en-US" w:eastAsia="en-GB"/>
              </w:rPr>
            </w:pPr>
          </w:p>
        </w:tc>
        <w:tc>
          <w:tcPr>
            <w:tcW w:w="1044" w:type="dxa"/>
          </w:tcPr>
          <w:p w14:paraId="6B17F063">
            <w:pPr>
              <w:spacing w:after="0"/>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3</w:t>
            </w:r>
          </w:p>
        </w:tc>
      </w:tr>
      <w:tr w14:paraId="0B5CD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10" w:type="dxa"/>
          </w:tcPr>
          <w:p w14:paraId="6700DC06">
            <w:pPr>
              <w:pStyle w:val="11"/>
              <w:spacing w:after="0" w:line="360" w:lineRule="auto"/>
              <w:ind w:left="540"/>
              <w:jc w:val="both"/>
              <w:rPr>
                <w:rFonts w:ascii="Arial" w:hAnsi="Arial" w:cs="Arial"/>
                <w:color w:val="000000"/>
                <w:sz w:val="24"/>
                <w:szCs w:val="24"/>
                <w:lang w:eastAsia="en-GB"/>
              </w:rPr>
            </w:pPr>
          </w:p>
        </w:tc>
        <w:tc>
          <w:tcPr>
            <w:tcW w:w="11603" w:type="dxa"/>
            <w:gridSpan w:val="5"/>
            <w:noWrap/>
          </w:tcPr>
          <w:p w14:paraId="2705CEB6">
            <w:pPr>
              <w:spacing w:after="0"/>
              <w:contextualSpacing/>
              <w:rPr>
                <w:rFonts w:ascii="Arial" w:hAnsi="Arial" w:eastAsia="Times New Roman" w:cs="Arial"/>
                <w:b/>
                <w:bCs/>
                <w:color w:val="000000"/>
                <w:sz w:val="24"/>
                <w:szCs w:val="24"/>
                <w:lang w:eastAsia="en-GB"/>
              </w:rPr>
            </w:pPr>
            <w:r>
              <w:rPr>
                <w:rFonts w:ascii="Arial" w:hAnsi="Arial" w:eastAsia="Times New Roman" w:cs="Arial"/>
                <w:b/>
                <w:bCs/>
                <w:color w:val="000000"/>
                <w:sz w:val="24"/>
                <w:szCs w:val="24"/>
                <w:lang w:eastAsia="en-GB"/>
              </w:rPr>
              <w:t>TOTAL</w:t>
            </w:r>
          </w:p>
        </w:tc>
        <w:tc>
          <w:tcPr>
            <w:tcW w:w="1044" w:type="dxa"/>
          </w:tcPr>
          <w:p w14:paraId="24D7F19D">
            <w:pPr>
              <w:spacing w:after="0"/>
              <w:contextualSpacing/>
              <w:jc w:val="center"/>
              <w:rPr>
                <w:rFonts w:ascii="Arial" w:hAnsi="Arial" w:eastAsia="Times New Roman" w:cs="Arial"/>
                <w:b/>
                <w:bCs/>
                <w:color w:val="000000"/>
                <w:sz w:val="24"/>
                <w:szCs w:val="24"/>
                <w:lang w:eastAsia="en-GB"/>
              </w:rPr>
            </w:pPr>
            <w:r>
              <w:rPr>
                <w:rFonts w:ascii="Arial" w:hAnsi="Arial" w:eastAsia="Times New Roman" w:cs="Arial"/>
                <w:b/>
                <w:bCs/>
                <w:color w:val="000000"/>
                <w:sz w:val="24"/>
                <w:szCs w:val="24"/>
                <w:lang w:eastAsia="en-GB"/>
              </w:rPr>
              <w:t>20</w:t>
            </w:r>
          </w:p>
        </w:tc>
      </w:tr>
      <w:bookmarkEnd w:id="5"/>
    </w:tbl>
    <w:p w14:paraId="02D18D95">
      <w:pPr>
        <w:autoSpaceDE w:val="0"/>
        <w:autoSpaceDN w:val="0"/>
        <w:adjustRightInd w:val="0"/>
        <w:spacing w:after="0"/>
        <w:ind w:left="630"/>
        <w:rPr>
          <w:rFonts w:ascii="Arial" w:hAnsi="Arial" w:cs="Arial"/>
          <w:b/>
          <w:sz w:val="24"/>
          <w:szCs w:val="24"/>
        </w:rPr>
      </w:pPr>
    </w:p>
    <w:p w14:paraId="0587F1F2">
      <w:pPr>
        <w:autoSpaceDE w:val="0"/>
        <w:autoSpaceDN w:val="0"/>
        <w:adjustRightInd w:val="0"/>
        <w:spacing w:after="0"/>
        <w:rPr>
          <w:rFonts w:ascii="Arial" w:hAnsi="Arial" w:cs="Arial"/>
          <w:b/>
          <w:sz w:val="24"/>
          <w:szCs w:val="24"/>
        </w:rPr>
      </w:pPr>
    </w:p>
    <w:p w14:paraId="0FB466F1">
      <w:pPr>
        <w:autoSpaceDE w:val="0"/>
        <w:autoSpaceDN w:val="0"/>
        <w:adjustRightInd w:val="0"/>
        <w:spacing w:after="0"/>
        <w:rPr>
          <w:rFonts w:ascii="Arial" w:hAnsi="Arial" w:cs="Arial"/>
          <w:b/>
          <w:sz w:val="24"/>
          <w:szCs w:val="24"/>
        </w:rPr>
      </w:pPr>
    </w:p>
    <w:p w14:paraId="0FA3559E">
      <w:pPr>
        <w:autoSpaceDE w:val="0"/>
        <w:autoSpaceDN w:val="0"/>
        <w:adjustRightInd w:val="0"/>
        <w:spacing w:after="0"/>
        <w:rPr>
          <w:rFonts w:ascii="Arial" w:hAnsi="Arial" w:cs="Arial"/>
          <w:b/>
          <w:sz w:val="24"/>
          <w:szCs w:val="24"/>
        </w:rPr>
      </w:pPr>
    </w:p>
    <w:p w14:paraId="4948E351">
      <w:pPr>
        <w:pStyle w:val="11"/>
        <w:numPr>
          <w:ilvl w:val="0"/>
          <w:numId w:val="6"/>
        </w:numPr>
        <w:autoSpaceDE w:val="0"/>
        <w:autoSpaceDN w:val="0"/>
        <w:adjustRightInd w:val="0"/>
        <w:spacing w:after="0"/>
        <w:rPr>
          <w:rFonts w:ascii="Arial" w:hAnsi="Arial" w:eastAsia="Calibri" w:cs="Arial"/>
          <w:b/>
          <w:sz w:val="24"/>
          <w:szCs w:val="24"/>
        </w:rPr>
      </w:pPr>
      <w:r>
        <w:rPr>
          <w:rFonts w:ascii="Arial" w:hAnsi="Arial" w:eastAsia="Calibri" w:cs="Arial"/>
          <w:b/>
          <w:sz w:val="24"/>
          <w:szCs w:val="24"/>
        </w:rPr>
        <w:t>ENVIRONMENT SUSTAINABILITY, GOOD GOVERNANCE AND CONTROL (15 SCORES)</w:t>
      </w:r>
    </w:p>
    <w:p w14:paraId="0C458341">
      <w:pPr>
        <w:spacing w:line="360" w:lineRule="auto"/>
        <w:ind w:left="1080"/>
        <w:contextualSpacing/>
        <w:jc w:val="both"/>
        <w:rPr>
          <w:rFonts w:ascii="Arial" w:hAnsi="Arial" w:cs="Arial" w:eastAsiaTheme="minorEastAsia"/>
          <w:sz w:val="24"/>
          <w:szCs w:val="24"/>
          <w:lang w:val="en-GB" w:eastAsia="en-GB"/>
        </w:rPr>
      </w:pPr>
    </w:p>
    <w:p w14:paraId="5FE3A6F7">
      <w:pPr>
        <w:spacing w:after="0" w:line="360" w:lineRule="auto"/>
        <w:jc w:val="both"/>
        <w:rPr>
          <w:rFonts w:hint="default" w:ascii="Arial" w:hAnsi="Arial" w:eastAsia="Times New Roman" w:cs="Arial"/>
          <w:sz w:val="24"/>
          <w:szCs w:val="24"/>
          <w:lang w:val="en-US" w:eastAsia="en-GB"/>
        </w:rPr>
      </w:pPr>
      <w:r>
        <w:rPr>
          <w:rFonts w:ascii="Arial" w:hAnsi="Arial" w:cs="Arial" w:eastAsiaTheme="minorEastAsia"/>
          <w:sz w:val="24"/>
          <w:szCs w:val="24"/>
          <w:lang w:val="en-GB" w:eastAsia="en-GB"/>
        </w:rPr>
        <w:t>This criterion measures the adherence</w:t>
      </w:r>
      <w:r>
        <w:rPr>
          <w:rFonts w:ascii="Arial" w:hAnsi="Arial" w:eastAsia="Times New Roman" w:cs="Arial"/>
          <w:sz w:val="24"/>
          <w:szCs w:val="24"/>
          <w:lang w:eastAsia="en-GB"/>
        </w:rPr>
        <w:t xml:space="preserve"> to Environment </w:t>
      </w:r>
      <w:r>
        <w:rPr>
          <w:rFonts w:ascii="Arial" w:hAnsi="Arial" w:eastAsia="Times New Roman" w:cs="Arial"/>
          <w:sz w:val="24"/>
          <w:szCs w:val="24"/>
          <w:lang w:val="en-US" w:eastAsia="en-GB"/>
        </w:rPr>
        <w:t>Sustainability</w:t>
      </w:r>
      <w:r>
        <w:rPr>
          <w:rFonts w:ascii="Arial" w:hAnsi="Arial" w:eastAsia="Times New Roman" w:cs="Arial"/>
          <w:sz w:val="24"/>
          <w:szCs w:val="24"/>
          <w:lang w:eastAsia="en-GB"/>
        </w:rPr>
        <w:t>, Good Governance and Control principles and practices by an  Institution.it covers several parameters of giverenance and accountability, including anti-corruption measures, Board efficiency and effectiveness, risk management and controls, and compliance with laws and regulations</w:t>
      </w:r>
      <w:r>
        <w:rPr>
          <w:rFonts w:hint="default" w:ascii="Arial" w:hAnsi="Arial" w:eastAsia="Times New Roman" w:cs="Arial"/>
          <w:sz w:val="24"/>
          <w:szCs w:val="24"/>
          <w:lang w:val="en-US" w:eastAsia="en-GB"/>
        </w:rPr>
        <w:t>.</w:t>
      </w:r>
    </w:p>
    <w:p w14:paraId="78F1C465">
      <w:pPr>
        <w:spacing w:after="0" w:line="360" w:lineRule="auto"/>
        <w:jc w:val="both"/>
        <w:rPr>
          <w:rFonts w:ascii="Arial" w:hAnsi="Arial" w:cs="Arial" w:eastAsiaTheme="minorEastAsia"/>
          <w:sz w:val="24"/>
          <w:szCs w:val="24"/>
          <w:lang w:val="en-GB" w:eastAsia="en-GB"/>
        </w:rPr>
      </w:pPr>
      <w:r>
        <w:rPr>
          <w:rFonts w:ascii="Arial" w:hAnsi="Arial" w:eastAsia="Times New Roman" w:cs="Arial"/>
          <w:sz w:val="24"/>
          <w:szCs w:val="24"/>
          <w:lang w:eastAsia="en-GB"/>
        </w:rPr>
        <w:t xml:space="preserve">  </w:t>
      </w:r>
    </w:p>
    <w:tbl>
      <w:tblPr>
        <w:tblStyle w:val="3"/>
        <w:tblW w:w="13727"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4392"/>
        <w:gridCol w:w="2568"/>
        <w:gridCol w:w="1440"/>
        <w:gridCol w:w="1848"/>
        <w:gridCol w:w="1680"/>
        <w:gridCol w:w="1212"/>
      </w:tblGrid>
      <w:tr w14:paraId="5F605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blHeader/>
        </w:trPr>
        <w:tc>
          <w:tcPr>
            <w:tcW w:w="587" w:type="dxa"/>
            <w:vMerge w:val="restart"/>
            <w:shd w:val="clear" w:color="auto" w:fill="D8D8D8" w:themeFill="background1" w:themeFillShade="D9"/>
            <w:vAlign w:val="center"/>
          </w:tcPr>
          <w:p w14:paraId="6E08497B">
            <w:pPr>
              <w:spacing w:line="360" w:lineRule="auto"/>
              <w:contextualSpacing/>
              <w:jc w:val="center"/>
              <w:rPr>
                <w:rFonts w:ascii="Arial" w:hAnsi="Arial" w:eastAsia="Times New Roman" w:cs="Arial"/>
                <w:b/>
                <w:bCs/>
                <w:color w:val="000000"/>
                <w:sz w:val="24"/>
                <w:szCs w:val="24"/>
                <w:lang w:eastAsia="en-GB"/>
              </w:rPr>
            </w:pPr>
            <w:r>
              <w:rPr>
                <w:rFonts w:ascii="Arial" w:hAnsi="Arial" w:eastAsia="Times New Roman" w:cs="Arial"/>
                <w:b/>
                <w:bCs/>
                <w:color w:val="000000"/>
                <w:sz w:val="24"/>
                <w:szCs w:val="24"/>
                <w:lang w:eastAsia="en-GB"/>
              </w:rPr>
              <w:t>SN</w:t>
            </w:r>
          </w:p>
        </w:tc>
        <w:tc>
          <w:tcPr>
            <w:tcW w:w="4392" w:type="dxa"/>
            <w:vMerge w:val="restart"/>
            <w:shd w:val="clear" w:color="auto" w:fill="D8D8D8" w:themeFill="background1" w:themeFillShade="D9"/>
            <w:noWrap/>
            <w:vAlign w:val="center"/>
          </w:tcPr>
          <w:p w14:paraId="4EF7D803">
            <w:pPr>
              <w:spacing w:line="240" w:lineRule="auto"/>
              <w:contextualSpacing/>
              <w:jc w:val="center"/>
              <w:rPr>
                <w:rFonts w:ascii="Arial" w:hAnsi="Arial" w:eastAsia="Times New Roman" w:cs="Arial"/>
                <w:color w:val="000000"/>
                <w:sz w:val="24"/>
                <w:szCs w:val="24"/>
                <w:lang w:eastAsia="en-GB"/>
              </w:rPr>
            </w:pPr>
            <w:r>
              <w:rPr>
                <w:rFonts w:ascii="Arial" w:hAnsi="Arial" w:eastAsia="Times New Roman" w:cs="Arial"/>
                <w:b/>
                <w:color w:val="000000"/>
                <w:sz w:val="24"/>
                <w:szCs w:val="24"/>
                <w:lang w:val="en-GB" w:eastAsia="en-GB"/>
              </w:rPr>
              <w:t>Key Performance Indicators</w:t>
            </w:r>
          </w:p>
        </w:tc>
        <w:tc>
          <w:tcPr>
            <w:tcW w:w="2568" w:type="dxa"/>
            <w:vMerge w:val="restart"/>
            <w:shd w:val="clear" w:color="auto" w:fill="D8D8D8" w:themeFill="background1" w:themeFillShade="D9"/>
            <w:vAlign w:val="center"/>
          </w:tcPr>
          <w:p w14:paraId="1526CD53">
            <w:pPr>
              <w:spacing w:after="0" w:line="240" w:lineRule="auto"/>
              <w:contextualSpacing/>
              <w:jc w:val="center"/>
              <w:rPr>
                <w:rFonts w:ascii="Arial" w:hAnsi="Arial" w:eastAsia="Times New Roman" w:cs="Arial"/>
                <w:b/>
                <w:color w:val="000000"/>
                <w:sz w:val="24"/>
                <w:szCs w:val="24"/>
                <w:lang w:eastAsia="en-GB"/>
              </w:rPr>
            </w:pPr>
            <w:r>
              <w:rPr>
                <w:rFonts w:ascii="Arial" w:hAnsi="Arial" w:eastAsia="Times New Roman" w:cs="Arial"/>
                <w:b/>
                <w:color w:val="000000"/>
                <w:sz w:val="24"/>
                <w:szCs w:val="24"/>
                <w:lang w:eastAsia="en-GB"/>
              </w:rPr>
              <w:t>Benchmark</w:t>
            </w:r>
          </w:p>
        </w:tc>
        <w:tc>
          <w:tcPr>
            <w:tcW w:w="3288" w:type="dxa"/>
            <w:gridSpan w:val="2"/>
            <w:shd w:val="clear" w:color="auto" w:fill="D8D8D8" w:themeFill="background1" w:themeFillShade="D9"/>
            <w:vAlign w:val="center"/>
          </w:tcPr>
          <w:p w14:paraId="0C9FA1A7">
            <w:pPr>
              <w:spacing w:line="360" w:lineRule="auto"/>
              <w:contextualSpacing/>
              <w:jc w:val="center"/>
              <w:rPr>
                <w:rFonts w:ascii="Arial" w:hAnsi="Arial" w:eastAsia="Times New Roman" w:cs="Arial"/>
                <w:b/>
                <w:color w:val="000000"/>
                <w:sz w:val="24"/>
                <w:szCs w:val="24"/>
                <w:lang w:eastAsia="en-GB"/>
              </w:rPr>
            </w:pPr>
            <w:r>
              <w:rPr>
                <w:rFonts w:ascii="Arial" w:hAnsi="Arial" w:eastAsia="Times New Roman" w:cs="Arial"/>
                <w:b/>
                <w:color w:val="000000"/>
                <w:sz w:val="24"/>
                <w:szCs w:val="24"/>
                <w:lang w:val="en-GB" w:eastAsia="en-GB"/>
              </w:rPr>
              <w:t>Baseline</w:t>
            </w:r>
            <w:r>
              <w:rPr>
                <w:rFonts w:ascii="Arial" w:hAnsi="Arial" w:eastAsia="Times New Roman" w:cs="Arial"/>
                <w:b/>
                <w:color w:val="000000"/>
                <w:sz w:val="24"/>
                <w:szCs w:val="24"/>
                <w:lang w:eastAsia="en-GB"/>
              </w:rPr>
              <w:t xml:space="preserve"> Data</w:t>
            </w:r>
          </w:p>
        </w:tc>
        <w:tc>
          <w:tcPr>
            <w:tcW w:w="1680" w:type="dxa"/>
            <w:shd w:val="clear" w:color="auto" w:fill="D8D8D8" w:themeFill="background1" w:themeFillShade="D9"/>
            <w:vAlign w:val="center"/>
          </w:tcPr>
          <w:p w14:paraId="6309357E">
            <w:pPr>
              <w:spacing w:line="360" w:lineRule="auto"/>
              <w:contextualSpacing/>
              <w:jc w:val="center"/>
              <w:rPr>
                <w:rFonts w:ascii="Arial" w:hAnsi="Arial" w:eastAsia="Times New Roman" w:cs="Arial"/>
                <w:b/>
                <w:color w:val="000000"/>
                <w:sz w:val="24"/>
                <w:szCs w:val="24"/>
                <w:lang w:val="en-GB" w:eastAsia="en-GB"/>
              </w:rPr>
            </w:pPr>
            <w:r>
              <w:rPr>
                <w:rFonts w:ascii="Arial" w:hAnsi="Arial" w:eastAsia="Times New Roman" w:cs="Arial"/>
                <w:b/>
                <w:color w:val="000000"/>
                <w:sz w:val="24"/>
                <w:szCs w:val="24"/>
                <w:lang w:val="en-GB" w:eastAsia="en-GB"/>
              </w:rPr>
              <w:t>Indicator Target Value</w:t>
            </w:r>
          </w:p>
        </w:tc>
        <w:tc>
          <w:tcPr>
            <w:tcW w:w="1212" w:type="dxa"/>
            <w:vMerge w:val="restart"/>
            <w:shd w:val="clear" w:color="auto" w:fill="D8D8D8" w:themeFill="background1" w:themeFillShade="D9"/>
            <w:vAlign w:val="center"/>
          </w:tcPr>
          <w:p w14:paraId="73561AF5">
            <w:pPr>
              <w:spacing w:after="0" w:line="240" w:lineRule="auto"/>
              <w:contextualSpacing/>
              <w:jc w:val="center"/>
              <w:rPr>
                <w:rFonts w:ascii="Arial" w:hAnsi="Arial" w:eastAsia="Times New Roman" w:cs="Arial"/>
                <w:b/>
                <w:color w:val="000000"/>
                <w:sz w:val="24"/>
                <w:szCs w:val="24"/>
                <w:lang w:val="en-GB" w:eastAsia="en-GB"/>
              </w:rPr>
            </w:pPr>
            <w:r>
              <w:rPr>
                <w:rFonts w:ascii="Arial" w:hAnsi="Arial" w:eastAsia="Times New Roman" w:cs="Arial"/>
                <w:b/>
                <w:color w:val="000000"/>
                <w:sz w:val="24"/>
                <w:szCs w:val="24"/>
                <w:lang w:val="en-GB" w:eastAsia="en-GB"/>
              </w:rPr>
              <w:t>Weight</w:t>
            </w:r>
          </w:p>
          <w:p w14:paraId="49551054">
            <w:pPr>
              <w:spacing w:after="0" w:line="240" w:lineRule="auto"/>
              <w:contextualSpacing/>
              <w:jc w:val="center"/>
              <w:rPr>
                <w:rFonts w:ascii="Arial" w:hAnsi="Arial" w:eastAsia="Times New Roman" w:cs="Arial"/>
                <w:b/>
                <w:color w:val="000000"/>
                <w:sz w:val="24"/>
                <w:szCs w:val="24"/>
                <w:lang w:val="en-GB" w:eastAsia="en-GB"/>
              </w:rPr>
            </w:pPr>
            <w:r>
              <w:rPr>
                <w:rFonts w:ascii="Arial" w:hAnsi="Arial" w:eastAsia="Times New Roman" w:cs="Arial"/>
                <w:b/>
                <w:color w:val="000000"/>
                <w:sz w:val="24"/>
                <w:szCs w:val="24"/>
                <w:lang w:val="en-GB" w:eastAsia="en-GB"/>
              </w:rPr>
              <w:t>(%)</w:t>
            </w:r>
          </w:p>
        </w:tc>
      </w:tr>
      <w:tr w14:paraId="1E81A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blHeader/>
        </w:trPr>
        <w:tc>
          <w:tcPr>
            <w:tcW w:w="587" w:type="dxa"/>
            <w:vMerge w:val="continue"/>
            <w:shd w:val="clear" w:color="auto" w:fill="D8D8D8" w:themeFill="background1" w:themeFillShade="D9"/>
            <w:vAlign w:val="center"/>
          </w:tcPr>
          <w:p w14:paraId="0D5A94A9">
            <w:pPr>
              <w:spacing w:line="360" w:lineRule="auto"/>
              <w:contextualSpacing/>
              <w:jc w:val="center"/>
              <w:rPr>
                <w:rFonts w:ascii="Arial" w:hAnsi="Arial" w:eastAsia="Times New Roman" w:cs="Arial"/>
                <w:color w:val="000000"/>
                <w:sz w:val="24"/>
                <w:szCs w:val="24"/>
                <w:lang w:eastAsia="en-GB"/>
              </w:rPr>
            </w:pPr>
          </w:p>
        </w:tc>
        <w:tc>
          <w:tcPr>
            <w:tcW w:w="4392" w:type="dxa"/>
            <w:vMerge w:val="continue"/>
            <w:shd w:val="clear" w:color="auto" w:fill="D8D8D8" w:themeFill="background1" w:themeFillShade="D9"/>
            <w:noWrap/>
            <w:vAlign w:val="center"/>
          </w:tcPr>
          <w:p w14:paraId="6705D835">
            <w:pPr>
              <w:spacing w:line="360" w:lineRule="auto"/>
              <w:contextualSpacing/>
              <w:jc w:val="center"/>
              <w:rPr>
                <w:rFonts w:ascii="Arial" w:hAnsi="Arial" w:eastAsia="Times New Roman" w:cs="Arial"/>
                <w:b/>
                <w:color w:val="000000"/>
                <w:sz w:val="24"/>
                <w:szCs w:val="24"/>
                <w:lang w:val="en-GB" w:eastAsia="en-GB"/>
              </w:rPr>
            </w:pPr>
          </w:p>
        </w:tc>
        <w:tc>
          <w:tcPr>
            <w:tcW w:w="2568" w:type="dxa"/>
            <w:vMerge w:val="continue"/>
            <w:shd w:val="clear" w:color="auto" w:fill="D8D8D8" w:themeFill="background1" w:themeFillShade="D9"/>
            <w:vAlign w:val="center"/>
          </w:tcPr>
          <w:p w14:paraId="664447A9">
            <w:pPr>
              <w:spacing w:line="360" w:lineRule="auto"/>
              <w:contextualSpacing/>
              <w:jc w:val="center"/>
              <w:rPr>
                <w:rFonts w:ascii="Arial" w:hAnsi="Arial" w:eastAsia="Times New Roman" w:cs="Arial"/>
                <w:b/>
                <w:color w:val="000000"/>
                <w:sz w:val="24"/>
                <w:szCs w:val="24"/>
                <w:lang w:val="en-GB" w:eastAsia="en-GB"/>
              </w:rPr>
            </w:pPr>
          </w:p>
        </w:tc>
        <w:tc>
          <w:tcPr>
            <w:tcW w:w="1440" w:type="dxa"/>
            <w:shd w:val="clear" w:color="auto" w:fill="D8D8D8" w:themeFill="background1" w:themeFillShade="D9"/>
            <w:vAlign w:val="center"/>
          </w:tcPr>
          <w:p w14:paraId="647E1980">
            <w:pPr>
              <w:spacing w:line="360" w:lineRule="auto"/>
              <w:contextualSpacing/>
              <w:jc w:val="center"/>
              <w:rPr>
                <w:rFonts w:ascii="Arial" w:hAnsi="Arial" w:eastAsia="Times New Roman" w:cs="Arial"/>
                <w:b/>
                <w:color w:val="000000"/>
                <w:sz w:val="24"/>
                <w:szCs w:val="24"/>
                <w:lang w:val="en-GB" w:eastAsia="en-GB"/>
              </w:rPr>
            </w:pPr>
            <w:r>
              <w:rPr>
                <w:rFonts w:ascii="Arial" w:hAnsi="Arial" w:eastAsia="Times New Roman" w:cs="Arial"/>
                <w:b/>
                <w:color w:val="000000"/>
                <w:sz w:val="24"/>
                <w:szCs w:val="24"/>
                <w:lang w:val="en-GB" w:eastAsia="en-GB"/>
              </w:rPr>
              <w:t>2023/24</w:t>
            </w:r>
          </w:p>
        </w:tc>
        <w:tc>
          <w:tcPr>
            <w:tcW w:w="1848" w:type="dxa"/>
            <w:shd w:val="clear" w:color="auto" w:fill="D8D8D8" w:themeFill="background1" w:themeFillShade="D9"/>
            <w:vAlign w:val="center"/>
          </w:tcPr>
          <w:p w14:paraId="54A52E0C">
            <w:pPr>
              <w:spacing w:line="360" w:lineRule="auto"/>
              <w:contextualSpacing/>
              <w:jc w:val="center"/>
              <w:rPr>
                <w:rFonts w:ascii="Arial" w:hAnsi="Arial" w:eastAsia="Times New Roman" w:cs="Arial"/>
                <w:b/>
                <w:color w:val="000000"/>
                <w:sz w:val="24"/>
                <w:szCs w:val="24"/>
                <w:lang w:val="en-GB" w:eastAsia="en-GB"/>
              </w:rPr>
            </w:pPr>
            <w:r>
              <w:rPr>
                <w:rFonts w:ascii="Arial" w:hAnsi="Arial" w:eastAsia="Times New Roman" w:cs="Arial"/>
                <w:b/>
                <w:color w:val="000000"/>
                <w:sz w:val="24"/>
                <w:szCs w:val="24"/>
                <w:lang w:val="en-GB" w:eastAsia="en-GB"/>
              </w:rPr>
              <w:t>2024//25</w:t>
            </w:r>
          </w:p>
        </w:tc>
        <w:tc>
          <w:tcPr>
            <w:tcW w:w="1680" w:type="dxa"/>
            <w:shd w:val="clear" w:color="auto" w:fill="D8D8D8" w:themeFill="background1" w:themeFillShade="D9"/>
            <w:vAlign w:val="center"/>
          </w:tcPr>
          <w:p w14:paraId="5FE46770">
            <w:pPr>
              <w:spacing w:line="360" w:lineRule="auto"/>
              <w:contextualSpacing/>
              <w:jc w:val="center"/>
              <w:rPr>
                <w:rFonts w:ascii="Arial" w:hAnsi="Arial" w:eastAsia="Times New Roman" w:cs="Arial"/>
                <w:b/>
                <w:color w:val="000000"/>
                <w:sz w:val="24"/>
                <w:szCs w:val="24"/>
                <w:lang w:val="en-GB" w:eastAsia="en-GB"/>
              </w:rPr>
            </w:pPr>
            <w:r>
              <w:rPr>
                <w:rFonts w:ascii="Arial" w:hAnsi="Arial" w:eastAsia="Times New Roman" w:cs="Arial"/>
                <w:b/>
                <w:color w:val="000000"/>
                <w:sz w:val="24"/>
                <w:szCs w:val="24"/>
                <w:lang w:val="en-GB" w:eastAsia="en-GB"/>
              </w:rPr>
              <w:t>2025/2026</w:t>
            </w:r>
          </w:p>
        </w:tc>
        <w:tc>
          <w:tcPr>
            <w:tcW w:w="1212" w:type="dxa"/>
            <w:vMerge w:val="continue"/>
            <w:shd w:val="clear" w:color="auto" w:fill="D8D8D8" w:themeFill="background1" w:themeFillShade="D9"/>
            <w:vAlign w:val="center"/>
          </w:tcPr>
          <w:p w14:paraId="58610ECD">
            <w:pPr>
              <w:spacing w:line="360" w:lineRule="auto"/>
              <w:contextualSpacing/>
              <w:jc w:val="center"/>
              <w:rPr>
                <w:rFonts w:ascii="Arial" w:hAnsi="Arial" w:eastAsia="Times New Roman" w:cs="Arial"/>
                <w:b/>
                <w:color w:val="000000"/>
                <w:sz w:val="24"/>
                <w:szCs w:val="24"/>
                <w:lang w:val="en-GB" w:eastAsia="en-GB"/>
              </w:rPr>
            </w:pPr>
          </w:p>
        </w:tc>
      </w:tr>
      <w:tr w14:paraId="6895E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87" w:type="dxa"/>
          </w:tcPr>
          <w:p w14:paraId="6E6ADF02">
            <w:pPr>
              <w:pStyle w:val="11"/>
              <w:numPr>
                <w:ilvl w:val="0"/>
                <w:numId w:val="7"/>
              </w:numPr>
              <w:spacing w:line="360" w:lineRule="auto"/>
              <w:ind w:left="360" w:leftChars="0" w:firstLineChars="0"/>
              <w:jc w:val="both"/>
              <w:rPr>
                <w:rFonts w:ascii="Arial" w:hAnsi="Arial" w:cs="Arial"/>
                <w:color w:val="000000"/>
                <w:sz w:val="24"/>
                <w:szCs w:val="24"/>
                <w:lang w:eastAsia="en-GB"/>
              </w:rPr>
            </w:pPr>
          </w:p>
        </w:tc>
        <w:tc>
          <w:tcPr>
            <w:tcW w:w="4392" w:type="dxa"/>
            <w:noWrap/>
            <w:vAlign w:val="center"/>
          </w:tcPr>
          <w:p w14:paraId="14FA4AB0">
            <w:pPr>
              <w:contextualSpacing/>
              <w:rPr>
                <w:rFonts w:ascii="Arial" w:hAnsi="Arial" w:eastAsia="Times New Roman" w:cs="Arial"/>
                <w:color w:val="000000"/>
                <w:sz w:val="24"/>
                <w:szCs w:val="24"/>
                <w:highlight w:val="none"/>
                <w:lang w:eastAsia="en-GB"/>
              </w:rPr>
            </w:pPr>
            <w:r>
              <w:rPr>
                <w:rFonts w:ascii="Arial" w:hAnsi="Arial" w:cs="Arial"/>
                <w:sz w:val="24"/>
                <w:szCs w:val="24"/>
                <w:highlight w:val="none"/>
              </w:rPr>
              <w:t>Number of corruption cases reported</w:t>
            </w:r>
          </w:p>
        </w:tc>
        <w:tc>
          <w:tcPr>
            <w:tcW w:w="2568" w:type="dxa"/>
            <w:vAlign w:val="center"/>
          </w:tcPr>
          <w:p w14:paraId="610FF842">
            <w:pPr>
              <w:contextualSpacing/>
              <w:jc w:val="center"/>
              <w:rPr>
                <w:rFonts w:hint="default" w:ascii="Arial" w:hAnsi="Arial" w:eastAsia="Times New Roman" w:cs="Arial"/>
                <w:color w:val="000000"/>
                <w:sz w:val="24"/>
                <w:szCs w:val="24"/>
                <w:highlight w:val="none"/>
                <w:lang w:val="en-US" w:eastAsia="en-GB"/>
              </w:rPr>
            </w:pPr>
            <w:r>
              <w:rPr>
                <w:rFonts w:hint="default" w:ascii="Arial" w:hAnsi="Arial" w:cs="Arial"/>
                <w:bCs/>
                <w:sz w:val="24"/>
                <w:szCs w:val="24"/>
                <w:highlight w:val="none"/>
                <w:lang w:val="en-US"/>
              </w:rPr>
              <w:t>Zero</w:t>
            </w:r>
          </w:p>
        </w:tc>
        <w:tc>
          <w:tcPr>
            <w:tcW w:w="1440" w:type="dxa"/>
            <w:vAlign w:val="center"/>
          </w:tcPr>
          <w:p w14:paraId="3CB3F044">
            <w:pPr>
              <w:contextualSpacing/>
              <w:jc w:val="center"/>
              <w:rPr>
                <w:rFonts w:hint="default" w:ascii="Tahoma" w:hAnsi="Tahoma" w:eastAsia="Times New Roman" w:cs="Tahoma"/>
                <w:sz w:val="24"/>
                <w:szCs w:val="24"/>
                <w:lang w:val="en-US"/>
              </w:rPr>
            </w:pPr>
            <w:r>
              <w:rPr>
                <w:rFonts w:hint="default" w:ascii="Tahoma" w:hAnsi="Tahoma" w:eastAsia="Times New Roman" w:cs="Tahoma"/>
                <w:sz w:val="24"/>
                <w:szCs w:val="24"/>
                <w:lang w:val="en-US"/>
              </w:rPr>
              <w:t>0</w:t>
            </w:r>
          </w:p>
        </w:tc>
        <w:tc>
          <w:tcPr>
            <w:tcW w:w="1848" w:type="dxa"/>
            <w:vAlign w:val="center"/>
          </w:tcPr>
          <w:p w14:paraId="5E1536F2">
            <w:pPr>
              <w:contextualSpacing/>
              <w:jc w:val="center"/>
              <w:rPr>
                <w:rFonts w:hint="default" w:ascii="Tahoma" w:hAnsi="Tahoma" w:eastAsia="Times New Roman" w:cs="Tahoma"/>
                <w:sz w:val="24"/>
                <w:szCs w:val="24"/>
                <w:lang w:val="en-US"/>
              </w:rPr>
            </w:pPr>
            <w:r>
              <w:rPr>
                <w:rFonts w:hint="default" w:ascii="Tahoma" w:hAnsi="Tahoma" w:eastAsia="Times New Roman" w:cs="Tahoma"/>
                <w:sz w:val="24"/>
                <w:szCs w:val="24"/>
                <w:lang w:val="en-US"/>
              </w:rPr>
              <w:t>0</w:t>
            </w:r>
          </w:p>
        </w:tc>
        <w:tc>
          <w:tcPr>
            <w:tcW w:w="1680" w:type="dxa"/>
            <w:vAlign w:val="center"/>
          </w:tcPr>
          <w:p w14:paraId="6EE9BE5F">
            <w:pPr>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0</w:t>
            </w:r>
          </w:p>
        </w:tc>
        <w:tc>
          <w:tcPr>
            <w:tcW w:w="1212" w:type="dxa"/>
            <w:vAlign w:val="center"/>
          </w:tcPr>
          <w:p w14:paraId="18394843">
            <w:pPr>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1</w:t>
            </w:r>
          </w:p>
        </w:tc>
      </w:tr>
      <w:tr w14:paraId="2AF53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87" w:type="dxa"/>
          </w:tcPr>
          <w:p w14:paraId="5AF18556">
            <w:pPr>
              <w:pStyle w:val="11"/>
              <w:numPr>
                <w:ilvl w:val="0"/>
                <w:numId w:val="7"/>
              </w:numPr>
              <w:spacing w:line="360" w:lineRule="auto"/>
              <w:ind w:left="360" w:leftChars="0" w:firstLineChars="0"/>
              <w:jc w:val="both"/>
              <w:rPr>
                <w:rFonts w:ascii="Arial" w:hAnsi="Arial" w:cs="Arial"/>
                <w:color w:val="000000"/>
                <w:sz w:val="24"/>
                <w:szCs w:val="24"/>
                <w:lang w:eastAsia="en-GB"/>
              </w:rPr>
            </w:pPr>
          </w:p>
        </w:tc>
        <w:tc>
          <w:tcPr>
            <w:tcW w:w="4392" w:type="dxa"/>
            <w:noWrap/>
            <w:vAlign w:val="center"/>
          </w:tcPr>
          <w:p w14:paraId="7E951A11">
            <w:pPr>
              <w:contextualSpacing/>
              <w:rPr>
                <w:rFonts w:ascii="Arial" w:hAnsi="Arial" w:eastAsia="Times New Roman" w:cs="Arial"/>
                <w:color w:val="000000"/>
                <w:sz w:val="24"/>
                <w:szCs w:val="24"/>
                <w:lang w:eastAsia="en-GB"/>
              </w:rPr>
            </w:pPr>
            <w:r>
              <w:rPr>
                <w:rFonts w:ascii="Arial" w:hAnsi="Arial" w:cs="Arial"/>
                <w:color w:val="000000"/>
                <w:sz w:val="24"/>
                <w:szCs w:val="24"/>
              </w:rPr>
              <w:t xml:space="preserve">Audit Opinion </w:t>
            </w:r>
          </w:p>
        </w:tc>
        <w:tc>
          <w:tcPr>
            <w:tcW w:w="2568" w:type="dxa"/>
            <w:vAlign w:val="center"/>
          </w:tcPr>
          <w:p w14:paraId="3915F89C">
            <w:pPr>
              <w:contextualSpacing/>
              <w:jc w:val="center"/>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Unqualified</w:t>
            </w:r>
          </w:p>
        </w:tc>
        <w:tc>
          <w:tcPr>
            <w:tcW w:w="1440" w:type="dxa"/>
            <w:shd w:val="clear" w:color="auto" w:fill="auto"/>
            <w:vAlign w:val="center"/>
          </w:tcPr>
          <w:p w14:paraId="1AEF4B05">
            <w:pPr>
              <w:contextualSpacing/>
              <w:rPr>
                <w:rFonts w:ascii="Arial" w:hAnsi="Arial" w:eastAsia="Times New Roman" w:cs="Arial"/>
                <w:color w:val="000000"/>
                <w:sz w:val="24"/>
                <w:szCs w:val="24"/>
                <w:lang w:val="en-GB" w:eastAsia="en-GB" w:bidi="ar-SA"/>
              </w:rPr>
            </w:pPr>
            <w:r>
              <w:rPr>
                <w:rFonts w:ascii="Arial" w:hAnsi="Arial" w:eastAsia="Times New Roman" w:cs="Arial"/>
                <w:color w:val="000000"/>
                <w:sz w:val="24"/>
                <w:szCs w:val="24"/>
                <w:lang w:eastAsia="en-GB"/>
              </w:rPr>
              <w:t xml:space="preserve">Unqualified </w:t>
            </w:r>
          </w:p>
        </w:tc>
        <w:tc>
          <w:tcPr>
            <w:tcW w:w="1848" w:type="dxa"/>
            <w:vAlign w:val="center"/>
          </w:tcPr>
          <w:p w14:paraId="691DCA31">
            <w:pPr>
              <w:contextualSpacing/>
              <w:rPr>
                <w:rFonts w:ascii="Tahoma" w:hAnsi="Tahoma" w:eastAsia="Times New Roman" w:cs="Tahoma"/>
                <w:sz w:val="24"/>
                <w:szCs w:val="24"/>
                <w:lang w:val="en-GB"/>
              </w:rPr>
            </w:pPr>
            <w:r>
              <w:rPr>
                <w:rFonts w:ascii="Arial" w:hAnsi="Arial" w:cs="Arial"/>
                <w:color w:val="000000" w:themeColor="text1"/>
                <w:sz w:val="24"/>
                <w:szCs w:val="24"/>
                <w14:textFill>
                  <w14:solidFill>
                    <w14:schemeClr w14:val="tx1"/>
                  </w14:solidFill>
                </w14:textFill>
              </w:rPr>
              <w:t>Auditing on progress</w:t>
            </w:r>
          </w:p>
        </w:tc>
        <w:tc>
          <w:tcPr>
            <w:tcW w:w="1680" w:type="dxa"/>
            <w:vAlign w:val="center"/>
          </w:tcPr>
          <w:p w14:paraId="36E2AFAA">
            <w:pPr>
              <w:contextualSpacing/>
              <w:jc w:val="center"/>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Unqualified</w:t>
            </w:r>
          </w:p>
        </w:tc>
        <w:tc>
          <w:tcPr>
            <w:tcW w:w="1212" w:type="dxa"/>
            <w:vAlign w:val="center"/>
          </w:tcPr>
          <w:p w14:paraId="3179DBE2">
            <w:pPr>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2</w:t>
            </w:r>
          </w:p>
        </w:tc>
      </w:tr>
      <w:tr w14:paraId="1C1A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87" w:type="dxa"/>
          </w:tcPr>
          <w:p w14:paraId="1D9B69A4">
            <w:pPr>
              <w:pStyle w:val="11"/>
              <w:numPr>
                <w:ilvl w:val="0"/>
                <w:numId w:val="7"/>
              </w:numPr>
              <w:spacing w:line="360" w:lineRule="auto"/>
              <w:ind w:left="360" w:leftChars="0" w:firstLineChars="0"/>
              <w:jc w:val="both"/>
              <w:rPr>
                <w:rFonts w:ascii="Arial" w:hAnsi="Arial" w:cs="Arial"/>
                <w:color w:val="000000"/>
                <w:sz w:val="24"/>
                <w:szCs w:val="24"/>
                <w:highlight w:val="none"/>
                <w:lang w:eastAsia="en-GB"/>
              </w:rPr>
            </w:pPr>
          </w:p>
        </w:tc>
        <w:tc>
          <w:tcPr>
            <w:tcW w:w="4392" w:type="dxa"/>
            <w:noWrap/>
            <w:vAlign w:val="center"/>
          </w:tcPr>
          <w:p w14:paraId="6E307797">
            <w:pPr>
              <w:contextualSpacing/>
              <w:rPr>
                <w:rFonts w:ascii="Arial" w:hAnsi="Arial" w:eastAsia="Times New Roman" w:cs="Arial"/>
                <w:color w:val="000000"/>
                <w:sz w:val="24"/>
                <w:szCs w:val="24"/>
                <w:highlight w:val="none"/>
                <w:lang w:eastAsia="en-GB"/>
              </w:rPr>
            </w:pPr>
            <w:r>
              <w:rPr>
                <w:rFonts w:ascii="Arial" w:hAnsi="Arial" w:cs="Arial"/>
                <w:color w:val="000000"/>
                <w:sz w:val="24"/>
                <w:szCs w:val="24"/>
                <w:highlight w:val="none"/>
              </w:rPr>
              <w:t>% of audit findings resolved by the deadline</w:t>
            </w:r>
          </w:p>
        </w:tc>
        <w:tc>
          <w:tcPr>
            <w:tcW w:w="2568" w:type="dxa"/>
            <w:vAlign w:val="center"/>
          </w:tcPr>
          <w:p w14:paraId="5468D2D7">
            <w:pPr>
              <w:contextualSpacing/>
              <w:jc w:val="center"/>
              <w:rPr>
                <w:rFonts w:ascii="Arial" w:hAnsi="Arial" w:eastAsia="Times New Roman" w:cs="Arial"/>
                <w:color w:val="000000"/>
                <w:sz w:val="24"/>
                <w:szCs w:val="24"/>
                <w:highlight w:val="none"/>
                <w:lang w:eastAsia="en-GB"/>
              </w:rPr>
            </w:pPr>
            <w:r>
              <w:rPr>
                <w:rFonts w:hint="default" w:ascii="Arial" w:hAnsi="Arial" w:eastAsia="Times New Roman" w:cs="Arial"/>
                <w:color w:val="000000"/>
                <w:sz w:val="24"/>
                <w:szCs w:val="24"/>
                <w:highlight w:val="none"/>
                <w:lang w:val="en-US" w:eastAsia="en-GB"/>
              </w:rPr>
              <w:t>80</w:t>
            </w:r>
            <w:r>
              <w:rPr>
                <w:rFonts w:ascii="Arial" w:hAnsi="Arial" w:eastAsia="Times New Roman" w:cs="Arial"/>
                <w:color w:val="000000"/>
                <w:sz w:val="24"/>
                <w:szCs w:val="24"/>
                <w:highlight w:val="none"/>
                <w:lang w:eastAsia="en-GB"/>
              </w:rPr>
              <w:t>%</w:t>
            </w:r>
          </w:p>
        </w:tc>
        <w:tc>
          <w:tcPr>
            <w:tcW w:w="1440" w:type="dxa"/>
            <w:vAlign w:val="center"/>
          </w:tcPr>
          <w:p w14:paraId="546D6D07">
            <w:pPr>
              <w:contextualSpacing/>
              <w:jc w:val="center"/>
              <w:rPr>
                <w:rFonts w:hint="default" w:ascii="Tahoma" w:hAnsi="Tahoma" w:eastAsia="Times New Roman" w:cs="Tahoma"/>
                <w:sz w:val="24"/>
                <w:szCs w:val="24"/>
                <w:highlight w:val="none"/>
                <w:lang w:val="en-US"/>
              </w:rPr>
            </w:pPr>
            <w:r>
              <w:rPr>
                <w:rFonts w:hint="default" w:ascii="Tahoma" w:hAnsi="Tahoma" w:eastAsia="Times New Roman" w:cs="Tahoma"/>
                <w:sz w:val="24"/>
                <w:szCs w:val="24"/>
                <w:highlight w:val="none"/>
                <w:lang w:val="en-US"/>
              </w:rPr>
              <w:t>50%</w:t>
            </w:r>
          </w:p>
        </w:tc>
        <w:tc>
          <w:tcPr>
            <w:tcW w:w="1848" w:type="dxa"/>
            <w:vAlign w:val="center"/>
          </w:tcPr>
          <w:p w14:paraId="04FC871B">
            <w:pPr>
              <w:contextualSpacing/>
              <w:jc w:val="center"/>
              <w:rPr>
                <w:rFonts w:hint="default" w:ascii="Tahoma" w:hAnsi="Tahoma" w:eastAsia="Times New Roman" w:cs="Tahoma"/>
                <w:sz w:val="24"/>
                <w:szCs w:val="24"/>
                <w:highlight w:val="none"/>
                <w:lang w:val="en-US"/>
              </w:rPr>
            </w:pPr>
            <w:r>
              <w:rPr>
                <w:rFonts w:hint="default" w:ascii="Tahoma" w:hAnsi="Tahoma" w:eastAsia="Times New Roman" w:cs="Tahoma"/>
                <w:sz w:val="24"/>
                <w:szCs w:val="24"/>
                <w:highlight w:val="none"/>
                <w:lang w:val="en-US"/>
              </w:rPr>
              <w:t>94%</w:t>
            </w:r>
          </w:p>
        </w:tc>
        <w:tc>
          <w:tcPr>
            <w:tcW w:w="1680" w:type="dxa"/>
            <w:vAlign w:val="center"/>
          </w:tcPr>
          <w:p w14:paraId="66D7B6F3">
            <w:pPr>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80%</w:t>
            </w:r>
          </w:p>
        </w:tc>
        <w:tc>
          <w:tcPr>
            <w:tcW w:w="1212" w:type="dxa"/>
            <w:vAlign w:val="center"/>
          </w:tcPr>
          <w:p w14:paraId="7C92858E">
            <w:pPr>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2</w:t>
            </w:r>
          </w:p>
        </w:tc>
      </w:tr>
      <w:tr w14:paraId="6535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587" w:type="dxa"/>
          </w:tcPr>
          <w:p w14:paraId="41AF62CA">
            <w:pPr>
              <w:pStyle w:val="11"/>
              <w:numPr>
                <w:ilvl w:val="0"/>
                <w:numId w:val="7"/>
              </w:numPr>
              <w:spacing w:after="0" w:line="360" w:lineRule="auto"/>
              <w:ind w:left="360" w:leftChars="0" w:firstLineChars="0"/>
              <w:jc w:val="both"/>
              <w:rPr>
                <w:rFonts w:ascii="Arial" w:hAnsi="Arial" w:cs="Arial"/>
                <w:color w:val="000000"/>
                <w:sz w:val="24"/>
                <w:szCs w:val="24"/>
                <w:highlight w:val="none"/>
                <w:lang w:eastAsia="en-GB"/>
              </w:rPr>
            </w:pPr>
          </w:p>
        </w:tc>
        <w:tc>
          <w:tcPr>
            <w:tcW w:w="4392" w:type="dxa"/>
            <w:noWrap/>
          </w:tcPr>
          <w:p w14:paraId="006DA5F8">
            <w:pPr>
              <w:spacing w:after="0"/>
              <w:contextualSpacing/>
              <w:rPr>
                <w:rFonts w:ascii="Arial" w:hAnsi="Arial" w:eastAsia="Times New Roman" w:cs="Arial"/>
                <w:color w:val="000000"/>
                <w:sz w:val="24"/>
                <w:szCs w:val="24"/>
                <w:highlight w:val="none"/>
                <w:lang w:eastAsia="en-GB"/>
              </w:rPr>
            </w:pPr>
            <w:r>
              <w:rPr>
                <w:rFonts w:ascii="Arial" w:hAnsi="Arial" w:cs="Arial"/>
                <w:color w:val="000000"/>
                <w:sz w:val="24"/>
                <w:szCs w:val="24"/>
                <w:highlight w:val="none"/>
              </w:rPr>
              <w:t>Board Assessment Score</w:t>
            </w:r>
          </w:p>
        </w:tc>
        <w:tc>
          <w:tcPr>
            <w:tcW w:w="2568" w:type="dxa"/>
          </w:tcPr>
          <w:p w14:paraId="0984D29F">
            <w:pPr>
              <w:spacing w:after="0"/>
              <w:contextualSpacing/>
              <w:jc w:val="center"/>
              <w:rPr>
                <w:rFonts w:ascii="Arial" w:hAnsi="Arial" w:eastAsia="Times New Roman" w:cs="Arial"/>
                <w:color w:val="000000"/>
                <w:sz w:val="24"/>
                <w:szCs w:val="24"/>
                <w:highlight w:val="none"/>
                <w:lang w:eastAsia="en-GB"/>
              </w:rPr>
            </w:pPr>
            <w:r>
              <w:rPr>
                <w:rFonts w:ascii="Arial" w:hAnsi="Arial" w:cs="Arial"/>
                <w:bCs/>
                <w:sz w:val="24"/>
                <w:szCs w:val="24"/>
                <w:highlight w:val="none"/>
              </w:rPr>
              <w:t>Min 70%</w:t>
            </w:r>
          </w:p>
        </w:tc>
        <w:tc>
          <w:tcPr>
            <w:tcW w:w="1440" w:type="dxa"/>
          </w:tcPr>
          <w:p w14:paraId="4790C1BA">
            <w:pPr>
              <w:spacing w:after="0"/>
              <w:contextualSpacing/>
              <w:jc w:val="center"/>
              <w:rPr>
                <w:rFonts w:hint="default" w:ascii="Tahoma" w:hAnsi="Tahoma" w:eastAsia="Times New Roman" w:cs="Tahoma"/>
                <w:sz w:val="24"/>
                <w:szCs w:val="24"/>
                <w:highlight w:val="none"/>
                <w:lang w:val="en-US"/>
              </w:rPr>
            </w:pPr>
            <w:r>
              <w:rPr>
                <w:rFonts w:hint="default" w:ascii="Tahoma" w:hAnsi="Tahoma" w:eastAsia="Times New Roman" w:cs="Tahoma"/>
                <w:sz w:val="24"/>
                <w:szCs w:val="24"/>
                <w:highlight w:val="none"/>
                <w:lang w:val="en-US"/>
              </w:rPr>
              <w:t>0</w:t>
            </w:r>
          </w:p>
        </w:tc>
        <w:tc>
          <w:tcPr>
            <w:tcW w:w="1848" w:type="dxa"/>
          </w:tcPr>
          <w:p w14:paraId="1764E91B">
            <w:pPr>
              <w:spacing w:after="0"/>
              <w:contextualSpacing/>
              <w:jc w:val="center"/>
              <w:rPr>
                <w:rFonts w:ascii="Tahoma" w:hAnsi="Tahoma" w:eastAsia="Times New Roman" w:cs="Tahoma"/>
                <w:sz w:val="24"/>
                <w:szCs w:val="24"/>
                <w:highlight w:val="none"/>
                <w:lang w:val="en-GB"/>
              </w:rPr>
            </w:pPr>
            <w:r>
              <w:rPr>
                <w:rFonts w:hint="default" w:ascii="Tahoma" w:hAnsi="Tahoma" w:eastAsia="Times New Roman" w:cs="Tahoma"/>
                <w:sz w:val="24"/>
                <w:szCs w:val="24"/>
                <w:highlight w:val="none"/>
                <w:lang w:val="en-US"/>
              </w:rPr>
              <w:t>0</w:t>
            </w:r>
          </w:p>
        </w:tc>
        <w:tc>
          <w:tcPr>
            <w:tcW w:w="1680" w:type="dxa"/>
          </w:tcPr>
          <w:p w14:paraId="154F7B97">
            <w:pPr>
              <w:spacing w:after="0"/>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 xml:space="preserve"> 70%</w:t>
            </w:r>
          </w:p>
        </w:tc>
        <w:tc>
          <w:tcPr>
            <w:tcW w:w="1212" w:type="dxa"/>
          </w:tcPr>
          <w:p w14:paraId="25450DF9">
            <w:pPr>
              <w:spacing w:after="0"/>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1</w:t>
            </w:r>
          </w:p>
        </w:tc>
      </w:tr>
      <w:tr w14:paraId="501DD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87" w:type="dxa"/>
          </w:tcPr>
          <w:p w14:paraId="5CF3A816">
            <w:pPr>
              <w:pStyle w:val="11"/>
              <w:numPr>
                <w:ilvl w:val="0"/>
                <w:numId w:val="7"/>
              </w:numPr>
              <w:spacing w:after="0" w:line="360" w:lineRule="auto"/>
              <w:ind w:left="360" w:leftChars="0" w:firstLineChars="0"/>
              <w:jc w:val="both"/>
              <w:rPr>
                <w:rFonts w:ascii="Arial" w:hAnsi="Arial" w:cs="Arial"/>
                <w:color w:val="000000"/>
                <w:sz w:val="24"/>
                <w:szCs w:val="24"/>
                <w:lang w:eastAsia="en-GB"/>
              </w:rPr>
            </w:pPr>
          </w:p>
        </w:tc>
        <w:tc>
          <w:tcPr>
            <w:tcW w:w="4392" w:type="dxa"/>
            <w:noWrap/>
          </w:tcPr>
          <w:p w14:paraId="0A84310F">
            <w:pPr>
              <w:spacing w:after="0"/>
              <w:contextualSpacing/>
              <w:rPr>
                <w:rFonts w:ascii="Arial" w:hAnsi="Arial" w:eastAsia="Times New Roman" w:cs="Arial"/>
                <w:color w:val="000000"/>
                <w:sz w:val="24"/>
                <w:szCs w:val="24"/>
                <w:lang w:eastAsia="en-GB"/>
              </w:rPr>
            </w:pPr>
            <w:r>
              <w:rPr>
                <w:rFonts w:ascii="Arial" w:hAnsi="Arial" w:cs="Arial"/>
                <w:color w:val="000000"/>
                <w:sz w:val="24"/>
                <w:szCs w:val="24"/>
              </w:rPr>
              <w:t>Compliance with Business continuity plan</w:t>
            </w:r>
          </w:p>
        </w:tc>
        <w:tc>
          <w:tcPr>
            <w:tcW w:w="2568" w:type="dxa"/>
          </w:tcPr>
          <w:p w14:paraId="0C5AB07E">
            <w:pPr>
              <w:spacing w:after="0"/>
              <w:contextualSpacing/>
              <w:jc w:val="center"/>
              <w:rPr>
                <w:rFonts w:ascii="Arial" w:hAnsi="Arial" w:eastAsia="Times New Roman" w:cs="Arial"/>
                <w:color w:val="000000"/>
                <w:sz w:val="24"/>
                <w:szCs w:val="24"/>
                <w:lang w:eastAsia="en-GB"/>
              </w:rPr>
            </w:pPr>
            <w:r>
              <w:rPr>
                <w:rFonts w:ascii="Arial" w:hAnsi="Arial" w:cs="Arial"/>
                <w:bCs/>
                <w:sz w:val="24"/>
                <w:szCs w:val="24"/>
              </w:rPr>
              <w:t>100%</w:t>
            </w:r>
          </w:p>
        </w:tc>
        <w:tc>
          <w:tcPr>
            <w:tcW w:w="1440" w:type="dxa"/>
          </w:tcPr>
          <w:p w14:paraId="0E31936A">
            <w:pPr>
              <w:spacing w:after="0"/>
              <w:contextualSpacing/>
              <w:jc w:val="center"/>
              <w:rPr>
                <w:rFonts w:hint="default" w:ascii="Tahoma" w:hAnsi="Tahoma" w:eastAsia="Times New Roman" w:cs="Tahoma"/>
                <w:sz w:val="24"/>
                <w:szCs w:val="24"/>
                <w:lang w:val="en-US"/>
              </w:rPr>
            </w:pPr>
            <w:r>
              <w:rPr>
                <w:rFonts w:hint="default" w:ascii="Tahoma" w:hAnsi="Tahoma" w:eastAsia="Times New Roman" w:cs="Tahoma"/>
                <w:sz w:val="24"/>
                <w:szCs w:val="24"/>
                <w:lang w:val="en-US"/>
              </w:rPr>
              <w:t>30%</w:t>
            </w:r>
          </w:p>
        </w:tc>
        <w:tc>
          <w:tcPr>
            <w:tcW w:w="1848" w:type="dxa"/>
          </w:tcPr>
          <w:p w14:paraId="1EF1017B">
            <w:pPr>
              <w:spacing w:after="0"/>
              <w:contextualSpacing/>
              <w:jc w:val="center"/>
              <w:rPr>
                <w:rFonts w:hint="default" w:ascii="Tahoma" w:hAnsi="Tahoma" w:eastAsia="Times New Roman" w:cs="Tahoma"/>
                <w:sz w:val="24"/>
                <w:szCs w:val="24"/>
                <w:lang w:val="en-US"/>
              </w:rPr>
            </w:pPr>
            <w:r>
              <w:rPr>
                <w:rFonts w:hint="default" w:ascii="Tahoma" w:hAnsi="Tahoma" w:eastAsia="Times New Roman" w:cs="Tahoma"/>
                <w:sz w:val="24"/>
                <w:szCs w:val="24"/>
                <w:lang w:val="en-US"/>
              </w:rPr>
              <w:t>74%</w:t>
            </w:r>
          </w:p>
        </w:tc>
        <w:tc>
          <w:tcPr>
            <w:tcW w:w="1680" w:type="dxa"/>
          </w:tcPr>
          <w:p w14:paraId="1ED29976">
            <w:pPr>
              <w:spacing w:after="0"/>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100%</w:t>
            </w:r>
          </w:p>
        </w:tc>
        <w:tc>
          <w:tcPr>
            <w:tcW w:w="1212" w:type="dxa"/>
          </w:tcPr>
          <w:p w14:paraId="10560C2D">
            <w:pPr>
              <w:spacing w:after="0"/>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1</w:t>
            </w:r>
          </w:p>
        </w:tc>
      </w:tr>
      <w:tr w14:paraId="5E6C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87" w:type="dxa"/>
          </w:tcPr>
          <w:p w14:paraId="240EB693">
            <w:pPr>
              <w:pStyle w:val="11"/>
              <w:numPr>
                <w:ilvl w:val="0"/>
                <w:numId w:val="7"/>
              </w:numPr>
              <w:spacing w:after="0" w:line="360" w:lineRule="auto"/>
              <w:ind w:left="360" w:leftChars="0" w:firstLineChars="0"/>
              <w:jc w:val="both"/>
              <w:rPr>
                <w:rFonts w:ascii="Arial" w:hAnsi="Arial" w:cs="Arial"/>
                <w:color w:val="000000"/>
                <w:sz w:val="24"/>
                <w:szCs w:val="24"/>
                <w:lang w:eastAsia="en-GB"/>
              </w:rPr>
            </w:pPr>
          </w:p>
        </w:tc>
        <w:tc>
          <w:tcPr>
            <w:tcW w:w="4392" w:type="dxa"/>
            <w:noWrap/>
          </w:tcPr>
          <w:p w14:paraId="637EE8B0">
            <w:pPr>
              <w:spacing w:after="0"/>
              <w:contextualSpacing/>
              <w:rPr>
                <w:rFonts w:ascii="Arial" w:hAnsi="Arial" w:eastAsia="Times New Roman" w:cs="Arial"/>
                <w:color w:val="000000"/>
                <w:sz w:val="24"/>
                <w:szCs w:val="24"/>
                <w:lang w:eastAsia="en-GB"/>
              </w:rPr>
            </w:pPr>
            <w:r>
              <w:rPr>
                <w:rFonts w:ascii="Arial" w:hAnsi="Arial" w:cs="Arial"/>
                <w:color w:val="000000"/>
                <w:sz w:val="24"/>
                <w:szCs w:val="24"/>
              </w:rPr>
              <w:t xml:space="preserve">% of Risks Mitigation Implemented </w:t>
            </w:r>
          </w:p>
        </w:tc>
        <w:tc>
          <w:tcPr>
            <w:tcW w:w="2568" w:type="dxa"/>
          </w:tcPr>
          <w:p w14:paraId="16B18620">
            <w:pPr>
              <w:spacing w:after="0"/>
              <w:contextualSpacing/>
              <w:jc w:val="center"/>
              <w:rPr>
                <w:rFonts w:ascii="Arial" w:hAnsi="Arial" w:eastAsia="Times New Roman" w:cs="Arial"/>
                <w:color w:val="000000"/>
                <w:sz w:val="24"/>
                <w:szCs w:val="24"/>
                <w:lang w:eastAsia="en-GB"/>
              </w:rPr>
            </w:pPr>
            <w:r>
              <w:rPr>
                <w:rFonts w:ascii="Arial" w:hAnsi="Arial" w:cs="Arial"/>
                <w:bCs/>
                <w:sz w:val="24"/>
                <w:szCs w:val="24"/>
              </w:rPr>
              <w:t>100%</w:t>
            </w:r>
          </w:p>
        </w:tc>
        <w:tc>
          <w:tcPr>
            <w:tcW w:w="1440" w:type="dxa"/>
            <w:shd w:val="clear" w:color="auto" w:fill="auto"/>
            <w:vAlign w:val="center"/>
          </w:tcPr>
          <w:p w14:paraId="33733977">
            <w:pPr>
              <w:jc w:val="center"/>
              <w:rPr>
                <w:rFonts w:hint="default" w:ascii="Arial" w:hAnsi="Arial" w:eastAsia="Times New Roman" w:cs="Arial"/>
                <w:sz w:val="24"/>
                <w:szCs w:val="24"/>
                <w:lang w:val="en-GB" w:eastAsia="en-GB" w:bidi="ar-SA"/>
              </w:rPr>
            </w:pPr>
            <w:r>
              <w:rPr>
                <w:rFonts w:hint="default" w:ascii="Arial" w:hAnsi="Arial" w:eastAsia="Times New Roman" w:cs="Arial"/>
                <w:sz w:val="24"/>
                <w:szCs w:val="24"/>
                <w:lang w:val="en-US" w:eastAsia="en-GB"/>
              </w:rPr>
              <w:t>53.33%</w:t>
            </w:r>
          </w:p>
        </w:tc>
        <w:tc>
          <w:tcPr>
            <w:tcW w:w="1848" w:type="dxa"/>
            <w:shd w:val="clear" w:color="auto" w:fill="auto"/>
            <w:vAlign w:val="center"/>
          </w:tcPr>
          <w:p w14:paraId="66705AC7">
            <w:pPr>
              <w:jc w:val="center"/>
              <w:rPr>
                <w:rFonts w:hint="default" w:ascii="Arial" w:hAnsi="Arial" w:eastAsia="Times New Roman" w:cs="Arial"/>
                <w:color w:val="000000"/>
                <w:sz w:val="24"/>
                <w:szCs w:val="24"/>
                <w:highlight w:val="none"/>
                <w:lang w:val="en-GB" w:eastAsia="en-GB" w:bidi="ar-SA"/>
              </w:rPr>
            </w:pPr>
            <w:r>
              <w:rPr>
                <w:rFonts w:hint="default" w:ascii="Arial" w:hAnsi="Arial" w:eastAsia="Times New Roman" w:cs="Arial"/>
                <w:color w:val="000000"/>
                <w:sz w:val="24"/>
                <w:szCs w:val="24"/>
                <w:highlight w:val="none"/>
                <w:lang w:val="en-US" w:eastAsia="en-GB"/>
              </w:rPr>
              <w:t>68%</w:t>
            </w:r>
          </w:p>
        </w:tc>
        <w:tc>
          <w:tcPr>
            <w:tcW w:w="1680" w:type="dxa"/>
          </w:tcPr>
          <w:p w14:paraId="7F57683E">
            <w:pPr>
              <w:spacing w:after="0"/>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100%</w:t>
            </w:r>
          </w:p>
        </w:tc>
        <w:tc>
          <w:tcPr>
            <w:tcW w:w="1212" w:type="dxa"/>
          </w:tcPr>
          <w:p w14:paraId="57471E90">
            <w:pPr>
              <w:spacing w:after="0"/>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2</w:t>
            </w:r>
          </w:p>
        </w:tc>
      </w:tr>
      <w:tr w14:paraId="44DA4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87" w:type="dxa"/>
          </w:tcPr>
          <w:p w14:paraId="7FB3CD81">
            <w:pPr>
              <w:pStyle w:val="11"/>
              <w:numPr>
                <w:ilvl w:val="0"/>
                <w:numId w:val="7"/>
              </w:numPr>
              <w:spacing w:after="0" w:line="360" w:lineRule="auto"/>
              <w:ind w:left="360" w:leftChars="0" w:firstLineChars="0"/>
              <w:jc w:val="both"/>
              <w:rPr>
                <w:rFonts w:ascii="Arial" w:hAnsi="Arial" w:cs="Arial"/>
                <w:color w:val="000000"/>
                <w:sz w:val="24"/>
                <w:szCs w:val="24"/>
                <w:lang w:eastAsia="en-GB"/>
              </w:rPr>
            </w:pPr>
          </w:p>
        </w:tc>
        <w:tc>
          <w:tcPr>
            <w:tcW w:w="4392" w:type="dxa"/>
            <w:noWrap/>
          </w:tcPr>
          <w:p w14:paraId="2FDFD329">
            <w:pPr>
              <w:spacing w:after="0"/>
              <w:contextualSpacing/>
              <w:rPr>
                <w:rFonts w:ascii="Arial" w:hAnsi="Arial" w:cs="Arial"/>
                <w:color w:val="000000" w:themeColor="text1"/>
                <w:sz w:val="24"/>
                <w:szCs w:val="24"/>
                <w14:textFill>
                  <w14:solidFill>
                    <w14:schemeClr w14:val="tx1"/>
                  </w14:solidFill>
                </w14:textFill>
              </w:rPr>
            </w:pPr>
            <w:r>
              <w:rPr>
                <w:rFonts w:ascii="Arial" w:hAnsi="Arial" w:cs="Arial"/>
                <w:color w:val="000000" w:themeColor="text1"/>
                <w:sz w:val="24"/>
                <w:szCs w:val="24"/>
                <w14:textFill>
                  <w14:solidFill>
                    <w14:schemeClr w14:val="tx1"/>
                  </w14:solidFill>
                </w14:textFill>
              </w:rPr>
              <w:t>% of repeat audit findings</w:t>
            </w:r>
          </w:p>
        </w:tc>
        <w:tc>
          <w:tcPr>
            <w:tcW w:w="2568" w:type="dxa"/>
          </w:tcPr>
          <w:p w14:paraId="38B4AB21">
            <w:pPr>
              <w:spacing w:after="0"/>
              <w:contextualSpacing/>
              <w:jc w:val="center"/>
              <w:rPr>
                <w:rFonts w:ascii="Arial" w:hAnsi="Arial" w:cs="Arial"/>
                <w:bCs/>
                <w:color w:val="000000" w:themeColor="text1"/>
                <w:sz w:val="24"/>
                <w:szCs w:val="24"/>
                <w14:textFill>
                  <w14:solidFill>
                    <w14:schemeClr w14:val="tx1"/>
                  </w14:solidFill>
                </w14:textFill>
              </w:rPr>
            </w:pPr>
            <w:r>
              <w:rPr>
                <w:rFonts w:ascii="Arial" w:hAnsi="Arial" w:cs="Arial"/>
                <w:bCs/>
                <w:color w:val="000000" w:themeColor="text1"/>
                <w:sz w:val="24"/>
                <w:szCs w:val="24"/>
                <w14:textFill>
                  <w14:solidFill>
                    <w14:schemeClr w14:val="tx1"/>
                  </w14:solidFill>
                </w14:textFill>
              </w:rPr>
              <w:t>Max 5%</w:t>
            </w:r>
          </w:p>
        </w:tc>
        <w:tc>
          <w:tcPr>
            <w:tcW w:w="1440" w:type="dxa"/>
          </w:tcPr>
          <w:p w14:paraId="0615E5A9">
            <w:pPr>
              <w:spacing w:after="0"/>
              <w:contextualSpacing/>
              <w:jc w:val="center"/>
              <w:rPr>
                <w:rFonts w:hint="default" w:ascii="Tahoma" w:hAnsi="Tahoma" w:eastAsia="Times New Roman" w:cs="Tahoma"/>
                <w:sz w:val="24"/>
                <w:szCs w:val="24"/>
                <w:lang w:val="en-US"/>
              </w:rPr>
            </w:pPr>
            <w:r>
              <w:rPr>
                <w:rFonts w:hint="default" w:ascii="Tahoma" w:hAnsi="Tahoma" w:eastAsia="Times New Roman" w:cs="Tahoma"/>
                <w:sz w:val="24"/>
                <w:szCs w:val="24"/>
                <w:lang w:val="en-US"/>
              </w:rPr>
              <w:t>3.1%</w:t>
            </w:r>
          </w:p>
        </w:tc>
        <w:tc>
          <w:tcPr>
            <w:tcW w:w="1848" w:type="dxa"/>
          </w:tcPr>
          <w:p w14:paraId="1118419D">
            <w:pPr>
              <w:spacing w:after="0"/>
              <w:contextualSpacing/>
              <w:jc w:val="center"/>
              <w:rPr>
                <w:rFonts w:hint="default" w:ascii="Tahoma" w:hAnsi="Tahoma" w:eastAsia="Times New Roman" w:cs="Tahoma"/>
                <w:sz w:val="24"/>
                <w:szCs w:val="24"/>
                <w:lang w:val="en-US"/>
              </w:rPr>
            </w:pPr>
            <w:r>
              <w:rPr>
                <w:rFonts w:hint="default" w:ascii="Tahoma" w:hAnsi="Tahoma" w:eastAsia="Times New Roman" w:cs="Tahoma"/>
                <w:sz w:val="24"/>
                <w:szCs w:val="24"/>
                <w:lang w:val="en-US"/>
              </w:rPr>
              <w:t>2.8%</w:t>
            </w:r>
          </w:p>
        </w:tc>
        <w:tc>
          <w:tcPr>
            <w:tcW w:w="1680" w:type="dxa"/>
          </w:tcPr>
          <w:p w14:paraId="6A99E6DE">
            <w:pPr>
              <w:spacing w:after="0"/>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5%</w:t>
            </w:r>
          </w:p>
        </w:tc>
        <w:tc>
          <w:tcPr>
            <w:tcW w:w="1212" w:type="dxa"/>
          </w:tcPr>
          <w:p w14:paraId="2D3AD3C0">
            <w:pPr>
              <w:spacing w:after="0"/>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2</w:t>
            </w:r>
          </w:p>
        </w:tc>
      </w:tr>
      <w:tr w14:paraId="0A7AB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87" w:type="dxa"/>
          </w:tcPr>
          <w:p w14:paraId="04A202BB">
            <w:pPr>
              <w:pStyle w:val="11"/>
              <w:numPr>
                <w:ilvl w:val="0"/>
                <w:numId w:val="7"/>
              </w:numPr>
              <w:spacing w:after="0" w:line="360" w:lineRule="auto"/>
              <w:ind w:left="360" w:leftChars="0" w:firstLineChars="0"/>
              <w:jc w:val="both"/>
              <w:rPr>
                <w:rFonts w:ascii="Arial" w:hAnsi="Arial" w:cs="Arial"/>
                <w:color w:val="000000"/>
                <w:sz w:val="24"/>
                <w:szCs w:val="24"/>
                <w:highlight w:val="none"/>
                <w:lang w:eastAsia="en-GB"/>
              </w:rPr>
            </w:pPr>
          </w:p>
        </w:tc>
        <w:tc>
          <w:tcPr>
            <w:tcW w:w="4392" w:type="dxa"/>
            <w:noWrap/>
          </w:tcPr>
          <w:p w14:paraId="564F6C4A">
            <w:pPr>
              <w:spacing w:after="0"/>
              <w:contextualSpacing/>
              <w:rPr>
                <w:rFonts w:hint="default" w:ascii="Arial" w:hAnsi="Arial" w:cs="Arial"/>
                <w:color w:val="auto"/>
                <w:sz w:val="24"/>
                <w:szCs w:val="24"/>
                <w:highlight w:val="none"/>
                <w:lang w:val="en-US"/>
              </w:rPr>
            </w:pPr>
            <w:r>
              <w:rPr>
                <w:rFonts w:ascii="Arial" w:hAnsi="Arial" w:cs="Arial"/>
                <w:color w:val="auto"/>
                <w:sz w:val="24"/>
                <w:szCs w:val="24"/>
                <w:highlight w:val="none"/>
              </w:rPr>
              <w:t>% of staff trained on environmental p</w:t>
            </w:r>
            <w:r>
              <w:rPr>
                <w:rFonts w:hint="default" w:ascii="Arial" w:hAnsi="Arial" w:cs="Arial"/>
                <w:color w:val="auto"/>
                <w:sz w:val="24"/>
                <w:szCs w:val="24"/>
                <w:highlight w:val="none"/>
                <w:lang w:val="en-US"/>
              </w:rPr>
              <w:t>lan</w:t>
            </w:r>
          </w:p>
        </w:tc>
        <w:tc>
          <w:tcPr>
            <w:tcW w:w="2568" w:type="dxa"/>
          </w:tcPr>
          <w:p w14:paraId="3FFA411A">
            <w:pPr>
              <w:spacing w:after="0"/>
              <w:contextualSpacing/>
              <w:jc w:val="center"/>
              <w:rPr>
                <w:rFonts w:ascii="Arial" w:hAnsi="Arial" w:cs="Arial"/>
                <w:bCs/>
                <w:color w:val="000000" w:themeColor="text1"/>
                <w:sz w:val="24"/>
                <w:szCs w:val="24"/>
                <w:highlight w:val="none"/>
                <w14:textFill>
                  <w14:solidFill>
                    <w14:schemeClr w14:val="tx1"/>
                  </w14:solidFill>
                </w14:textFill>
              </w:rPr>
            </w:pPr>
            <w:r>
              <w:rPr>
                <w:rFonts w:ascii="Arial" w:hAnsi="Arial" w:cs="Arial"/>
                <w:bCs/>
                <w:color w:val="000000" w:themeColor="text1"/>
                <w:sz w:val="24"/>
                <w:szCs w:val="24"/>
                <w:highlight w:val="none"/>
                <w14:textFill>
                  <w14:solidFill>
                    <w14:schemeClr w14:val="tx1"/>
                  </w14:solidFill>
                </w14:textFill>
              </w:rPr>
              <w:t>100%</w:t>
            </w:r>
          </w:p>
        </w:tc>
        <w:tc>
          <w:tcPr>
            <w:tcW w:w="1440" w:type="dxa"/>
          </w:tcPr>
          <w:p w14:paraId="7EA063B3">
            <w:pPr>
              <w:spacing w:after="0"/>
              <w:contextualSpacing/>
              <w:jc w:val="center"/>
              <w:rPr>
                <w:rFonts w:hint="default" w:ascii="Tahoma" w:hAnsi="Tahoma" w:eastAsia="Times New Roman" w:cs="Tahoma"/>
                <w:sz w:val="24"/>
                <w:szCs w:val="24"/>
                <w:highlight w:val="none"/>
                <w:lang w:val="en-US"/>
              </w:rPr>
            </w:pPr>
            <w:r>
              <w:rPr>
                <w:rFonts w:hint="default" w:ascii="Tahoma" w:hAnsi="Tahoma" w:eastAsia="Times New Roman" w:cs="Tahoma"/>
                <w:sz w:val="24"/>
                <w:szCs w:val="24"/>
                <w:highlight w:val="none"/>
                <w:lang w:val="en-US"/>
              </w:rPr>
              <w:t>65%</w:t>
            </w:r>
          </w:p>
        </w:tc>
        <w:tc>
          <w:tcPr>
            <w:tcW w:w="1848" w:type="dxa"/>
          </w:tcPr>
          <w:p w14:paraId="6A1DC163">
            <w:pPr>
              <w:spacing w:after="0"/>
              <w:contextualSpacing/>
              <w:jc w:val="center"/>
              <w:rPr>
                <w:rFonts w:hint="default" w:ascii="Tahoma" w:hAnsi="Tahoma" w:eastAsia="Times New Roman" w:cs="Tahoma"/>
                <w:sz w:val="24"/>
                <w:szCs w:val="24"/>
                <w:highlight w:val="none"/>
                <w:lang w:val="en-US"/>
              </w:rPr>
            </w:pPr>
            <w:r>
              <w:rPr>
                <w:rFonts w:hint="default" w:ascii="Tahoma" w:hAnsi="Tahoma" w:eastAsia="Times New Roman" w:cs="Tahoma"/>
                <w:sz w:val="24"/>
                <w:szCs w:val="24"/>
                <w:highlight w:val="none"/>
                <w:lang w:val="en-US"/>
              </w:rPr>
              <w:t>78%</w:t>
            </w:r>
          </w:p>
        </w:tc>
        <w:tc>
          <w:tcPr>
            <w:tcW w:w="1680" w:type="dxa"/>
          </w:tcPr>
          <w:p w14:paraId="1290DA72">
            <w:pPr>
              <w:spacing w:after="0"/>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100%</w:t>
            </w:r>
          </w:p>
        </w:tc>
        <w:tc>
          <w:tcPr>
            <w:tcW w:w="1212" w:type="dxa"/>
          </w:tcPr>
          <w:p w14:paraId="5A18F4F8">
            <w:pPr>
              <w:spacing w:after="0"/>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1</w:t>
            </w:r>
          </w:p>
        </w:tc>
      </w:tr>
      <w:tr w14:paraId="2740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87" w:type="dxa"/>
          </w:tcPr>
          <w:p w14:paraId="210D3087">
            <w:pPr>
              <w:pStyle w:val="11"/>
              <w:numPr>
                <w:ilvl w:val="0"/>
                <w:numId w:val="7"/>
              </w:numPr>
              <w:spacing w:after="0" w:line="360" w:lineRule="auto"/>
              <w:ind w:left="360" w:leftChars="0" w:firstLineChars="0"/>
              <w:jc w:val="both"/>
              <w:rPr>
                <w:rFonts w:ascii="Arial" w:hAnsi="Arial" w:cs="Arial"/>
                <w:color w:val="000000"/>
                <w:sz w:val="24"/>
                <w:szCs w:val="24"/>
                <w:lang w:eastAsia="en-GB"/>
              </w:rPr>
            </w:pPr>
          </w:p>
        </w:tc>
        <w:tc>
          <w:tcPr>
            <w:tcW w:w="4392" w:type="dxa"/>
            <w:noWrap/>
          </w:tcPr>
          <w:p w14:paraId="120B820A">
            <w:pPr>
              <w:spacing w:after="0"/>
              <w:contextualSpacing/>
              <w:rPr>
                <w:rFonts w:ascii="Arial" w:hAnsi="Arial" w:cs="Arial"/>
                <w:color w:val="auto"/>
                <w:sz w:val="24"/>
                <w:szCs w:val="24"/>
              </w:rPr>
            </w:pPr>
            <w:r>
              <w:rPr>
                <w:rFonts w:ascii="Arial" w:hAnsi="Arial" w:cs="Arial"/>
                <w:color w:val="auto"/>
                <w:sz w:val="24"/>
                <w:szCs w:val="24"/>
              </w:rPr>
              <w:t>% of audit recommendations implemented</w:t>
            </w:r>
          </w:p>
        </w:tc>
        <w:tc>
          <w:tcPr>
            <w:tcW w:w="2568" w:type="dxa"/>
          </w:tcPr>
          <w:p w14:paraId="5E8868B0">
            <w:pPr>
              <w:spacing w:after="0"/>
              <w:contextualSpacing/>
              <w:jc w:val="center"/>
              <w:rPr>
                <w:rFonts w:ascii="Arial" w:hAnsi="Arial" w:cs="Arial"/>
                <w:bCs/>
                <w:color w:val="000000" w:themeColor="text1"/>
                <w:sz w:val="24"/>
                <w:szCs w:val="24"/>
                <w14:textFill>
                  <w14:solidFill>
                    <w14:schemeClr w14:val="tx1"/>
                  </w14:solidFill>
                </w14:textFill>
              </w:rPr>
            </w:pPr>
            <w:r>
              <w:rPr>
                <w:rFonts w:ascii="Arial" w:hAnsi="Arial" w:cs="Arial"/>
                <w:bCs/>
                <w:color w:val="000000" w:themeColor="text1"/>
                <w:sz w:val="24"/>
                <w:szCs w:val="24"/>
                <w14:textFill>
                  <w14:solidFill>
                    <w14:schemeClr w14:val="tx1"/>
                  </w14:solidFill>
                </w14:textFill>
              </w:rPr>
              <w:t>Min 90%</w:t>
            </w:r>
          </w:p>
        </w:tc>
        <w:tc>
          <w:tcPr>
            <w:tcW w:w="1440" w:type="dxa"/>
          </w:tcPr>
          <w:p w14:paraId="3225047A">
            <w:pPr>
              <w:spacing w:after="0"/>
              <w:contextualSpacing/>
              <w:jc w:val="center"/>
              <w:rPr>
                <w:rFonts w:hint="default" w:ascii="Tahoma" w:hAnsi="Tahoma" w:eastAsia="Times New Roman" w:cs="Tahoma"/>
                <w:sz w:val="24"/>
                <w:szCs w:val="24"/>
                <w:lang w:val="en-US"/>
              </w:rPr>
            </w:pPr>
            <w:r>
              <w:rPr>
                <w:rFonts w:hint="default" w:ascii="Tahoma" w:hAnsi="Tahoma" w:eastAsia="Times New Roman" w:cs="Tahoma"/>
                <w:sz w:val="24"/>
                <w:szCs w:val="24"/>
                <w:lang w:val="en-US"/>
              </w:rPr>
              <w:t>61.4%</w:t>
            </w:r>
          </w:p>
        </w:tc>
        <w:tc>
          <w:tcPr>
            <w:tcW w:w="1848" w:type="dxa"/>
          </w:tcPr>
          <w:p w14:paraId="51297C4F">
            <w:pPr>
              <w:spacing w:after="0"/>
              <w:contextualSpacing/>
              <w:jc w:val="center"/>
              <w:rPr>
                <w:rFonts w:hint="default" w:ascii="Tahoma" w:hAnsi="Tahoma" w:eastAsia="Times New Roman" w:cs="Tahoma"/>
                <w:sz w:val="24"/>
                <w:szCs w:val="24"/>
                <w:lang w:val="en-US"/>
              </w:rPr>
            </w:pPr>
            <w:r>
              <w:rPr>
                <w:rFonts w:hint="default" w:ascii="Tahoma" w:hAnsi="Tahoma" w:eastAsia="Times New Roman" w:cs="Tahoma"/>
                <w:sz w:val="24"/>
                <w:szCs w:val="24"/>
                <w:lang w:val="en-US"/>
              </w:rPr>
              <w:t>50.46%</w:t>
            </w:r>
          </w:p>
        </w:tc>
        <w:tc>
          <w:tcPr>
            <w:tcW w:w="1680" w:type="dxa"/>
          </w:tcPr>
          <w:p w14:paraId="3F92C12F">
            <w:pPr>
              <w:spacing w:after="0"/>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90%</w:t>
            </w:r>
          </w:p>
        </w:tc>
        <w:tc>
          <w:tcPr>
            <w:tcW w:w="1212" w:type="dxa"/>
          </w:tcPr>
          <w:p w14:paraId="7C0A03C8">
            <w:pPr>
              <w:spacing w:after="0"/>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2</w:t>
            </w:r>
          </w:p>
        </w:tc>
      </w:tr>
      <w:tr w14:paraId="20DC8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87" w:type="dxa"/>
          </w:tcPr>
          <w:p w14:paraId="619026F1">
            <w:pPr>
              <w:pStyle w:val="11"/>
              <w:numPr>
                <w:ilvl w:val="0"/>
                <w:numId w:val="0"/>
              </w:numPr>
              <w:spacing w:after="0" w:line="360" w:lineRule="auto"/>
              <w:ind w:leftChars="0"/>
              <w:jc w:val="both"/>
              <w:rPr>
                <w:rFonts w:hint="default" w:ascii="Arial" w:hAnsi="Arial" w:cs="Arial"/>
                <w:color w:val="000000"/>
                <w:sz w:val="24"/>
                <w:szCs w:val="24"/>
                <w:lang w:val="en-US" w:eastAsia="en-GB"/>
              </w:rPr>
            </w:pPr>
            <w:r>
              <w:rPr>
                <w:rFonts w:hint="default" w:ascii="Arial" w:hAnsi="Arial" w:cs="Arial"/>
                <w:color w:val="000000"/>
                <w:sz w:val="24"/>
                <w:szCs w:val="24"/>
                <w:lang w:val="en-US" w:eastAsia="en-GB"/>
              </w:rPr>
              <w:t>10.</w:t>
            </w:r>
          </w:p>
        </w:tc>
        <w:tc>
          <w:tcPr>
            <w:tcW w:w="4392" w:type="dxa"/>
            <w:noWrap/>
          </w:tcPr>
          <w:p w14:paraId="7232CA1C">
            <w:pPr>
              <w:spacing w:after="0"/>
              <w:contextualSpacing/>
              <w:rPr>
                <w:rFonts w:ascii="Arial" w:hAnsi="Arial" w:cs="Arial"/>
                <w:color w:val="000000" w:themeColor="text1"/>
                <w:sz w:val="24"/>
                <w:szCs w:val="24"/>
                <w14:textFill>
                  <w14:solidFill>
                    <w14:schemeClr w14:val="tx1"/>
                  </w14:solidFill>
                </w14:textFill>
              </w:rPr>
            </w:pPr>
            <w:r>
              <w:rPr>
                <w:rFonts w:ascii="Arial" w:hAnsi="Arial" w:cs="Arial"/>
                <w:color w:val="000000" w:themeColor="text1"/>
                <w:sz w:val="24"/>
                <w:szCs w:val="24"/>
                <w14:textFill>
                  <w14:solidFill>
                    <w14:schemeClr w14:val="tx1"/>
                  </w14:solidFill>
                </w14:textFill>
              </w:rPr>
              <w:t>Number of environmental violations/fines per year</w:t>
            </w:r>
          </w:p>
        </w:tc>
        <w:tc>
          <w:tcPr>
            <w:tcW w:w="2568" w:type="dxa"/>
          </w:tcPr>
          <w:p w14:paraId="218076DB">
            <w:pPr>
              <w:spacing w:after="0"/>
              <w:contextualSpacing/>
              <w:jc w:val="center"/>
              <w:rPr>
                <w:rFonts w:ascii="Arial" w:hAnsi="Arial" w:cs="Arial"/>
                <w:bCs/>
                <w:color w:val="000000" w:themeColor="text1"/>
                <w:sz w:val="24"/>
                <w:szCs w:val="24"/>
                <w14:textFill>
                  <w14:solidFill>
                    <w14:schemeClr w14:val="tx1"/>
                  </w14:solidFill>
                </w14:textFill>
              </w:rPr>
            </w:pPr>
            <w:r>
              <w:rPr>
                <w:rFonts w:ascii="Arial" w:hAnsi="Arial" w:cs="Arial"/>
                <w:bCs/>
                <w:color w:val="000000" w:themeColor="text1"/>
                <w:sz w:val="24"/>
                <w:szCs w:val="24"/>
                <w14:textFill>
                  <w14:solidFill>
                    <w14:schemeClr w14:val="tx1"/>
                  </w14:solidFill>
                </w14:textFill>
              </w:rPr>
              <w:t>Zero</w:t>
            </w:r>
          </w:p>
        </w:tc>
        <w:tc>
          <w:tcPr>
            <w:tcW w:w="1440" w:type="dxa"/>
          </w:tcPr>
          <w:p w14:paraId="585C6B93">
            <w:pPr>
              <w:spacing w:after="0"/>
              <w:contextualSpacing/>
              <w:jc w:val="center"/>
              <w:rPr>
                <w:rFonts w:hint="default" w:ascii="Tahoma" w:hAnsi="Tahoma" w:eastAsia="Times New Roman" w:cs="Tahoma"/>
                <w:sz w:val="24"/>
                <w:szCs w:val="24"/>
                <w:lang w:val="en-US"/>
              </w:rPr>
            </w:pPr>
            <w:r>
              <w:rPr>
                <w:rFonts w:hint="default" w:ascii="Tahoma" w:hAnsi="Tahoma" w:eastAsia="Times New Roman" w:cs="Tahoma"/>
                <w:sz w:val="24"/>
                <w:szCs w:val="24"/>
                <w:lang w:val="en-US"/>
              </w:rPr>
              <w:t>0</w:t>
            </w:r>
          </w:p>
        </w:tc>
        <w:tc>
          <w:tcPr>
            <w:tcW w:w="1848" w:type="dxa"/>
          </w:tcPr>
          <w:p w14:paraId="6C97D332">
            <w:pPr>
              <w:spacing w:after="0"/>
              <w:contextualSpacing/>
              <w:jc w:val="center"/>
              <w:rPr>
                <w:rFonts w:hint="default" w:ascii="Tahoma" w:hAnsi="Tahoma" w:eastAsia="Times New Roman" w:cs="Tahoma"/>
                <w:sz w:val="24"/>
                <w:szCs w:val="24"/>
                <w:lang w:val="en-US"/>
              </w:rPr>
            </w:pPr>
            <w:r>
              <w:rPr>
                <w:rFonts w:hint="default" w:ascii="Tahoma" w:hAnsi="Tahoma" w:eastAsia="Times New Roman" w:cs="Tahoma"/>
                <w:sz w:val="24"/>
                <w:szCs w:val="24"/>
                <w:lang w:val="en-US"/>
              </w:rPr>
              <w:t>0</w:t>
            </w:r>
          </w:p>
        </w:tc>
        <w:tc>
          <w:tcPr>
            <w:tcW w:w="1680" w:type="dxa"/>
          </w:tcPr>
          <w:p w14:paraId="178E1B7B">
            <w:pPr>
              <w:spacing w:after="0"/>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0</w:t>
            </w:r>
          </w:p>
        </w:tc>
        <w:tc>
          <w:tcPr>
            <w:tcW w:w="1212" w:type="dxa"/>
          </w:tcPr>
          <w:p w14:paraId="41C0E9F7">
            <w:pPr>
              <w:spacing w:after="0"/>
              <w:contextualSpacing/>
              <w:jc w:val="center"/>
              <w:rPr>
                <w:rFonts w:hint="default" w:ascii="Arial" w:hAnsi="Arial" w:eastAsia="Times New Roman" w:cs="Arial"/>
                <w:color w:val="000000"/>
                <w:sz w:val="24"/>
                <w:szCs w:val="24"/>
                <w:lang w:val="en-US" w:eastAsia="en-GB"/>
              </w:rPr>
            </w:pPr>
            <w:r>
              <w:rPr>
                <w:rFonts w:hint="default" w:ascii="Arial" w:hAnsi="Arial" w:eastAsia="Times New Roman" w:cs="Arial"/>
                <w:color w:val="000000"/>
                <w:sz w:val="24"/>
                <w:szCs w:val="24"/>
                <w:lang w:val="en-US" w:eastAsia="en-GB"/>
              </w:rPr>
              <w:t>1</w:t>
            </w:r>
          </w:p>
        </w:tc>
      </w:tr>
      <w:tr w14:paraId="03155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87" w:type="dxa"/>
          </w:tcPr>
          <w:p w14:paraId="07DAC8F8">
            <w:pPr>
              <w:pStyle w:val="11"/>
              <w:spacing w:after="0" w:line="360" w:lineRule="auto"/>
              <w:ind w:left="450"/>
              <w:jc w:val="both"/>
              <w:rPr>
                <w:rFonts w:ascii="Arial" w:hAnsi="Arial" w:cs="Arial"/>
                <w:color w:val="000000"/>
                <w:sz w:val="24"/>
                <w:szCs w:val="24"/>
                <w:lang w:eastAsia="en-GB"/>
              </w:rPr>
            </w:pPr>
          </w:p>
        </w:tc>
        <w:tc>
          <w:tcPr>
            <w:tcW w:w="4392" w:type="dxa"/>
            <w:noWrap/>
          </w:tcPr>
          <w:p w14:paraId="6F5C95C0">
            <w:pPr>
              <w:spacing w:after="0"/>
              <w:contextualSpacing/>
              <w:rPr>
                <w:rFonts w:ascii="Arial" w:hAnsi="Arial" w:cs="Arial"/>
                <w:b/>
                <w:bCs/>
                <w:color w:val="000000"/>
                <w:sz w:val="24"/>
                <w:szCs w:val="24"/>
              </w:rPr>
            </w:pPr>
            <w:r>
              <w:rPr>
                <w:rFonts w:ascii="Arial" w:hAnsi="Arial" w:cs="Arial"/>
                <w:b/>
                <w:bCs/>
                <w:color w:val="000000"/>
                <w:sz w:val="24"/>
                <w:szCs w:val="24"/>
              </w:rPr>
              <w:t>TOTAL</w:t>
            </w:r>
          </w:p>
        </w:tc>
        <w:tc>
          <w:tcPr>
            <w:tcW w:w="7536" w:type="dxa"/>
            <w:gridSpan w:val="4"/>
          </w:tcPr>
          <w:p w14:paraId="4DE9E7C7">
            <w:pPr>
              <w:spacing w:after="0"/>
              <w:contextualSpacing/>
              <w:rPr>
                <w:rFonts w:ascii="Arial" w:hAnsi="Arial" w:eastAsia="Times New Roman" w:cs="Arial"/>
                <w:b/>
                <w:bCs/>
                <w:color w:val="000000"/>
                <w:sz w:val="24"/>
                <w:szCs w:val="24"/>
                <w:lang w:eastAsia="en-GB"/>
              </w:rPr>
            </w:pPr>
          </w:p>
        </w:tc>
        <w:tc>
          <w:tcPr>
            <w:tcW w:w="1212" w:type="dxa"/>
          </w:tcPr>
          <w:p w14:paraId="216D8F0B">
            <w:pPr>
              <w:spacing w:after="0"/>
              <w:contextualSpacing/>
              <w:jc w:val="center"/>
              <w:rPr>
                <w:rFonts w:hint="default" w:ascii="Arial" w:hAnsi="Arial" w:eastAsia="Times New Roman" w:cs="Arial"/>
                <w:b/>
                <w:bCs/>
                <w:color w:val="000000"/>
                <w:sz w:val="24"/>
                <w:szCs w:val="24"/>
                <w:lang w:val="en-US" w:eastAsia="en-GB"/>
              </w:rPr>
            </w:pPr>
            <w:r>
              <w:rPr>
                <w:rFonts w:hint="default" w:ascii="Arial" w:hAnsi="Arial" w:eastAsia="Times New Roman" w:cs="Arial"/>
                <w:b/>
                <w:bCs/>
                <w:color w:val="000000"/>
                <w:sz w:val="24"/>
                <w:szCs w:val="24"/>
                <w:lang w:val="en-US" w:eastAsia="en-GB"/>
              </w:rPr>
              <w:t>15</w:t>
            </w:r>
          </w:p>
        </w:tc>
      </w:tr>
    </w:tbl>
    <w:p w14:paraId="3696E65D">
      <w:pPr>
        <w:spacing w:after="0" w:line="276" w:lineRule="auto"/>
        <w:jc w:val="both"/>
        <w:rPr>
          <w:rFonts w:ascii="Arial" w:hAnsi="Arial" w:cs="Arial"/>
          <w:b/>
          <w:sz w:val="24"/>
          <w:szCs w:val="24"/>
        </w:rPr>
      </w:pPr>
    </w:p>
    <w:p w14:paraId="1DC8189D">
      <w:pPr>
        <w:pStyle w:val="11"/>
        <w:tabs>
          <w:tab w:val="left" w:pos="2880"/>
        </w:tabs>
        <w:autoSpaceDE w:val="0"/>
        <w:autoSpaceDN w:val="0"/>
        <w:adjustRightInd w:val="0"/>
        <w:spacing w:after="0"/>
        <w:ind w:left="1080"/>
        <w:jc w:val="both"/>
        <w:rPr>
          <w:rFonts w:ascii="Arial" w:hAnsi="Arial" w:cs="Arial"/>
          <w:b/>
          <w:sz w:val="24"/>
          <w:szCs w:val="24"/>
        </w:rPr>
      </w:pPr>
      <w:r>
        <w:rPr>
          <w:rFonts w:ascii="Arial" w:hAnsi="Arial" w:cs="Arial"/>
          <w:b/>
          <w:sz w:val="24"/>
          <w:szCs w:val="24"/>
        </w:rPr>
        <w:t>4. CORE FUNCTIONS/ INDUSTRY - SPECIFIC KPIs (25 SCORES)</w:t>
      </w:r>
    </w:p>
    <w:p w14:paraId="212B2A09">
      <w:pPr>
        <w:autoSpaceDE w:val="0"/>
        <w:autoSpaceDN w:val="0"/>
        <w:adjustRightInd w:val="0"/>
        <w:spacing w:after="0" w:line="360" w:lineRule="auto"/>
        <w:jc w:val="both"/>
        <w:rPr>
          <w:rFonts w:ascii="Arial" w:hAnsi="Arial" w:eastAsia="Times New Roman" w:cs="Arial"/>
          <w:bCs/>
          <w:sz w:val="24"/>
          <w:szCs w:val="24"/>
          <w:lang w:eastAsia="en-GB"/>
        </w:rPr>
      </w:pPr>
    </w:p>
    <w:p w14:paraId="4CE32BDB">
      <w:pPr>
        <w:autoSpaceDE w:val="0"/>
        <w:autoSpaceDN w:val="0"/>
        <w:adjustRightInd w:val="0"/>
        <w:spacing w:after="0" w:line="360" w:lineRule="auto"/>
        <w:jc w:val="both"/>
        <w:rPr>
          <w:rFonts w:ascii="Arial" w:hAnsi="Arial" w:eastAsia="Times New Roman" w:cs="Arial"/>
          <w:bCs/>
          <w:sz w:val="24"/>
          <w:szCs w:val="24"/>
          <w:lang w:eastAsia="en-GB"/>
        </w:rPr>
      </w:pPr>
      <w:r>
        <w:rPr>
          <w:rFonts w:ascii="Arial" w:hAnsi="Arial" w:eastAsia="Times New Roman" w:cs="Arial"/>
          <w:bCs/>
          <w:sz w:val="24"/>
          <w:szCs w:val="24"/>
          <w:lang w:eastAsia="en-GB"/>
        </w:rPr>
        <w:t>The metrics measure progress of an Institution in achieving its core mandate. They are usually tracked based on KPIs performance which provides information to indicate whether an Institution has achieved its goals as planned.</w:t>
      </w:r>
    </w:p>
    <w:p w14:paraId="48410B0F">
      <w:pPr>
        <w:autoSpaceDE w:val="0"/>
        <w:autoSpaceDN w:val="0"/>
        <w:adjustRightInd w:val="0"/>
        <w:spacing w:after="0" w:line="360" w:lineRule="auto"/>
        <w:jc w:val="both"/>
        <w:rPr>
          <w:rFonts w:ascii="Arial" w:hAnsi="Arial" w:eastAsia="Times New Roman" w:cs="Arial"/>
          <w:bCs/>
          <w:sz w:val="24"/>
          <w:szCs w:val="24"/>
          <w:lang w:eastAsia="en-GB"/>
        </w:rPr>
      </w:pPr>
    </w:p>
    <w:tbl>
      <w:tblPr>
        <w:tblStyle w:val="3"/>
        <w:tblW w:w="5195" w:type="pct"/>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4056"/>
        <w:gridCol w:w="1739"/>
        <w:gridCol w:w="1752"/>
        <w:gridCol w:w="1332"/>
        <w:gridCol w:w="1296"/>
        <w:gridCol w:w="1692"/>
        <w:gridCol w:w="1224"/>
      </w:tblGrid>
      <w:tr w14:paraId="22FDC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blHeader/>
        </w:trPr>
        <w:tc>
          <w:tcPr>
            <w:tcW w:w="219" w:type="pct"/>
            <w:vMerge w:val="restart"/>
            <w:shd w:val="clear" w:color="auto" w:fill="D9D9D9"/>
            <w:vAlign w:val="center"/>
          </w:tcPr>
          <w:p w14:paraId="421641B5">
            <w:pPr>
              <w:spacing w:line="240" w:lineRule="auto"/>
              <w:contextualSpacing/>
              <w:rPr>
                <w:rFonts w:ascii="Arial" w:hAnsi="Arial" w:eastAsia="Times New Roman" w:cs="Arial"/>
                <w:b/>
                <w:bCs/>
                <w:color w:val="000000"/>
                <w:sz w:val="24"/>
                <w:szCs w:val="24"/>
                <w:highlight w:val="none"/>
                <w:lang w:eastAsia="en-GB"/>
              </w:rPr>
            </w:pPr>
            <w:r>
              <w:rPr>
                <w:rFonts w:ascii="Arial" w:hAnsi="Arial" w:eastAsia="Times New Roman" w:cs="Arial"/>
                <w:b/>
                <w:bCs/>
                <w:color w:val="000000"/>
                <w:sz w:val="24"/>
                <w:szCs w:val="24"/>
                <w:highlight w:val="none"/>
                <w:lang w:eastAsia="en-GB"/>
              </w:rPr>
              <w:t>SN</w:t>
            </w:r>
          </w:p>
        </w:tc>
        <w:tc>
          <w:tcPr>
            <w:tcW w:w="1481" w:type="pct"/>
            <w:vMerge w:val="restart"/>
            <w:shd w:val="clear" w:color="auto" w:fill="D9D9D9"/>
            <w:noWrap/>
            <w:vAlign w:val="center"/>
          </w:tcPr>
          <w:p w14:paraId="6AE38BBA">
            <w:pPr>
              <w:spacing w:line="240" w:lineRule="auto"/>
              <w:contextualSpacing/>
              <w:jc w:val="center"/>
              <w:rPr>
                <w:rFonts w:ascii="Arial" w:hAnsi="Arial" w:eastAsia="Times New Roman" w:cs="Arial"/>
                <w:color w:val="000000"/>
                <w:sz w:val="24"/>
                <w:szCs w:val="24"/>
                <w:highlight w:val="none"/>
                <w:lang w:eastAsia="en-GB"/>
              </w:rPr>
            </w:pPr>
            <w:r>
              <w:rPr>
                <w:rFonts w:ascii="Arial" w:hAnsi="Arial" w:eastAsia="Times New Roman" w:cs="Arial"/>
                <w:b/>
                <w:color w:val="000000"/>
                <w:sz w:val="24"/>
                <w:szCs w:val="24"/>
                <w:highlight w:val="none"/>
                <w:lang w:val="en-GB" w:eastAsia="en-GB"/>
              </w:rPr>
              <w:t>Key Performance Indicators</w:t>
            </w:r>
          </w:p>
        </w:tc>
        <w:tc>
          <w:tcPr>
            <w:tcW w:w="635" w:type="pct"/>
            <w:vMerge w:val="restart"/>
            <w:shd w:val="clear" w:color="auto" w:fill="D9D9D9"/>
            <w:vAlign w:val="center"/>
          </w:tcPr>
          <w:p w14:paraId="367449A5">
            <w:pPr>
              <w:spacing w:after="0" w:line="240" w:lineRule="auto"/>
              <w:contextualSpacing/>
              <w:jc w:val="center"/>
              <w:rPr>
                <w:rFonts w:ascii="Arial" w:hAnsi="Arial" w:eastAsia="Times New Roman" w:cs="Arial"/>
                <w:b/>
                <w:bCs/>
                <w:color w:val="000000"/>
                <w:sz w:val="24"/>
                <w:szCs w:val="24"/>
                <w:highlight w:val="none"/>
                <w:lang w:eastAsia="en-GB"/>
              </w:rPr>
            </w:pPr>
            <w:r>
              <w:rPr>
                <w:rFonts w:ascii="Arial" w:hAnsi="Arial" w:eastAsia="Times New Roman" w:cs="Arial"/>
                <w:b/>
                <w:bCs/>
                <w:color w:val="000000"/>
                <w:sz w:val="24"/>
                <w:szCs w:val="24"/>
                <w:highlight w:val="none"/>
                <w:lang w:eastAsia="en-GB"/>
              </w:rPr>
              <w:t>Metric category</w:t>
            </w:r>
          </w:p>
        </w:tc>
        <w:tc>
          <w:tcPr>
            <w:tcW w:w="639" w:type="pct"/>
            <w:vMerge w:val="restart"/>
            <w:shd w:val="clear" w:color="auto" w:fill="D9D9D9"/>
            <w:vAlign w:val="center"/>
          </w:tcPr>
          <w:p w14:paraId="1B575F0A">
            <w:pPr>
              <w:spacing w:after="0" w:line="240" w:lineRule="auto"/>
              <w:contextualSpacing/>
              <w:jc w:val="center"/>
              <w:rPr>
                <w:rFonts w:ascii="Arial" w:hAnsi="Arial" w:eastAsia="Times New Roman" w:cs="Arial"/>
                <w:b/>
                <w:color w:val="000000"/>
                <w:sz w:val="24"/>
                <w:szCs w:val="24"/>
                <w:highlight w:val="none"/>
                <w:lang w:eastAsia="en-GB"/>
              </w:rPr>
            </w:pPr>
            <w:r>
              <w:rPr>
                <w:rFonts w:ascii="Arial" w:hAnsi="Arial" w:eastAsia="Times New Roman" w:cs="Arial"/>
                <w:b/>
                <w:color w:val="000000"/>
                <w:sz w:val="24"/>
                <w:szCs w:val="24"/>
                <w:highlight w:val="none"/>
                <w:lang w:eastAsia="en-GB"/>
              </w:rPr>
              <w:t>Benchmark</w:t>
            </w:r>
          </w:p>
        </w:tc>
        <w:tc>
          <w:tcPr>
            <w:tcW w:w="959" w:type="pct"/>
            <w:gridSpan w:val="2"/>
            <w:shd w:val="clear" w:color="auto" w:fill="D9D9D9"/>
            <w:vAlign w:val="center"/>
          </w:tcPr>
          <w:p w14:paraId="01E5D62F">
            <w:pPr>
              <w:spacing w:line="240" w:lineRule="auto"/>
              <w:contextualSpacing/>
              <w:rPr>
                <w:rFonts w:ascii="Arial" w:hAnsi="Arial" w:eastAsia="Times New Roman" w:cs="Arial"/>
                <w:b/>
                <w:color w:val="000000"/>
                <w:sz w:val="24"/>
                <w:szCs w:val="24"/>
                <w:highlight w:val="none"/>
                <w:lang w:eastAsia="en-GB"/>
              </w:rPr>
            </w:pPr>
            <w:r>
              <w:rPr>
                <w:rFonts w:ascii="Arial" w:hAnsi="Arial" w:eastAsia="Times New Roman" w:cs="Arial"/>
                <w:b/>
                <w:color w:val="000000"/>
                <w:sz w:val="24"/>
                <w:szCs w:val="24"/>
                <w:highlight w:val="none"/>
                <w:lang w:val="en-GB" w:eastAsia="en-GB"/>
              </w:rPr>
              <w:t>Baseline</w:t>
            </w:r>
            <w:r>
              <w:rPr>
                <w:rFonts w:ascii="Arial" w:hAnsi="Arial" w:eastAsia="Times New Roman" w:cs="Arial"/>
                <w:b/>
                <w:color w:val="000000"/>
                <w:sz w:val="24"/>
                <w:szCs w:val="24"/>
                <w:highlight w:val="none"/>
                <w:lang w:eastAsia="en-GB"/>
              </w:rPr>
              <w:t xml:space="preserve"> Data</w:t>
            </w:r>
          </w:p>
        </w:tc>
        <w:tc>
          <w:tcPr>
            <w:tcW w:w="617" w:type="pct"/>
            <w:shd w:val="clear" w:color="auto" w:fill="D9D9D9"/>
            <w:vAlign w:val="center"/>
          </w:tcPr>
          <w:p w14:paraId="69566A7D">
            <w:pPr>
              <w:spacing w:line="240" w:lineRule="auto"/>
              <w:contextualSpacing/>
              <w:jc w:val="center"/>
              <w:rPr>
                <w:rFonts w:ascii="Arial" w:hAnsi="Arial" w:eastAsia="Times New Roman" w:cs="Arial"/>
                <w:b/>
                <w:color w:val="000000"/>
                <w:sz w:val="24"/>
                <w:szCs w:val="24"/>
                <w:highlight w:val="none"/>
                <w:lang w:val="en-GB" w:eastAsia="en-GB"/>
              </w:rPr>
            </w:pPr>
            <w:r>
              <w:rPr>
                <w:rFonts w:ascii="Arial" w:hAnsi="Arial" w:eastAsia="Times New Roman" w:cs="Arial"/>
                <w:b/>
                <w:color w:val="000000"/>
                <w:sz w:val="24"/>
                <w:szCs w:val="24"/>
                <w:highlight w:val="none"/>
                <w:lang w:val="en-GB" w:eastAsia="en-GB"/>
              </w:rPr>
              <w:t>Indicator Target Value</w:t>
            </w:r>
          </w:p>
        </w:tc>
        <w:tc>
          <w:tcPr>
            <w:tcW w:w="447" w:type="pct"/>
            <w:vMerge w:val="restart"/>
            <w:shd w:val="clear" w:color="auto" w:fill="D9D9D9"/>
            <w:vAlign w:val="center"/>
          </w:tcPr>
          <w:p w14:paraId="33403E11">
            <w:pPr>
              <w:spacing w:after="0" w:line="240" w:lineRule="auto"/>
              <w:contextualSpacing/>
              <w:rPr>
                <w:rFonts w:ascii="Arial" w:hAnsi="Arial" w:eastAsia="Times New Roman" w:cs="Arial"/>
                <w:b/>
                <w:color w:val="000000"/>
                <w:sz w:val="24"/>
                <w:szCs w:val="24"/>
                <w:highlight w:val="none"/>
                <w:lang w:val="en-GB" w:eastAsia="en-GB"/>
              </w:rPr>
            </w:pPr>
            <w:r>
              <w:rPr>
                <w:rFonts w:ascii="Arial" w:hAnsi="Arial" w:eastAsia="Times New Roman" w:cs="Arial"/>
                <w:b/>
                <w:color w:val="000000"/>
                <w:sz w:val="24"/>
                <w:szCs w:val="24"/>
                <w:highlight w:val="none"/>
                <w:lang w:val="en-GB" w:eastAsia="en-GB"/>
              </w:rPr>
              <w:t>Weight</w:t>
            </w:r>
          </w:p>
          <w:p w14:paraId="4299D7EF">
            <w:pPr>
              <w:spacing w:after="0" w:line="240" w:lineRule="auto"/>
              <w:contextualSpacing/>
              <w:rPr>
                <w:rFonts w:ascii="Arial" w:hAnsi="Arial" w:eastAsia="Times New Roman" w:cs="Arial"/>
                <w:b/>
                <w:color w:val="000000"/>
                <w:sz w:val="24"/>
                <w:szCs w:val="24"/>
                <w:highlight w:val="none"/>
                <w:lang w:val="en-GB" w:eastAsia="en-GB"/>
              </w:rPr>
            </w:pPr>
            <w:r>
              <w:rPr>
                <w:rFonts w:ascii="Arial" w:hAnsi="Arial" w:eastAsia="Times New Roman" w:cs="Arial"/>
                <w:b/>
                <w:color w:val="000000"/>
                <w:sz w:val="24"/>
                <w:szCs w:val="24"/>
                <w:highlight w:val="none"/>
                <w:lang w:val="en-GB" w:eastAsia="en-GB"/>
              </w:rPr>
              <w:t>(%)</w:t>
            </w:r>
          </w:p>
        </w:tc>
      </w:tr>
      <w:tr w14:paraId="6851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blHeader/>
        </w:trPr>
        <w:tc>
          <w:tcPr>
            <w:tcW w:w="219" w:type="pct"/>
            <w:vMerge w:val="continue"/>
            <w:shd w:val="clear" w:color="auto" w:fill="D9D9D9"/>
            <w:vAlign w:val="center"/>
          </w:tcPr>
          <w:p w14:paraId="7D32F550">
            <w:pPr>
              <w:spacing w:line="240" w:lineRule="auto"/>
              <w:contextualSpacing/>
              <w:rPr>
                <w:rFonts w:ascii="Arial" w:hAnsi="Arial" w:eastAsia="Times New Roman" w:cs="Arial"/>
                <w:color w:val="000000"/>
                <w:sz w:val="24"/>
                <w:szCs w:val="24"/>
                <w:highlight w:val="none"/>
                <w:lang w:eastAsia="en-GB"/>
              </w:rPr>
            </w:pPr>
          </w:p>
        </w:tc>
        <w:tc>
          <w:tcPr>
            <w:tcW w:w="1481" w:type="pct"/>
            <w:vMerge w:val="continue"/>
            <w:shd w:val="clear" w:color="auto" w:fill="D9D9D9"/>
            <w:noWrap/>
            <w:vAlign w:val="center"/>
          </w:tcPr>
          <w:p w14:paraId="26FA0157">
            <w:pPr>
              <w:spacing w:line="240" w:lineRule="auto"/>
              <w:contextualSpacing/>
              <w:rPr>
                <w:rFonts w:ascii="Arial" w:hAnsi="Arial" w:eastAsia="Times New Roman" w:cs="Arial"/>
                <w:b/>
                <w:color w:val="000000"/>
                <w:sz w:val="24"/>
                <w:szCs w:val="24"/>
                <w:highlight w:val="none"/>
                <w:lang w:val="en-GB" w:eastAsia="en-GB"/>
              </w:rPr>
            </w:pPr>
          </w:p>
        </w:tc>
        <w:tc>
          <w:tcPr>
            <w:tcW w:w="635" w:type="pct"/>
            <w:vMerge w:val="continue"/>
            <w:shd w:val="clear" w:color="auto" w:fill="D9D9D9"/>
            <w:vAlign w:val="center"/>
          </w:tcPr>
          <w:p w14:paraId="60122312">
            <w:pPr>
              <w:spacing w:line="240" w:lineRule="auto"/>
              <w:contextualSpacing/>
              <w:jc w:val="center"/>
              <w:rPr>
                <w:rFonts w:ascii="Arial" w:hAnsi="Arial" w:eastAsia="Times New Roman" w:cs="Arial"/>
                <w:b/>
                <w:color w:val="000000"/>
                <w:sz w:val="24"/>
                <w:szCs w:val="24"/>
                <w:highlight w:val="none"/>
                <w:lang w:val="en-GB" w:eastAsia="en-GB"/>
              </w:rPr>
            </w:pPr>
          </w:p>
        </w:tc>
        <w:tc>
          <w:tcPr>
            <w:tcW w:w="639" w:type="pct"/>
            <w:vMerge w:val="continue"/>
            <w:shd w:val="clear" w:color="auto" w:fill="D9D9D9"/>
            <w:vAlign w:val="center"/>
          </w:tcPr>
          <w:p w14:paraId="30F92B3E">
            <w:pPr>
              <w:spacing w:line="240" w:lineRule="auto"/>
              <w:contextualSpacing/>
              <w:rPr>
                <w:rFonts w:ascii="Arial" w:hAnsi="Arial" w:eastAsia="Times New Roman" w:cs="Arial"/>
                <w:b/>
                <w:color w:val="000000"/>
                <w:sz w:val="24"/>
                <w:szCs w:val="24"/>
                <w:highlight w:val="none"/>
                <w:lang w:val="en-GB" w:eastAsia="en-GB"/>
              </w:rPr>
            </w:pPr>
          </w:p>
        </w:tc>
        <w:tc>
          <w:tcPr>
            <w:tcW w:w="486" w:type="pct"/>
            <w:shd w:val="clear" w:color="auto" w:fill="D9D9D9"/>
            <w:vAlign w:val="center"/>
          </w:tcPr>
          <w:p w14:paraId="61FCBE57">
            <w:pPr>
              <w:spacing w:line="240" w:lineRule="auto"/>
              <w:contextualSpacing/>
              <w:jc w:val="center"/>
              <w:rPr>
                <w:rFonts w:ascii="Arial" w:hAnsi="Arial" w:eastAsia="Times New Roman" w:cs="Arial"/>
                <w:b/>
                <w:color w:val="000000"/>
                <w:sz w:val="24"/>
                <w:szCs w:val="24"/>
                <w:highlight w:val="none"/>
                <w:lang w:val="en-GB" w:eastAsia="en-GB"/>
              </w:rPr>
            </w:pPr>
            <w:r>
              <w:rPr>
                <w:rFonts w:ascii="Arial" w:hAnsi="Arial" w:eastAsia="Times New Roman" w:cs="Arial"/>
                <w:b/>
                <w:color w:val="000000"/>
                <w:sz w:val="24"/>
                <w:szCs w:val="24"/>
                <w:highlight w:val="none"/>
                <w:lang w:val="en-GB" w:eastAsia="en-GB"/>
              </w:rPr>
              <w:t>2023/24</w:t>
            </w:r>
          </w:p>
        </w:tc>
        <w:tc>
          <w:tcPr>
            <w:tcW w:w="473" w:type="pct"/>
            <w:shd w:val="clear" w:color="auto" w:fill="D9D9D9"/>
            <w:vAlign w:val="center"/>
          </w:tcPr>
          <w:p w14:paraId="381F011F">
            <w:pPr>
              <w:spacing w:line="240" w:lineRule="auto"/>
              <w:contextualSpacing/>
              <w:jc w:val="center"/>
              <w:rPr>
                <w:rFonts w:ascii="Arial" w:hAnsi="Arial" w:eastAsia="Times New Roman" w:cs="Arial"/>
                <w:b/>
                <w:color w:val="000000"/>
                <w:sz w:val="24"/>
                <w:szCs w:val="24"/>
                <w:highlight w:val="none"/>
                <w:lang w:val="en-GB" w:eastAsia="en-GB"/>
              </w:rPr>
            </w:pPr>
            <w:r>
              <w:rPr>
                <w:rFonts w:ascii="Arial" w:hAnsi="Arial" w:eastAsia="Times New Roman" w:cs="Arial"/>
                <w:b/>
                <w:color w:val="000000"/>
                <w:sz w:val="24"/>
                <w:szCs w:val="24"/>
                <w:highlight w:val="none"/>
                <w:lang w:val="en-GB" w:eastAsia="en-GB"/>
              </w:rPr>
              <w:t>2024/25</w:t>
            </w:r>
          </w:p>
        </w:tc>
        <w:tc>
          <w:tcPr>
            <w:tcW w:w="617" w:type="pct"/>
            <w:shd w:val="clear" w:color="auto" w:fill="D9D9D9"/>
            <w:vAlign w:val="center"/>
          </w:tcPr>
          <w:p w14:paraId="187AE339">
            <w:pPr>
              <w:spacing w:line="240" w:lineRule="auto"/>
              <w:contextualSpacing/>
              <w:jc w:val="center"/>
              <w:rPr>
                <w:rFonts w:ascii="Arial" w:hAnsi="Arial" w:eastAsia="Times New Roman" w:cs="Arial"/>
                <w:b/>
                <w:color w:val="000000"/>
                <w:sz w:val="24"/>
                <w:szCs w:val="24"/>
                <w:highlight w:val="none"/>
                <w:lang w:val="en-GB" w:eastAsia="en-GB"/>
              </w:rPr>
            </w:pPr>
            <w:r>
              <w:rPr>
                <w:rFonts w:ascii="Arial" w:hAnsi="Arial" w:eastAsia="Times New Roman" w:cs="Arial"/>
                <w:b/>
                <w:color w:val="000000"/>
                <w:sz w:val="24"/>
                <w:szCs w:val="24"/>
                <w:highlight w:val="none"/>
                <w:lang w:val="en-GB" w:eastAsia="en-GB"/>
              </w:rPr>
              <w:t>2025/26</w:t>
            </w:r>
          </w:p>
        </w:tc>
        <w:tc>
          <w:tcPr>
            <w:tcW w:w="447" w:type="pct"/>
            <w:vMerge w:val="continue"/>
            <w:shd w:val="clear" w:color="auto" w:fill="D9D9D9"/>
            <w:vAlign w:val="center"/>
          </w:tcPr>
          <w:p w14:paraId="3D6BB6D5">
            <w:pPr>
              <w:spacing w:line="240" w:lineRule="auto"/>
              <w:contextualSpacing/>
              <w:rPr>
                <w:rFonts w:ascii="Arial" w:hAnsi="Arial" w:eastAsia="Times New Roman" w:cs="Arial"/>
                <w:b/>
                <w:color w:val="000000"/>
                <w:sz w:val="24"/>
                <w:szCs w:val="24"/>
                <w:highlight w:val="none"/>
                <w:lang w:val="en-GB" w:eastAsia="en-GB"/>
              </w:rPr>
            </w:pPr>
          </w:p>
        </w:tc>
      </w:tr>
      <w:tr w14:paraId="2564D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tcPr>
          <w:p w14:paraId="792163A9">
            <w:pPr>
              <w:pStyle w:val="11"/>
              <w:numPr>
                <w:ilvl w:val="0"/>
                <w:numId w:val="8"/>
              </w:numPr>
              <w:tabs>
                <w:tab w:val="left" w:pos="176"/>
              </w:tabs>
              <w:spacing w:line="240" w:lineRule="auto"/>
              <w:jc w:val="center"/>
              <w:rPr>
                <w:rFonts w:ascii="Arial" w:hAnsi="Arial" w:eastAsia="Times New Roman" w:cs="Arial"/>
                <w:color w:val="000000"/>
                <w:sz w:val="24"/>
                <w:szCs w:val="24"/>
                <w:highlight w:val="none"/>
                <w:lang w:eastAsia="en-GB"/>
              </w:rPr>
            </w:pPr>
          </w:p>
        </w:tc>
        <w:tc>
          <w:tcPr>
            <w:tcW w:w="1481" w:type="pct"/>
            <w:tcBorders>
              <w:top w:val="nil"/>
              <w:left w:val="nil"/>
              <w:bottom w:val="single" w:color="auto" w:sz="4" w:space="0"/>
              <w:right w:val="single" w:color="auto" w:sz="4" w:space="0"/>
            </w:tcBorders>
            <w:shd w:val="clear" w:color="auto" w:fill="auto"/>
            <w:noWrap/>
            <w:vAlign w:val="top"/>
          </w:tcPr>
          <w:p w14:paraId="10F93745">
            <w:pPr>
              <w:spacing w:after="0" w:line="240" w:lineRule="auto"/>
              <w:jc w:val="both"/>
              <w:rPr>
                <w:rFonts w:ascii="Arial" w:hAnsi="Arial" w:eastAsia="Times New Roman" w:cs="Arial"/>
                <w:sz w:val="24"/>
                <w:szCs w:val="24"/>
                <w:lang w:val="en-US" w:eastAsia="en-GB" w:bidi="ar-SA"/>
              </w:rPr>
            </w:pPr>
            <w:r>
              <w:rPr>
                <w:rFonts w:ascii="Arial" w:hAnsi="Arial" w:cs="Arial"/>
                <w:sz w:val="24"/>
                <w:szCs w:val="24"/>
              </w:rPr>
              <w:t>Wagon turn-around time (days) (– the lower the better )</w:t>
            </w:r>
          </w:p>
        </w:tc>
        <w:tc>
          <w:tcPr>
            <w:tcW w:w="635" w:type="pct"/>
            <w:tcBorders>
              <w:top w:val="nil"/>
              <w:left w:val="nil"/>
              <w:bottom w:val="single" w:color="auto" w:sz="4" w:space="0"/>
              <w:right w:val="single" w:color="auto" w:sz="4" w:space="0"/>
            </w:tcBorders>
            <w:shd w:val="clear" w:color="auto" w:fill="auto"/>
            <w:vAlign w:val="center"/>
          </w:tcPr>
          <w:p w14:paraId="43CA02B2">
            <w:pPr>
              <w:spacing w:line="240" w:lineRule="auto"/>
              <w:contextualSpacing/>
              <w:jc w:val="center"/>
              <w:rPr>
                <w:rFonts w:hint="default" w:ascii="Arial" w:hAnsi="Arial" w:eastAsia="Calibri" w:cs="Arial"/>
                <w:color w:val="000000"/>
                <w:sz w:val="24"/>
                <w:szCs w:val="24"/>
                <w:lang w:val="en-US" w:eastAsia="en-GB" w:bidi="ar-SA"/>
              </w:rPr>
            </w:pPr>
            <w:r>
              <w:rPr>
                <w:rFonts w:hint="default" w:ascii="Arial" w:hAnsi="Arial" w:eastAsia="Calibri" w:cs="Arial"/>
                <w:color w:val="000000"/>
                <w:sz w:val="24"/>
                <w:szCs w:val="24"/>
                <w:lang w:val="en-US" w:eastAsia="en-GB" w:bidi="ar-SA"/>
              </w:rPr>
              <w:t>Days</w:t>
            </w:r>
          </w:p>
        </w:tc>
        <w:tc>
          <w:tcPr>
            <w:tcW w:w="639" w:type="pct"/>
            <w:shd w:val="clear" w:color="auto" w:fill="auto"/>
            <w:vAlign w:val="top"/>
          </w:tcPr>
          <w:p w14:paraId="30CBCE2B">
            <w:pPr>
              <w:spacing w:line="240" w:lineRule="auto"/>
              <w:contextualSpacing/>
              <w:jc w:val="center"/>
              <w:rPr>
                <w:rFonts w:hint="default" w:ascii="Arial" w:hAnsi="Arial" w:eastAsia="Calibri" w:cs="Arial"/>
                <w:color w:val="000000"/>
                <w:sz w:val="24"/>
                <w:szCs w:val="24"/>
                <w:lang w:val="en-US" w:eastAsia="en-GB" w:bidi="ar-SA"/>
              </w:rPr>
            </w:pPr>
            <w:r>
              <w:rPr>
                <w:rFonts w:ascii="Arial" w:hAnsi="Arial" w:eastAsia="Calibri" w:cs="Arial"/>
                <w:color w:val="000000"/>
                <w:sz w:val="24"/>
                <w:szCs w:val="24"/>
                <w:lang w:eastAsia="en-GB"/>
              </w:rPr>
              <w:t xml:space="preserve">14 </w:t>
            </w:r>
            <w:r>
              <w:rPr>
                <w:rFonts w:hint="default" w:ascii="Arial" w:hAnsi="Arial" w:eastAsia="Calibri" w:cs="Arial"/>
                <w:color w:val="000000"/>
                <w:sz w:val="24"/>
                <w:szCs w:val="24"/>
                <w:lang w:val="en-US" w:eastAsia="en-GB"/>
              </w:rPr>
              <w:t>days</w:t>
            </w:r>
          </w:p>
        </w:tc>
        <w:tc>
          <w:tcPr>
            <w:tcW w:w="486" w:type="pct"/>
            <w:shd w:val="clear" w:color="auto" w:fill="auto"/>
            <w:vAlign w:val="center"/>
          </w:tcPr>
          <w:p w14:paraId="15B1079D">
            <w:pPr>
              <w:spacing w:after="0" w:line="240" w:lineRule="auto"/>
              <w:jc w:val="center"/>
              <w:rPr>
                <w:rFonts w:ascii="Arial" w:hAnsi="Arial" w:eastAsia="Times New Roman" w:cs="Arial"/>
                <w:sz w:val="24"/>
                <w:szCs w:val="24"/>
                <w:lang w:val="en-US" w:eastAsia="en-GB" w:bidi="ar-SA"/>
              </w:rPr>
            </w:pPr>
            <w:r>
              <w:rPr>
                <w:rFonts w:ascii="Arial" w:hAnsi="Arial" w:eastAsia="Times New Roman" w:cs="Arial"/>
                <w:color w:val="000000"/>
                <w:sz w:val="24"/>
                <w:szCs w:val="24"/>
                <w:lang w:eastAsia="en-GB"/>
              </w:rPr>
              <w:t>18</w:t>
            </w:r>
          </w:p>
        </w:tc>
        <w:tc>
          <w:tcPr>
            <w:tcW w:w="473" w:type="pct"/>
            <w:shd w:val="clear" w:color="auto" w:fill="auto"/>
            <w:vAlign w:val="center"/>
          </w:tcPr>
          <w:p w14:paraId="437DCA28">
            <w:pPr>
              <w:spacing w:after="0" w:line="240" w:lineRule="auto"/>
              <w:jc w:val="center"/>
              <w:rPr>
                <w:rFonts w:hint="default" w:ascii="Arial" w:hAnsi="Arial" w:eastAsia="Times New Roman" w:cs="Arial"/>
                <w:sz w:val="24"/>
                <w:szCs w:val="24"/>
                <w:lang w:val="en-US" w:eastAsia="en-GB" w:bidi="ar-SA"/>
              </w:rPr>
            </w:pPr>
            <w:r>
              <w:rPr>
                <w:rFonts w:hint="eastAsia" w:ascii="Arial" w:hAnsi="Arial" w:eastAsia="Times New Roman" w:cs="Arial"/>
                <w:color w:val="000000"/>
                <w:sz w:val="23"/>
                <w:szCs w:val="23"/>
                <w:highlight w:val="none"/>
                <w:lang w:eastAsia="en-GB"/>
              </w:rPr>
              <w:t>1</w:t>
            </w:r>
            <w:r>
              <w:rPr>
                <w:rFonts w:hint="default" w:ascii="Arial" w:hAnsi="Arial" w:eastAsia="Times New Roman" w:cs="Arial"/>
                <w:color w:val="000000"/>
                <w:sz w:val="23"/>
                <w:szCs w:val="23"/>
                <w:highlight w:val="none"/>
                <w:lang w:val="en-US" w:eastAsia="en-GB"/>
              </w:rPr>
              <w:t>9</w:t>
            </w:r>
          </w:p>
        </w:tc>
        <w:tc>
          <w:tcPr>
            <w:tcW w:w="617" w:type="pct"/>
            <w:shd w:val="clear" w:color="auto" w:fill="auto"/>
            <w:vAlign w:val="center"/>
          </w:tcPr>
          <w:p w14:paraId="4BC13C3E">
            <w:pPr>
              <w:spacing w:after="0" w:line="240" w:lineRule="auto"/>
              <w:jc w:val="center"/>
              <w:rPr>
                <w:rFonts w:hint="default" w:ascii="Arial" w:hAnsi="Arial" w:eastAsia="Times New Roman" w:cs="Arial"/>
                <w:sz w:val="24"/>
                <w:szCs w:val="24"/>
                <w:lang w:val="en-US" w:eastAsia="en-GB" w:bidi="ar-SA"/>
              </w:rPr>
            </w:pPr>
            <w:r>
              <w:rPr>
                <w:rFonts w:hint="default" w:ascii="Arial" w:hAnsi="Arial" w:eastAsia="Times New Roman" w:cs="Arial"/>
                <w:sz w:val="24"/>
                <w:szCs w:val="24"/>
                <w:lang w:val="en-US" w:eastAsia="en-GB"/>
              </w:rPr>
              <w:t>14</w:t>
            </w:r>
          </w:p>
        </w:tc>
        <w:tc>
          <w:tcPr>
            <w:tcW w:w="447" w:type="pct"/>
            <w:shd w:val="clear" w:color="auto" w:fill="auto"/>
          </w:tcPr>
          <w:p w14:paraId="4F30FCF3">
            <w:pPr>
              <w:spacing w:line="240" w:lineRule="auto"/>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1</w:t>
            </w:r>
          </w:p>
        </w:tc>
      </w:tr>
      <w:tr w14:paraId="6E2A7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tcPr>
          <w:p w14:paraId="4D852D1D">
            <w:pPr>
              <w:pStyle w:val="11"/>
              <w:numPr>
                <w:ilvl w:val="0"/>
                <w:numId w:val="8"/>
              </w:numPr>
              <w:tabs>
                <w:tab w:val="left" w:pos="176"/>
              </w:tabs>
              <w:spacing w:line="240" w:lineRule="auto"/>
              <w:jc w:val="center"/>
              <w:rPr>
                <w:rFonts w:ascii="Arial" w:hAnsi="Arial" w:eastAsia="Times New Roman" w:cs="Arial"/>
                <w:color w:val="000000"/>
                <w:sz w:val="24"/>
                <w:szCs w:val="24"/>
                <w:highlight w:val="none"/>
                <w:lang w:eastAsia="en-GB"/>
              </w:rPr>
            </w:pPr>
          </w:p>
        </w:tc>
        <w:tc>
          <w:tcPr>
            <w:tcW w:w="1481" w:type="pct"/>
            <w:tcBorders>
              <w:top w:val="nil"/>
              <w:left w:val="nil"/>
              <w:bottom w:val="single" w:color="auto" w:sz="4" w:space="0"/>
              <w:right w:val="single" w:color="auto" w:sz="4" w:space="0"/>
            </w:tcBorders>
            <w:shd w:val="clear" w:color="auto" w:fill="auto"/>
            <w:noWrap/>
            <w:vAlign w:val="top"/>
          </w:tcPr>
          <w:p w14:paraId="7A98628A">
            <w:pPr>
              <w:spacing w:after="0" w:line="240" w:lineRule="auto"/>
              <w:jc w:val="both"/>
              <w:rPr>
                <w:rFonts w:ascii="Arial" w:hAnsi="Arial" w:eastAsia="Times New Roman" w:cs="Arial"/>
                <w:sz w:val="24"/>
                <w:szCs w:val="24"/>
                <w:lang w:val="en-US" w:eastAsia="zh-CN" w:bidi="ar-SA"/>
              </w:rPr>
            </w:pPr>
            <w:r>
              <w:rPr>
                <w:rFonts w:ascii="Arial" w:hAnsi="Arial" w:cs="Arial"/>
                <w:sz w:val="24"/>
                <w:szCs w:val="24"/>
              </w:rPr>
              <w:t>Rate of wagon availability</w:t>
            </w:r>
          </w:p>
        </w:tc>
        <w:tc>
          <w:tcPr>
            <w:tcW w:w="635" w:type="pct"/>
            <w:tcBorders>
              <w:top w:val="nil"/>
              <w:left w:val="nil"/>
              <w:bottom w:val="single" w:color="auto" w:sz="4" w:space="0"/>
              <w:right w:val="single" w:color="auto" w:sz="4" w:space="0"/>
            </w:tcBorders>
            <w:shd w:val="clear" w:color="auto" w:fill="auto"/>
            <w:vAlign w:val="center"/>
          </w:tcPr>
          <w:p w14:paraId="4DD0C3EF">
            <w:pPr>
              <w:spacing w:line="240" w:lineRule="auto"/>
              <w:contextualSpacing/>
              <w:jc w:val="center"/>
              <w:rPr>
                <w:rFonts w:hint="default" w:ascii="Arial" w:hAnsi="Arial" w:eastAsia="Calibri" w:cs="Arial"/>
                <w:color w:val="000000"/>
                <w:sz w:val="24"/>
                <w:szCs w:val="24"/>
                <w:lang w:val="en-US" w:eastAsia="zh-CN" w:bidi="ar-SA"/>
              </w:rPr>
            </w:pPr>
            <w:r>
              <w:rPr>
                <w:rFonts w:hint="default" w:ascii="Arial" w:hAnsi="Arial" w:eastAsia="Calibri" w:cs="Arial"/>
                <w:color w:val="000000"/>
                <w:sz w:val="24"/>
                <w:szCs w:val="24"/>
                <w:lang w:val="en-US" w:eastAsia="zh-CN" w:bidi="ar-SA"/>
              </w:rPr>
              <w:t>%</w:t>
            </w:r>
          </w:p>
        </w:tc>
        <w:tc>
          <w:tcPr>
            <w:tcW w:w="639" w:type="pct"/>
            <w:shd w:val="clear" w:color="auto" w:fill="auto"/>
            <w:vAlign w:val="center"/>
          </w:tcPr>
          <w:p w14:paraId="2CC2D7A3">
            <w:pPr>
              <w:spacing w:line="240" w:lineRule="auto"/>
              <w:contextualSpacing/>
              <w:jc w:val="center"/>
              <w:rPr>
                <w:rFonts w:ascii="Arial" w:hAnsi="Arial" w:eastAsia="Times New Roman" w:cs="Arial"/>
                <w:color w:val="000000"/>
                <w:sz w:val="24"/>
                <w:szCs w:val="24"/>
                <w:lang w:val="en-US" w:eastAsia="zh-CN" w:bidi="ar-SA"/>
              </w:rPr>
            </w:pPr>
            <w:r>
              <w:rPr>
                <w:rFonts w:ascii="Arial" w:hAnsi="Arial" w:eastAsia="Times New Roman" w:cs="Arial"/>
                <w:color w:val="000000"/>
                <w:sz w:val="24"/>
                <w:szCs w:val="24"/>
                <w:lang w:eastAsia="en-GB"/>
              </w:rPr>
              <w:t>80%</w:t>
            </w:r>
          </w:p>
        </w:tc>
        <w:tc>
          <w:tcPr>
            <w:tcW w:w="486" w:type="pct"/>
            <w:shd w:val="clear" w:color="auto" w:fill="auto"/>
            <w:vAlign w:val="center"/>
          </w:tcPr>
          <w:p w14:paraId="582D5247">
            <w:pPr>
              <w:spacing w:after="0" w:line="240" w:lineRule="auto"/>
              <w:jc w:val="center"/>
              <w:rPr>
                <w:rFonts w:ascii="Arial" w:hAnsi="Arial" w:eastAsia="Times New Roman" w:cs="Arial"/>
                <w:sz w:val="24"/>
                <w:szCs w:val="24"/>
                <w:lang w:val="en-US" w:eastAsia="en-GB" w:bidi="ar-SA"/>
              </w:rPr>
            </w:pPr>
            <w:r>
              <w:rPr>
                <w:rFonts w:ascii="Arial" w:hAnsi="Arial" w:eastAsia="Times New Roman" w:cs="Arial"/>
                <w:color w:val="000000"/>
                <w:sz w:val="24"/>
                <w:szCs w:val="24"/>
                <w:lang w:eastAsia="en-GB"/>
              </w:rPr>
              <w:t>58</w:t>
            </w:r>
          </w:p>
        </w:tc>
        <w:tc>
          <w:tcPr>
            <w:tcW w:w="473" w:type="pct"/>
            <w:shd w:val="clear" w:color="auto" w:fill="auto"/>
            <w:vAlign w:val="center"/>
          </w:tcPr>
          <w:p w14:paraId="0E68A134">
            <w:pPr>
              <w:spacing w:after="0" w:line="240" w:lineRule="auto"/>
              <w:jc w:val="center"/>
              <w:rPr>
                <w:rFonts w:hint="default" w:ascii="Arial" w:hAnsi="Arial" w:eastAsia="Times New Roman" w:cs="Arial"/>
                <w:color w:val="auto"/>
                <w:sz w:val="24"/>
                <w:szCs w:val="24"/>
                <w:lang w:val="en-US" w:eastAsia="en-GB" w:bidi="ar-SA"/>
              </w:rPr>
            </w:pPr>
            <w:r>
              <w:rPr>
                <w:rFonts w:hint="eastAsia" w:ascii="Arial" w:hAnsi="Arial" w:eastAsia="Times New Roman" w:cs="Arial"/>
                <w:color w:val="auto"/>
                <w:sz w:val="23"/>
                <w:szCs w:val="23"/>
                <w:highlight w:val="none"/>
                <w:lang w:eastAsia="en-GB"/>
              </w:rPr>
              <w:t>6</w:t>
            </w:r>
            <w:r>
              <w:rPr>
                <w:rFonts w:hint="default" w:ascii="Arial" w:hAnsi="Arial" w:eastAsia="Times New Roman" w:cs="Arial"/>
                <w:color w:val="auto"/>
                <w:sz w:val="23"/>
                <w:szCs w:val="23"/>
                <w:highlight w:val="none"/>
                <w:lang w:val="en-US" w:eastAsia="en-GB"/>
              </w:rPr>
              <w:t>4.25</w:t>
            </w:r>
          </w:p>
        </w:tc>
        <w:tc>
          <w:tcPr>
            <w:tcW w:w="617" w:type="pct"/>
            <w:shd w:val="clear" w:color="auto" w:fill="auto"/>
            <w:vAlign w:val="center"/>
          </w:tcPr>
          <w:p w14:paraId="4930E61B">
            <w:pPr>
              <w:spacing w:after="0" w:line="240" w:lineRule="auto"/>
              <w:jc w:val="center"/>
              <w:rPr>
                <w:rFonts w:ascii="Arial" w:hAnsi="Arial" w:eastAsia="Times New Roman" w:cs="Arial"/>
                <w:sz w:val="24"/>
                <w:szCs w:val="24"/>
                <w:lang w:val="en-US" w:eastAsia="en-GB" w:bidi="ar-SA"/>
              </w:rPr>
            </w:pPr>
            <w:r>
              <w:rPr>
                <w:rFonts w:hint="default" w:ascii="Arial" w:hAnsi="Arial" w:eastAsia="Times New Roman" w:cs="Arial"/>
                <w:sz w:val="24"/>
                <w:szCs w:val="24"/>
                <w:lang w:val="en-US" w:eastAsia="en-GB"/>
              </w:rPr>
              <w:t>80</w:t>
            </w:r>
          </w:p>
        </w:tc>
        <w:tc>
          <w:tcPr>
            <w:tcW w:w="447" w:type="pct"/>
            <w:shd w:val="clear" w:color="auto" w:fill="auto"/>
          </w:tcPr>
          <w:p w14:paraId="65B3F9F3">
            <w:pPr>
              <w:spacing w:line="240" w:lineRule="auto"/>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1</w:t>
            </w:r>
          </w:p>
        </w:tc>
      </w:tr>
      <w:tr w14:paraId="64A8E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tcPr>
          <w:p w14:paraId="008F2263">
            <w:pPr>
              <w:pStyle w:val="11"/>
              <w:numPr>
                <w:ilvl w:val="0"/>
                <w:numId w:val="8"/>
              </w:numPr>
              <w:tabs>
                <w:tab w:val="left" w:pos="176"/>
              </w:tabs>
              <w:spacing w:line="240" w:lineRule="auto"/>
              <w:jc w:val="center"/>
              <w:rPr>
                <w:rFonts w:ascii="Arial" w:hAnsi="Arial" w:eastAsia="Times New Roman" w:cs="Arial"/>
                <w:color w:val="000000"/>
                <w:sz w:val="24"/>
                <w:szCs w:val="24"/>
                <w:highlight w:val="none"/>
                <w:lang w:eastAsia="en-GB"/>
              </w:rPr>
            </w:pPr>
          </w:p>
        </w:tc>
        <w:tc>
          <w:tcPr>
            <w:tcW w:w="1481" w:type="pct"/>
            <w:tcBorders>
              <w:top w:val="nil"/>
              <w:left w:val="nil"/>
              <w:bottom w:val="single" w:color="auto" w:sz="4" w:space="0"/>
              <w:right w:val="single" w:color="auto" w:sz="4" w:space="0"/>
            </w:tcBorders>
            <w:shd w:val="clear" w:color="auto" w:fill="auto"/>
            <w:noWrap/>
            <w:vAlign w:val="top"/>
          </w:tcPr>
          <w:p w14:paraId="3A358D41">
            <w:pPr>
              <w:spacing w:after="0" w:line="240" w:lineRule="auto"/>
              <w:jc w:val="both"/>
              <w:rPr>
                <w:rFonts w:ascii="Arial" w:hAnsi="Arial" w:cs="Arial" w:eastAsiaTheme="minorHAnsi"/>
                <w:sz w:val="24"/>
                <w:szCs w:val="24"/>
                <w:lang w:val="en-US" w:eastAsia="zh-CN" w:bidi="ar-SA"/>
              </w:rPr>
            </w:pPr>
            <w:r>
              <w:rPr>
                <w:rFonts w:ascii="Arial" w:hAnsi="Arial" w:cs="Arial"/>
                <w:sz w:val="24"/>
                <w:szCs w:val="24"/>
              </w:rPr>
              <w:t xml:space="preserve">Rate of coaches availability </w:t>
            </w:r>
          </w:p>
        </w:tc>
        <w:tc>
          <w:tcPr>
            <w:tcW w:w="635" w:type="pct"/>
            <w:tcBorders>
              <w:top w:val="nil"/>
              <w:left w:val="nil"/>
              <w:bottom w:val="single" w:color="auto" w:sz="4" w:space="0"/>
              <w:right w:val="single" w:color="auto" w:sz="4" w:space="0"/>
            </w:tcBorders>
            <w:shd w:val="clear" w:color="auto" w:fill="auto"/>
            <w:vAlign w:val="center"/>
          </w:tcPr>
          <w:p w14:paraId="41FABD85">
            <w:pPr>
              <w:spacing w:line="240" w:lineRule="auto"/>
              <w:contextualSpacing/>
              <w:jc w:val="center"/>
              <w:rPr>
                <w:rFonts w:ascii="Arial" w:hAnsi="Arial" w:eastAsia="Calibri" w:cs="Arial"/>
                <w:color w:val="000000"/>
                <w:sz w:val="24"/>
                <w:szCs w:val="24"/>
                <w:lang w:val="en-US" w:eastAsia="zh-CN" w:bidi="ar-SA"/>
              </w:rPr>
            </w:pPr>
            <w:r>
              <w:rPr>
                <w:rFonts w:hint="default" w:ascii="Arial" w:hAnsi="Arial" w:eastAsia="Calibri" w:cs="Arial"/>
                <w:color w:val="000000"/>
                <w:sz w:val="24"/>
                <w:szCs w:val="24"/>
                <w:lang w:val="en-US"/>
              </w:rPr>
              <w:t>%</w:t>
            </w:r>
          </w:p>
        </w:tc>
        <w:tc>
          <w:tcPr>
            <w:tcW w:w="639" w:type="pct"/>
            <w:shd w:val="clear" w:color="auto" w:fill="auto"/>
            <w:vAlign w:val="center"/>
          </w:tcPr>
          <w:p w14:paraId="4DB4D445">
            <w:pPr>
              <w:spacing w:after="0" w:line="240" w:lineRule="auto"/>
              <w:jc w:val="center"/>
              <w:rPr>
                <w:rFonts w:ascii="Arial" w:hAnsi="Arial" w:eastAsia="Times New Roman" w:cs="Arial"/>
                <w:b/>
                <w:sz w:val="24"/>
                <w:szCs w:val="24"/>
                <w:lang w:val="en-US" w:eastAsia="zh-CN" w:bidi="ar-SA"/>
              </w:rPr>
            </w:pPr>
            <w:r>
              <w:rPr>
                <w:rFonts w:ascii="Arial" w:hAnsi="Arial" w:eastAsia="Times New Roman" w:cs="Arial"/>
                <w:color w:val="000000"/>
                <w:sz w:val="24"/>
                <w:szCs w:val="24"/>
                <w:lang w:eastAsia="en-GB"/>
              </w:rPr>
              <w:t>80%</w:t>
            </w:r>
          </w:p>
        </w:tc>
        <w:tc>
          <w:tcPr>
            <w:tcW w:w="486" w:type="pct"/>
            <w:shd w:val="clear" w:color="auto" w:fill="auto"/>
            <w:vAlign w:val="center"/>
          </w:tcPr>
          <w:p w14:paraId="2ADC111B">
            <w:pPr>
              <w:spacing w:after="0" w:line="240" w:lineRule="auto"/>
              <w:jc w:val="center"/>
              <w:rPr>
                <w:rFonts w:ascii="Arial" w:hAnsi="Arial" w:eastAsia="Times New Roman" w:cs="Arial"/>
                <w:sz w:val="24"/>
                <w:szCs w:val="24"/>
                <w:lang w:val="en-US" w:eastAsia="en-GB" w:bidi="ar-SA"/>
              </w:rPr>
            </w:pPr>
            <w:r>
              <w:rPr>
                <w:rFonts w:ascii="Arial" w:hAnsi="Arial" w:eastAsia="Times New Roman" w:cs="Arial"/>
                <w:color w:val="000000"/>
                <w:sz w:val="24"/>
                <w:szCs w:val="24"/>
                <w:lang w:eastAsia="en-GB"/>
              </w:rPr>
              <w:t>68.7</w:t>
            </w:r>
          </w:p>
        </w:tc>
        <w:tc>
          <w:tcPr>
            <w:tcW w:w="473" w:type="pct"/>
            <w:shd w:val="clear" w:color="auto" w:fill="auto"/>
            <w:vAlign w:val="center"/>
          </w:tcPr>
          <w:p w14:paraId="07CF60EE">
            <w:pPr>
              <w:spacing w:after="0" w:line="240" w:lineRule="auto"/>
              <w:jc w:val="center"/>
              <w:rPr>
                <w:rFonts w:hint="default" w:ascii="Arial" w:hAnsi="Arial" w:eastAsia="Times New Roman" w:cs="Arial"/>
                <w:color w:val="auto"/>
                <w:sz w:val="24"/>
                <w:szCs w:val="24"/>
                <w:lang w:val="en-US" w:eastAsia="en-GB" w:bidi="ar-SA"/>
              </w:rPr>
            </w:pPr>
            <w:r>
              <w:rPr>
                <w:rFonts w:hint="eastAsia" w:ascii="Arial" w:hAnsi="Arial" w:eastAsia="Times New Roman" w:cs="Arial"/>
                <w:color w:val="auto"/>
                <w:sz w:val="23"/>
                <w:szCs w:val="23"/>
                <w:highlight w:val="none"/>
                <w:lang w:eastAsia="en-GB"/>
              </w:rPr>
              <w:t>6</w:t>
            </w:r>
            <w:r>
              <w:rPr>
                <w:rFonts w:ascii="Arial" w:hAnsi="Arial" w:eastAsia="Times New Roman" w:cs="Arial"/>
                <w:color w:val="auto"/>
                <w:sz w:val="23"/>
                <w:szCs w:val="23"/>
                <w:highlight w:val="none"/>
                <w:lang w:eastAsia="en-GB"/>
              </w:rPr>
              <w:t>8</w:t>
            </w:r>
            <w:r>
              <w:rPr>
                <w:rFonts w:hint="default" w:ascii="Arial" w:hAnsi="Arial" w:eastAsia="Times New Roman" w:cs="Arial"/>
                <w:color w:val="auto"/>
                <w:sz w:val="23"/>
                <w:szCs w:val="23"/>
                <w:highlight w:val="none"/>
                <w:lang w:val="en-US" w:eastAsia="en-GB"/>
              </w:rPr>
              <w:t>.48</w:t>
            </w:r>
          </w:p>
        </w:tc>
        <w:tc>
          <w:tcPr>
            <w:tcW w:w="617" w:type="pct"/>
            <w:shd w:val="clear" w:color="auto" w:fill="auto"/>
            <w:vAlign w:val="center"/>
          </w:tcPr>
          <w:p w14:paraId="04A33064">
            <w:pPr>
              <w:spacing w:after="0" w:line="240" w:lineRule="auto"/>
              <w:jc w:val="center"/>
              <w:rPr>
                <w:rFonts w:ascii="Arial" w:hAnsi="Arial" w:eastAsia="Times New Roman" w:cs="Arial"/>
                <w:sz w:val="24"/>
                <w:szCs w:val="24"/>
                <w:lang w:val="en-US" w:eastAsia="en-GB" w:bidi="ar-SA"/>
              </w:rPr>
            </w:pPr>
            <w:r>
              <w:rPr>
                <w:rFonts w:hint="default" w:ascii="Arial" w:hAnsi="Arial" w:eastAsia="Times New Roman" w:cs="Arial"/>
                <w:sz w:val="24"/>
                <w:szCs w:val="24"/>
                <w:lang w:val="en-US" w:eastAsia="en-GB"/>
              </w:rPr>
              <w:t>80</w:t>
            </w:r>
          </w:p>
        </w:tc>
        <w:tc>
          <w:tcPr>
            <w:tcW w:w="447" w:type="pct"/>
            <w:shd w:val="clear" w:color="auto" w:fill="auto"/>
          </w:tcPr>
          <w:p w14:paraId="32389AB7">
            <w:pPr>
              <w:spacing w:line="240" w:lineRule="auto"/>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1</w:t>
            </w:r>
          </w:p>
        </w:tc>
      </w:tr>
      <w:tr w14:paraId="05EE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tcPr>
          <w:p w14:paraId="4468D14A">
            <w:pPr>
              <w:pStyle w:val="11"/>
              <w:numPr>
                <w:ilvl w:val="0"/>
                <w:numId w:val="8"/>
              </w:numPr>
              <w:tabs>
                <w:tab w:val="left" w:pos="176"/>
              </w:tabs>
              <w:spacing w:line="240" w:lineRule="auto"/>
              <w:jc w:val="center"/>
              <w:rPr>
                <w:rFonts w:ascii="Arial" w:hAnsi="Arial" w:eastAsia="Times New Roman" w:cs="Arial"/>
                <w:color w:val="000000"/>
                <w:sz w:val="24"/>
                <w:szCs w:val="24"/>
                <w:highlight w:val="none"/>
                <w:lang w:eastAsia="en-GB"/>
              </w:rPr>
            </w:pPr>
          </w:p>
        </w:tc>
        <w:tc>
          <w:tcPr>
            <w:tcW w:w="1481" w:type="pct"/>
            <w:tcBorders>
              <w:top w:val="nil"/>
              <w:left w:val="nil"/>
              <w:bottom w:val="single" w:color="auto" w:sz="4" w:space="0"/>
              <w:right w:val="single" w:color="auto" w:sz="4" w:space="0"/>
            </w:tcBorders>
            <w:shd w:val="clear" w:color="auto" w:fill="auto"/>
            <w:noWrap/>
            <w:vAlign w:val="top"/>
          </w:tcPr>
          <w:p w14:paraId="0A8F98E1">
            <w:pPr>
              <w:spacing w:after="0" w:line="240" w:lineRule="auto"/>
              <w:jc w:val="both"/>
              <w:rPr>
                <w:rFonts w:ascii="Arial" w:hAnsi="Arial" w:cs="Arial" w:eastAsiaTheme="minorHAnsi"/>
                <w:sz w:val="24"/>
                <w:szCs w:val="24"/>
                <w:lang w:val="en-US" w:eastAsia="zh-CN" w:bidi="ar-SA"/>
              </w:rPr>
            </w:pPr>
            <w:r>
              <w:rPr>
                <w:rFonts w:ascii="Arial" w:hAnsi="Arial" w:cs="Arial"/>
                <w:sz w:val="24"/>
                <w:szCs w:val="24"/>
              </w:rPr>
              <w:t xml:space="preserve">Rate of Locomotive </w:t>
            </w:r>
            <w:r>
              <w:rPr>
                <w:rFonts w:ascii="Arial" w:hAnsi="Arial" w:cs="Arial"/>
                <w:i/>
                <w:sz w:val="24"/>
                <w:szCs w:val="24"/>
              </w:rPr>
              <w:t>reliability</w:t>
            </w:r>
          </w:p>
        </w:tc>
        <w:tc>
          <w:tcPr>
            <w:tcW w:w="635" w:type="pct"/>
            <w:tcBorders>
              <w:top w:val="nil"/>
              <w:left w:val="nil"/>
              <w:bottom w:val="single" w:color="auto" w:sz="4" w:space="0"/>
              <w:right w:val="single" w:color="auto" w:sz="4" w:space="0"/>
            </w:tcBorders>
            <w:shd w:val="clear" w:color="auto" w:fill="auto"/>
            <w:vAlign w:val="center"/>
          </w:tcPr>
          <w:p w14:paraId="0B888D95">
            <w:pPr>
              <w:spacing w:line="240" w:lineRule="auto"/>
              <w:contextualSpacing/>
              <w:jc w:val="both"/>
              <w:rPr>
                <w:rFonts w:hint="default" w:ascii="Arial" w:hAnsi="Arial" w:eastAsia="Calibri" w:cs="Arial"/>
                <w:color w:val="000000"/>
                <w:sz w:val="24"/>
                <w:szCs w:val="24"/>
                <w:lang w:val="en-US" w:eastAsia="zh-CN" w:bidi="ar-SA"/>
              </w:rPr>
            </w:pPr>
            <w:r>
              <w:rPr>
                <w:rFonts w:hint="default" w:ascii="Arial" w:hAnsi="Arial" w:eastAsia="Calibri" w:cs="Arial"/>
                <w:color w:val="000000"/>
                <w:sz w:val="24"/>
                <w:szCs w:val="24"/>
                <w:lang w:val="en-US" w:eastAsia="zh-CN" w:bidi="ar-SA"/>
              </w:rPr>
              <w:t>Km/failure</w:t>
            </w:r>
          </w:p>
        </w:tc>
        <w:tc>
          <w:tcPr>
            <w:tcW w:w="639" w:type="pct"/>
            <w:shd w:val="clear" w:color="auto" w:fill="auto"/>
            <w:vAlign w:val="center"/>
          </w:tcPr>
          <w:p w14:paraId="75EB2FA1">
            <w:pPr>
              <w:spacing w:after="0" w:line="240" w:lineRule="auto"/>
              <w:jc w:val="center"/>
              <w:rPr>
                <w:rFonts w:ascii="Arial" w:hAnsi="Arial" w:eastAsia="Times New Roman" w:cs="Arial"/>
                <w:b/>
                <w:sz w:val="24"/>
                <w:szCs w:val="24"/>
                <w:lang w:val="en-US" w:eastAsia="zh-CN" w:bidi="ar-SA"/>
              </w:rPr>
            </w:pPr>
            <w:r>
              <w:rPr>
                <w:rFonts w:hint="default" w:ascii="Arial" w:hAnsi="Arial" w:eastAsia="Times New Roman" w:cs="Arial"/>
                <w:color w:val="000000"/>
                <w:sz w:val="24"/>
                <w:szCs w:val="24"/>
                <w:lang w:val="en-US" w:eastAsia="en-GB"/>
              </w:rPr>
              <w:t>19</w:t>
            </w:r>
            <w:r>
              <w:rPr>
                <w:rFonts w:ascii="Arial" w:hAnsi="Arial" w:eastAsia="Times New Roman" w:cs="Arial"/>
                <w:color w:val="000000"/>
                <w:sz w:val="24"/>
                <w:szCs w:val="24"/>
                <w:lang w:eastAsia="en-GB"/>
              </w:rPr>
              <w:t>,000</w:t>
            </w:r>
          </w:p>
        </w:tc>
        <w:tc>
          <w:tcPr>
            <w:tcW w:w="486" w:type="pct"/>
            <w:shd w:val="clear" w:color="auto" w:fill="auto"/>
            <w:vAlign w:val="center"/>
          </w:tcPr>
          <w:p w14:paraId="56F714DD">
            <w:pPr>
              <w:spacing w:after="0" w:line="240" w:lineRule="auto"/>
              <w:jc w:val="center"/>
              <w:rPr>
                <w:rFonts w:ascii="Arial" w:hAnsi="Arial" w:eastAsia="Times New Roman" w:cs="Arial"/>
                <w:sz w:val="24"/>
                <w:szCs w:val="24"/>
                <w:lang w:val="en-US" w:eastAsia="en-GB" w:bidi="ar-SA"/>
              </w:rPr>
            </w:pPr>
            <w:r>
              <w:rPr>
                <w:rFonts w:ascii="Arial" w:hAnsi="Arial" w:eastAsia="Times New Roman" w:cs="Arial"/>
                <w:sz w:val="24"/>
                <w:szCs w:val="24"/>
                <w:lang w:eastAsia="en-GB"/>
              </w:rPr>
              <w:t>11</w:t>
            </w:r>
            <w:r>
              <w:rPr>
                <w:rFonts w:hint="default" w:ascii="Arial" w:hAnsi="Arial" w:eastAsia="Times New Roman" w:cs="Arial"/>
                <w:sz w:val="24"/>
                <w:szCs w:val="24"/>
                <w:lang w:val="en-US" w:eastAsia="en-GB"/>
              </w:rPr>
              <w:t>,</w:t>
            </w:r>
            <w:r>
              <w:rPr>
                <w:rFonts w:ascii="Arial" w:hAnsi="Arial" w:eastAsia="Times New Roman" w:cs="Arial"/>
                <w:sz w:val="24"/>
                <w:szCs w:val="24"/>
                <w:lang w:eastAsia="en-GB"/>
              </w:rPr>
              <w:t>524 (</w:t>
            </w:r>
            <w:r>
              <w:rPr>
                <w:rFonts w:hint="default" w:ascii="Arial" w:hAnsi="Arial" w:eastAsia="Times New Roman" w:cs="Arial"/>
                <w:sz w:val="24"/>
                <w:szCs w:val="24"/>
                <w:lang w:val="en-US" w:eastAsia="en-GB"/>
              </w:rPr>
              <w:t>48</w:t>
            </w:r>
            <w:r>
              <w:rPr>
                <w:rFonts w:ascii="Arial" w:hAnsi="Arial" w:eastAsia="Times New Roman" w:cs="Arial"/>
                <w:sz w:val="24"/>
                <w:szCs w:val="24"/>
                <w:lang w:eastAsia="en-GB"/>
              </w:rPr>
              <w:t>%)</w:t>
            </w:r>
          </w:p>
        </w:tc>
        <w:tc>
          <w:tcPr>
            <w:tcW w:w="473" w:type="pct"/>
            <w:shd w:val="clear" w:color="auto" w:fill="auto"/>
            <w:vAlign w:val="center"/>
          </w:tcPr>
          <w:p w14:paraId="57177219">
            <w:pPr>
              <w:spacing w:after="0" w:line="240" w:lineRule="auto"/>
              <w:jc w:val="center"/>
              <w:rPr>
                <w:rFonts w:hint="default" w:ascii="Arial" w:hAnsi="Arial" w:eastAsia="Times New Roman" w:cs="Arial"/>
                <w:color w:val="auto"/>
                <w:sz w:val="23"/>
                <w:szCs w:val="23"/>
                <w:highlight w:val="none"/>
                <w:lang w:val="en-US" w:eastAsia="en-GB"/>
              </w:rPr>
            </w:pPr>
            <w:r>
              <w:rPr>
                <w:rFonts w:hint="default" w:ascii="Arial" w:hAnsi="Arial" w:eastAsia="Times New Roman" w:cs="Arial"/>
                <w:color w:val="auto"/>
                <w:sz w:val="23"/>
                <w:szCs w:val="23"/>
                <w:highlight w:val="none"/>
                <w:lang w:val="en-US" w:eastAsia="en-GB"/>
              </w:rPr>
              <w:t>7,800</w:t>
            </w:r>
          </w:p>
          <w:p w14:paraId="44C3CC2F">
            <w:pPr>
              <w:spacing w:after="0" w:line="240" w:lineRule="auto"/>
              <w:jc w:val="center"/>
              <w:rPr>
                <w:rFonts w:ascii="Arial" w:hAnsi="Arial" w:eastAsia="Times New Roman" w:cs="Arial"/>
                <w:color w:val="FF0000"/>
                <w:sz w:val="24"/>
                <w:szCs w:val="24"/>
                <w:lang w:val="en-US" w:eastAsia="en-GB" w:bidi="ar-SA"/>
              </w:rPr>
            </w:pPr>
            <w:r>
              <w:rPr>
                <w:rFonts w:ascii="Arial" w:hAnsi="Arial" w:eastAsia="Times New Roman" w:cs="Arial"/>
                <w:color w:val="auto"/>
                <w:sz w:val="24"/>
                <w:szCs w:val="24"/>
                <w:highlight w:val="none"/>
                <w:lang w:eastAsia="en-GB"/>
              </w:rPr>
              <w:t>(</w:t>
            </w:r>
            <w:r>
              <w:rPr>
                <w:rFonts w:hint="default" w:ascii="Arial" w:hAnsi="Arial" w:eastAsia="Times New Roman" w:cs="Arial"/>
                <w:color w:val="auto"/>
                <w:sz w:val="24"/>
                <w:szCs w:val="24"/>
                <w:highlight w:val="none"/>
                <w:lang w:val="en-US" w:eastAsia="en-GB"/>
              </w:rPr>
              <w:t>39.5</w:t>
            </w:r>
            <w:r>
              <w:rPr>
                <w:rFonts w:ascii="Arial" w:hAnsi="Arial" w:eastAsia="Times New Roman" w:cs="Arial"/>
                <w:color w:val="auto"/>
                <w:sz w:val="24"/>
                <w:szCs w:val="24"/>
                <w:highlight w:val="none"/>
                <w:lang w:eastAsia="en-GB"/>
              </w:rPr>
              <w:t>%)</w:t>
            </w:r>
          </w:p>
        </w:tc>
        <w:tc>
          <w:tcPr>
            <w:tcW w:w="617" w:type="pct"/>
            <w:shd w:val="clear" w:color="auto" w:fill="auto"/>
            <w:vAlign w:val="center"/>
          </w:tcPr>
          <w:p w14:paraId="791FD03D">
            <w:pPr>
              <w:spacing w:after="0" w:line="240" w:lineRule="auto"/>
              <w:jc w:val="center"/>
              <w:rPr>
                <w:rFonts w:ascii="Arial" w:hAnsi="Arial" w:eastAsia="Times New Roman" w:cs="Arial"/>
                <w:sz w:val="24"/>
                <w:szCs w:val="24"/>
                <w:lang w:eastAsia="en-GB"/>
              </w:rPr>
            </w:pPr>
            <w:r>
              <w:rPr>
                <w:rFonts w:hint="default" w:ascii="Arial" w:hAnsi="Arial" w:eastAsia="Times New Roman" w:cs="Arial"/>
                <w:sz w:val="24"/>
                <w:szCs w:val="24"/>
                <w:lang w:val="en-US" w:eastAsia="en-GB"/>
              </w:rPr>
              <w:t>19,</w:t>
            </w:r>
            <w:r>
              <w:rPr>
                <w:rFonts w:ascii="Arial" w:hAnsi="Arial" w:eastAsia="Times New Roman" w:cs="Arial"/>
                <w:sz w:val="24"/>
                <w:szCs w:val="24"/>
                <w:lang w:eastAsia="en-GB"/>
              </w:rPr>
              <w:t>000</w:t>
            </w:r>
          </w:p>
          <w:p w14:paraId="2EA871E3">
            <w:pPr>
              <w:spacing w:after="0" w:line="240" w:lineRule="auto"/>
              <w:jc w:val="center"/>
              <w:rPr>
                <w:rFonts w:ascii="Arial" w:hAnsi="Arial" w:eastAsia="Times New Roman" w:cs="Arial"/>
                <w:sz w:val="24"/>
                <w:szCs w:val="24"/>
                <w:lang w:val="en-US" w:eastAsia="en-GB" w:bidi="ar-SA"/>
              </w:rPr>
            </w:pPr>
            <w:r>
              <w:rPr>
                <w:rFonts w:ascii="Arial" w:hAnsi="Arial" w:eastAsia="Times New Roman" w:cs="Arial"/>
                <w:sz w:val="24"/>
                <w:szCs w:val="24"/>
                <w:lang w:eastAsia="en-GB"/>
              </w:rPr>
              <w:t>(100%)</w:t>
            </w:r>
          </w:p>
        </w:tc>
        <w:tc>
          <w:tcPr>
            <w:tcW w:w="447" w:type="pct"/>
            <w:shd w:val="clear" w:color="auto" w:fill="auto"/>
          </w:tcPr>
          <w:p w14:paraId="3053D633">
            <w:pPr>
              <w:spacing w:line="240" w:lineRule="auto"/>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2</w:t>
            </w:r>
          </w:p>
        </w:tc>
      </w:tr>
      <w:tr w14:paraId="0EF68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tcPr>
          <w:p w14:paraId="380E1815">
            <w:pPr>
              <w:pStyle w:val="11"/>
              <w:numPr>
                <w:ilvl w:val="0"/>
                <w:numId w:val="8"/>
              </w:numPr>
              <w:tabs>
                <w:tab w:val="left" w:pos="176"/>
              </w:tabs>
              <w:spacing w:line="240" w:lineRule="auto"/>
              <w:jc w:val="center"/>
              <w:rPr>
                <w:rFonts w:ascii="Arial" w:hAnsi="Arial" w:eastAsia="Times New Roman" w:cs="Arial"/>
                <w:color w:val="000000"/>
                <w:sz w:val="24"/>
                <w:szCs w:val="24"/>
                <w:highlight w:val="none"/>
                <w:lang w:eastAsia="en-GB"/>
              </w:rPr>
            </w:pPr>
          </w:p>
        </w:tc>
        <w:tc>
          <w:tcPr>
            <w:tcW w:w="1481" w:type="pct"/>
            <w:tcBorders>
              <w:top w:val="nil"/>
              <w:left w:val="nil"/>
              <w:bottom w:val="single" w:color="auto" w:sz="4" w:space="0"/>
              <w:right w:val="single" w:color="auto" w:sz="4" w:space="0"/>
            </w:tcBorders>
            <w:shd w:val="clear" w:color="auto" w:fill="auto"/>
            <w:noWrap/>
            <w:vAlign w:val="top"/>
          </w:tcPr>
          <w:p w14:paraId="04EFA078">
            <w:pPr>
              <w:spacing w:after="0" w:line="240" w:lineRule="auto"/>
              <w:jc w:val="both"/>
              <w:rPr>
                <w:rFonts w:ascii="Arial" w:hAnsi="Arial" w:cs="Arial" w:eastAsiaTheme="minorHAnsi"/>
                <w:sz w:val="24"/>
                <w:szCs w:val="24"/>
                <w:lang w:val="en-US" w:eastAsia="zh-CN" w:bidi="ar-SA"/>
              </w:rPr>
            </w:pPr>
            <w:r>
              <w:rPr>
                <w:rFonts w:ascii="Arial" w:hAnsi="Arial" w:cs="Arial"/>
                <w:sz w:val="24"/>
                <w:szCs w:val="24"/>
              </w:rPr>
              <w:t xml:space="preserve">Rate of Locomotive </w:t>
            </w:r>
            <w:r>
              <w:rPr>
                <w:rFonts w:ascii="Arial" w:hAnsi="Arial" w:cs="Arial"/>
                <w:i/>
                <w:sz w:val="24"/>
                <w:szCs w:val="24"/>
              </w:rPr>
              <w:t>utilization</w:t>
            </w:r>
          </w:p>
        </w:tc>
        <w:tc>
          <w:tcPr>
            <w:tcW w:w="635" w:type="pct"/>
            <w:tcBorders>
              <w:top w:val="nil"/>
              <w:left w:val="nil"/>
              <w:bottom w:val="single" w:color="auto" w:sz="4" w:space="0"/>
              <w:right w:val="single" w:color="auto" w:sz="4" w:space="0"/>
            </w:tcBorders>
            <w:shd w:val="clear" w:color="auto" w:fill="auto"/>
            <w:vAlign w:val="center"/>
          </w:tcPr>
          <w:p w14:paraId="7E2DFC8F">
            <w:pPr>
              <w:spacing w:line="240" w:lineRule="auto"/>
              <w:jc w:val="center"/>
              <w:textAlignment w:val="center"/>
              <w:rPr>
                <w:rFonts w:hint="default" w:ascii="Arial" w:hAnsi="Arial" w:eastAsia="宋体" w:cs="Arial"/>
                <w:color w:val="000000"/>
                <w:sz w:val="24"/>
                <w:szCs w:val="24"/>
                <w:highlight w:val="none"/>
                <w:lang w:val="en-US" w:eastAsia="zh-CN" w:bidi="ar"/>
              </w:rPr>
            </w:pPr>
            <w:r>
              <w:rPr>
                <w:rFonts w:hint="default" w:ascii="Arial" w:hAnsi="Arial" w:eastAsia="宋体" w:cs="Arial"/>
                <w:color w:val="000000"/>
                <w:sz w:val="24"/>
                <w:szCs w:val="24"/>
                <w:highlight w:val="none"/>
                <w:lang w:val="en-US" w:eastAsia="zh-CN" w:bidi="ar"/>
              </w:rPr>
              <w:t>KM</w:t>
            </w:r>
          </w:p>
        </w:tc>
        <w:tc>
          <w:tcPr>
            <w:tcW w:w="639" w:type="pct"/>
            <w:shd w:val="clear" w:color="auto" w:fill="auto"/>
            <w:vAlign w:val="center"/>
          </w:tcPr>
          <w:p w14:paraId="44215BB7">
            <w:pPr>
              <w:spacing w:after="0" w:line="240" w:lineRule="auto"/>
              <w:jc w:val="center"/>
              <w:rPr>
                <w:rFonts w:hint="default" w:ascii="Arial" w:hAnsi="Arial" w:eastAsia="Times New Roman" w:cs="Arial"/>
                <w:b w:val="0"/>
                <w:bCs/>
                <w:sz w:val="24"/>
                <w:szCs w:val="24"/>
                <w:lang w:val="en-US" w:eastAsia="zh-CN" w:bidi="ar-SA"/>
              </w:rPr>
            </w:pPr>
            <w:r>
              <w:rPr>
                <w:rFonts w:hint="default" w:ascii="Arial" w:hAnsi="Arial" w:eastAsia="Times New Roman" w:cs="Arial"/>
                <w:b w:val="0"/>
                <w:bCs/>
                <w:sz w:val="24"/>
                <w:szCs w:val="24"/>
                <w:lang w:val="en-US" w:eastAsia="en-GB"/>
              </w:rPr>
              <w:t>460</w:t>
            </w:r>
          </w:p>
        </w:tc>
        <w:tc>
          <w:tcPr>
            <w:tcW w:w="486" w:type="pct"/>
            <w:shd w:val="clear" w:color="auto" w:fill="auto"/>
            <w:vAlign w:val="center"/>
          </w:tcPr>
          <w:p w14:paraId="36F651D0">
            <w:pPr>
              <w:spacing w:after="0" w:line="240" w:lineRule="auto"/>
              <w:jc w:val="center"/>
              <w:rPr>
                <w:rFonts w:ascii="Arial" w:hAnsi="Arial" w:eastAsia="Times New Roman" w:cs="Arial"/>
                <w:sz w:val="24"/>
                <w:szCs w:val="24"/>
                <w:lang w:val="en-US" w:eastAsia="en-GB" w:bidi="ar-SA"/>
              </w:rPr>
            </w:pPr>
            <w:r>
              <w:rPr>
                <w:rFonts w:ascii="Arial" w:hAnsi="Arial" w:eastAsia="Times New Roman" w:cs="Arial"/>
                <w:color w:val="000000"/>
                <w:sz w:val="24"/>
                <w:szCs w:val="24"/>
                <w:lang w:eastAsia="en-GB"/>
              </w:rPr>
              <w:t>293.5</w:t>
            </w:r>
          </w:p>
        </w:tc>
        <w:tc>
          <w:tcPr>
            <w:tcW w:w="473" w:type="pct"/>
            <w:shd w:val="clear" w:color="auto" w:fill="auto"/>
            <w:vAlign w:val="center"/>
          </w:tcPr>
          <w:p w14:paraId="0FCEE2AA">
            <w:pPr>
              <w:spacing w:after="0" w:line="240" w:lineRule="auto"/>
              <w:jc w:val="center"/>
              <w:rPr>
                <w:rFonts w:hint="default" w:ascii="Arial" w:hAnsi="Arial" w:eastAsia="Times New Roman" w:cs="Arial"/>
                <w:color w:val="FF0000"/>
                <w:sz w:val="24"/>
                <w:szCs w:val="24"/>
                <w:lang w:val="en-US" w:eastAsia="en-GB" w:bidi="ar-SA"/>
              </w:rPr>
            </w:pPr>
            <w:r>
              <w:rPr>
                <w:rFonts w:hint="default" w:ascii="Arial" w:hAnsi="Arial" w:eastAsia="Times New Roman" w:cs="Arial"/>
                <w:color w:val="auto"/>
                <w:sz w:val="23"/>
                <w:szCs w:val="23"/>
                <w:highlight w:val="none"/>
                <w:lang w:val="en-US" w:eastAsia="en-GB"/>
              </w:rPr>
              <w:t>296</w:t>
            </w:r>
          </w:p>
        </w:tc>
        <w:tc>
          <w:tcPr>
            <w:tcW w:w="617" w:type="pct"/>
            <w:shd w:val="clear" w:color="auto" w:fill="auto"/>
            <w:vAlign w:val="center"/>
          </w:tcPr>
          <w:p w14:paraId="75CBBF37">
            <w:pPr>
              <w:spacing w:after="0" w:line="240" w:lineRule="auto"/>
              <w:jc w:val="center"/>
              <w:rPr>
                <w:rFonts w:ascii="Arial" w:hAnsi="Arial" w:eastAsia="Times New Roman" w:cs="Arial"/>
                <w:sz w:val="24"/>
                <w:szCs w:val="24"/>
                <w:lang w:val="en-US" w:eastAsia="en-GB" w:bidi="ar-SA"/>
              </w:rPr>
            </w:pPr>
            <w:r>
              <w:rPr>
                <w:rFonts w:ascii="Arial" w:hAnsi="Arial" w:eastAsia="Times New Roman" w:cs="Arial"/>
                <w:sz w:val="24"/>
                <w:szCs w:val="24"/>
                <w:lang w:eastAsia="en-GB"/>
              </w:rPr>
              <w:t>460</w:t>
            </w:r>
          </w:p>
        </w:tc>
        <w:tc>
          <w:tcPr>
            <w:tcW w:w="447" w:type="pct"/>
            <w:shd w:val="clear" w:color="auto" w:fill="auto"/>
          </w:tcPr>
          <w:p w14:paraId="7078F78F">
            <w:pPr>
              <w:spacing w:line="240" w:lineRule="auto"/>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1</w:t>
            </w:r>
          </w:p>
        </w:tc>
      </w:tr>
      <w:tr w14:paraId="029E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tcPr>
          <w:p w14:paraId="7C7D1968">
            <w:pPr>
              <w:pStyle w:val="11"/>
              <w:numPr>
                <w:ilvl w:val="0"/>
                <w:numId w:val="8"/>
              </w:numPr>
              <w:tabs>
                <w:tab w:val="left" w:pos="176"/>
              </w:tabs>
              <w:spacing w:line="240" w:lineRule="auto"/>
              <w:jc w:val="center"/>
              <w:rPr>
                <w:rFonts w:ascii="Arial" w:hAnsi="Arial" w:eastAsia="Times New Roman" w:cs="Arial"/>
                <w:color w:val="000000"/>
                <w:sz w:val="24"/>
                <w:szCs w:val="24"/>
                <w:highlight w:val="none"/>
                <w:lang w:eastAsia="en-GB"/>
              </w:rPr>
            </w:pPr>
          </w:p>
        </w:tc>
        <w:tc>
          <w:tcPr>
            <w:tcW w:w="1481" w:type="pct"/>
            <w:tcBorders>
              <w:top w:val="nil"/>
              <w:left w:val="nil"/>
              <w:bottom w:val="single" w:color="auto" w:sz="4" w:space="0"/>
              <w:right w:val="single" w:color="auto" w:sz="4" w:space="0"/>
            </w:tcBorders>
            <w:shd w:val="clear" w:color="auto" w:fill="auto"/>
            <w:noWrap/>
            <w:vAlign w:val="top"/>
          </w:tcPr>
          <w:p w14:paraId="6F48E79C">
            <w:pPr>
              <w:spacing w:after="0" w:line="240" w:lineRule="auto"/>
              <w:jc w:val="both"/>
              <w:rPr>
                <w:rFonts w:ascii="Arial" w:hAnsi="Arial" w:eastAsia="Times New Roman" w:cs="Arial"/>
                <w:sz w:val="24"/>
                <w:szCs w:val="24"/>
                <w:lang w:val="en-US" w:eastAsia="zh-CN" w:bidi="ar-SA"/>
              </w:rPr>
            </w:pPr>
            <w:r>
              <w:rPr>
                <w:rFonts w:ascii="Arial" w:hAnsi="Arial" w:cs="Arial"/>
                <w:sz w:val="24"/>
                <w:szCs w:val="24"/>
              </w:rPr>
              <w:t>Number of train accidents</w:t>
            </w:r>
          </w:p>
        </w:tc>
        <w:tc>
          <w:tcPr>
            <w:tcW w:w="635" w:type="pct"/>
            <w:tcBorders>
              <w:top w:val="nil"/>
              <w:left w:val="nil"/>
              <w:bottom w:val="single" w:color="auto" w:sz="4" w:space="0"/>
              <w:right w:val="single" w:color="auto" w:sz="4" w:space="0"/>
            </w:tcBorders>
            <w:shd w:val="clear" w:color="auto" w:fill="auto"/>
            <w:vAlign w:val="center"/>
          </w:tcPr>
          <w:p w14:paraId="155FA1C4">
            <w:pPr>
              <w:spacing w:line="240" w:lineRule="auto"/>
              <w:jc w:val="center"/>
              <w:textAlignment w:val="center"/>
              <w:rPr>
                <w:rFonts w:hint="default" w:ascii="Arial" w:hAnsi="Arial" w:eastAsia="宋体" w:cs="Arial"/>
                <w:color w:val="000000"/>
                <w:sz w:val="24"/>
                <w:szCs w:val="24"/>
                <w:highlight w:val="none"/>
                <w:lang w:val="en-US" w:eastAsia="zh-CN" w:bidi="ar"/>
              </w:rPr>
            </w:pPr>
            <w:r>
              <w:rPr>
                <w:rFonts w:hint="default" w:ascii="Arial" w:hAnsi="Arial" w:eastAsia="宋体" w:cs="Arial"/>
                <w:color w:val="000000"/>
                <w:sz w:val="24"/>
                <w:szCs w:val="24"/>
                <w:highlight w:val="none"/>
                <w:lang w:val="en-US" w:eastAsia="zh-CN" w:bidi="ar"/>
              </w:rPr>
              <w:t>Number</w:t>
            </w:r>
          </w:p>
        </w:tc>
        <w:tc>
          <w:tcPr>
            <w:tcW w:w="639" w:type="pct"/>
            <w:shd w:val="clear" w:color="auto" w:fill="auto"/>
            <w:vAlign w:val="center"/>
          </w:tcPr>
          <w:p w14:paraId="2E2A0A49">
            <w:pPr>
              <w:spacing w:after="0" w:line="240" w:lineRule="auto"/>
              <w:jc w:val="center"/>
              <w:rPr>
                <w:rFonts w:hint="default" w:ascii="Arial" w:hAnsi="Arial" w:eastAsia="Times New Roman" w:cs="Arial"/>
                <w:b w:val="0"/>
                <w:bCs/>
                <w:sz w:val="24"/>
                <w:szCs w:val="24"/>
                <w:lang w:val="en-US" w:eastAsia="zh-CN" w:bidi="ar-SA"/>
              </w:rPr>
            </w:pPr>
            <w:r>
              <w:rPr>
                <w:rFonts w:hint="default" w:ascii="Arial" w:hAnsi="Arial" w:eastAsia="Times New Roman" w:cs="Arial"/>
                <w:b w:val="0"/>
                <w:bCs/>
                <w:sz w:val="24"/>
                <w:szCs w:val="24"/>
                <w:lang w:val="en-US" w:eastAsia="en-GB"/>
              </w:rPr>
              <w:t>0</w:t>
            </w:r>
          </w:p>
        </w:tc>
        <w:tc>
          <w:tcPr>
            <w:tcW w:w="486" w:type="pct"/>
            <w:shd w:val="clear" w:color="auto" w:fill="auto"/>
            <w:vAlign w:val="center"/>
          </w:tcPr>
          <w:p w14:paraId="6E464C5F">
            <w:pPr>
              <w:spacing w:after="0" w:line="240" w:lineRule="auto"/>
              <w:jc w:val="center"/>
              <w:rPr>
                <w:rFonts w:ascii="Arial" w:hAnsi="Arial" w:eastAsia="Times New Roman" w:cs="Arial"/>
                <w:sz w:val="24"/>
                <w:szCs w:val="24"/>
                <w:lang w:val="en-US" w:eastAsia="en-GB" w:bidi="ar-SA"/>
              </w:rPr>
            </w:pPr>
            <w:r>
              <w:rPr>
                <w:rFonts w:ascii="Arial" w:hAnsi="Arial" w:eastAsia="Times New Roman" w:cs="Arial"/>
                <w:color w:val="000000"/>
                <w:sz w:val="24"/>
                <w:szCs w:val="24"/>
                <w:lang w:eastAsia="en-GB"/>
              </w:rPr>
              <w:t>273</w:t>
            </w:r>
          </w:p>
        </w:tc>
        <w:tc>
          <w:tcPr>
            <w:tcW w:w="473" w:type="pct"/>
            <w:shd w:val="clear" w:color="auto" w:fill="auto"/>
            <w:vAlign w:val="center"/>
          </w:tcPr>
          <w:p w14:paraId="19CFC7B8">
            <w:pPr>
              <w:spacing w:after="0" w:line="240" w:lineRule="auto"/>
              <w:jc w:val="center"/>
              <w:rPr>
                <w:rFonts w:hint="default" w:ascii="Arial" w:hAnsi="Arial" w:eastAsia="Times New Roman" w:cs="Arial"/>
                <w:sz w:val="24"/>
                <w:szCs w:val="24"/>
                <w:lang w:val="en-US" w:eastAsia="en-GB" w:bidi="ar-SA"/>
              </w:rPr>
            </w:pPr>
            <w:r>
              <w:rPr>
                <w:rFonts w:hint="default" w:ascii="Arial" w:hAnsi="Arial" w:eastAsia="Times New Roman" w:cs="Arial"/>
                <w:color w:val="auto"/>
                <w:sz w:val="23"/>
                <w:szCs w:val="23"/>
                <w:highlight w:val="none"/>
                <w:lang w:val="en-US" w:eastAsia="en-GB"/>
              </w:rPr>
              <w:t>189</w:t>
            </w:r>
          </w:p>
        </w:tc>
        <w:tc>
          <w:tcPr>
            <w:tcW w:w="617" w:type="pct"/>
            <w:shd w:val="clear" w:color="auto" w:fill="auto"/>
            <w:vAlign w:val="center"/>
          </w:tcPr>
          <w:p w14:paraId="365D1B0C">
            <w:pPr>
              <w:spacing w:after="0" w:line="240" w:lineRule="auto"/>
              <w:jc w:val="center"/>
              <w:rPr>
                <w:rFonts w:ascii="Arial" w:hAnsi="Arial" w:eastAsia="Times New Roman" w:cs="Arial"/>
                <w:sz w:val="24"/>
                <w:szCs w:val="24"/>
                <w:lang w:val="en-US" w:eastAsia="en-GB" w:bidi="ar-SA"/>
              </w:rPr>
            </w:pPr>
            <w:r>
              <w:rPr>
                <w:rFonts w:hint="default" w:ascii="Arial" w:hAnsi="Arial" w:eastAsia="Times New Roman" w:cs="Arial"/>
                <w:sz w:val="24"/>
                <w:szCs w:val="24"/>
                <w:lang w:val="en-US" w:eastAsia="en-GB"/>
              </w:rPr>
              <w:t>0</w:t>
            </w:r>
          </w:p>
        </w:tc>
        <w:tc>
          <w:tcPr>
            <w:tcW w:w="447" w:type="pct"/>
            <w:shd w:val="clear" w:color="auto" w:fill="auto"/>
          </w:tcPr>
          <w:p w14:paraId="3A133FE0">
            <w:pPr>
              <w:spacing w:line="240" w:lineRule="auto"/>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1</w:t>
            </w:r>
          </w:p>
        </w:tc>
      </w:tr>
      <w:tr w14:paraId="4E27B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tcPr>
          <w:p w14:paraId="6CD2ED89">
            <w:pPr>
              <w:pStyle w:val="11"/>
              <w:numPr>
                <w:ilvl w:val="0"/>
                <w:numId w:val="8"/>
              </w:numPr>
              <w:tabs>
                <w:tab w:val="left" w:pos="176"/>
              </w:tabs>
              <w:spacing w:line="240" w:lineRule="auto"/>
              <w:jc w:val="center"/>
              <w:rPr>
                <w:rFonts w:ascii="Arial" w:hAnsi="Arial" w:eastAsia="Times New Roman" w:cs="Arial"/>
                <w:color w:val="000000"/>
                <w:sz w:val="24"/>
                <w:szCs w:val="24"/>
                <w:highlight w:val="none"/>
                <w:lang w:eastAsia="en-GB"/>
              </w:rPr>
            </w:pPr>
          </w:p>
        </w:tc>
        <w:tc>
          <w:tcPr>
            <w:tcW w:w="1481" w:type="pct"/>
            <w:tcBorders>
              <w:top w:val="nil"/>
              <w:left w:val="nil"/>
              <w:bottom w:val="single" w:color="auto" w:sz="4" w:space="0"/>
              <w:right w:val="single" w:color="auto" w:sz="4" w:space="0"/>
            </w:tcBorders>
            <w:shd w:val="clear" w:color="auto" w:fill="auto"/>
            <w:noWrap/>
            <w:vAlign w:val="top"/>
          </w:tcPr>
          <w:p w14:paraId="55FEF7D5">
            <w:pPr>
              <w:spacing w:after="0" w:line="240" w:lineRule="auto"/>
              <w:jc w:val="both"/>
              <w:rPr>
                <w:rFonts w:hint="default" w:ascii="Arial" w:hAnsi="Arial" w:eastAsia="Times New Roman" w:cs="Arial"/>
                <w:sz w:val="24"/>
                <w:szCs w:val="24"/>
                <w:lang w:val="en-US" w:eastAsia="zh-CN" w:bidi="ar-SA"/>
              </w:rPr>
            </w:pPr>
            <w:r>
              <w:rPr>
                <w:rFonts w:ascii="Arial" w:hAnsi="Arial" w:eastAsia="Times New Roman" w:cs="Arial"/>
                <w:sz w:val="24"/>
                <w:szCs w:val="24"/>
                <w:lang w:eastAsia="en-GB"/>
              </w:rPr>
              <w:t xml:space="preserve">Passengers transported per annum </w:t>
            </w:r>
            <w:r>
              <w:rPr>
                <w:rFonts w:hint="default" w:ascii="Arial" w:hAnsi="Arial" w:eastAsia="Times New Roman" w:cs="Arial"/>
                <w:sz w:val="24"/>
                <w:szCs w:val="24"/>
                <w:lang w:val="en-US" w:eastAsia="en-GB"/>
              </w:rPr>
              <w:t>(MGR)</w:t>
            </w:r>
          </w:p>
        </w:tc>
        <w:tc>
          <w:tcPr>
            <w:tcW w:w="635" w:type="pct"/>
            <w:tcBorders>
              <w:top w:val="nil"/>
              <w:left w:val="nil"/>
              <w:bottom w:val="single" w:color="auto" w:sz="4" w:space="0"/>
              <w:right w:val="single" w:color="auto" w:sz="4" w:space="0"/>
            </w:tcBorders>
            <w:shd w:val="clear" w:color="auto" w:fill="auto"/>
            <w:vAlign w:val="center"/>
          </w:tcPr>
          <w:p w14:paraId="60420538">
            <w:pPr>
              <w:spacing w:line="240" w:lineRule="auto"/>
              <w:jc w:val="center"/>
              <w:textAlignment w:val="center"/>
              <w:rPr>
                <w:rFonts w:hint="default" w:ascii="Arial" w:hAnsi="Arial" w:eastAsia="宋体" w:cs="Arial"/>
                <w:color w:val="000000"/>
                <w:sz w:val="24"/>
                <w:szCs w:val="24"/>
                <w:highlight w:val="none"/>
                <w:lang w:val="en-US" w:eastAsia="zh-CN" w:bidi="ar"/>
              </w:rPr>
            </w:pPr>
            <w:r>
              <w:rPr>
                <w:rFonts w:hint="default" w:ascii="Arial" w:hAnsi="Arial" w:eastAsia="宋体" w:cs="Arial"/>
                <w:color w:val="000000"/>
                <w:sz w:val="24"/>
                <w:szCs w:val="24"/>
                <w:highlight w:val="none"/>
                <w:lang w:val="en-US" w:eastAsia="zh-CN" w:bidi="ar"/>
              </w:rPr>
              <w:t>Number</w:t>
            </w:r>
          </w:p>
        </w:tc>
        <w:tc>
          <w:tcPr>
            <w:tcW w:w="639" w:type="pct"/>
            <w:shd w:val="clear" w:color="auto" w:fill="auto"/>
            <w:vAlign w:val="top"/>
          </w:tcPr>
          <w:p w14:paraId="05868F96">
            <w:pPr>
              <w:spacing w:line="240" w:lineRule="auto"/>
              <w:contextualSpacing/>
              <w:jc w:val="both"/>
              <w:rPr>
                <w:rFonts w:ascii="Arial" w:hAnsi="Arial" w:eastAsia="Times New Roman" w:cs="Arial"/>
                <w:b w:val="0"/>
                <w:bCs/>
                <w:sz w:val="24"/>
                <w:szCs w:val="24"/>
                <w:lang w:val="en-US" w:eastAsia="zh-CN" w:bidi="ar-SA"/>
              </w:rPr>
            </w:pPr>
            <w:r>
              <w:rPr>
                <w:rFonts w:ascii="Arial" w:hAnsi="Arial" w:cs="Arial"/>
                <w:sz w:val="24"/>
                <w:szCs w:val="24"/>
              </w:rPr>
              <w:t xml:space="preserve">No. of passengers </w:t>
            </w:r>
          </w:p>
        </w:tc>
        <w:tc>
          <w:tcPr>
            <w:tcW w:w="486" w:type="pct"/>
            <w:shd w:val="clear" w:color="auto" w:fill="auto"/>
            <w:vAlign w:val="center"/>
          </w:tcPr>
          <w:p w14:paraId="574DB7AD">
            <w:pPr>
              <w:spacing w:after="0" w:line="240" w:lineRule="auto"/>
              <w:jc w:val="center"/>
              <w:rPr>
                <w:rFonts w:ascii="Arial" w:hAnsi="Arial" w:eastAsia="Times New Roman" w:cs="Arial"/>
                <w:sz w:val="24"/>
                <w:szCs w:val="24"/>
                <w:lang w:val="en-US" w:eastAsia="en-GB" w:bidi="ar-SA"/>
              </w:rPr>
            </w:pPr>
            <w:r>
              <w:rPr>
                <w:rFonts w:ascii="Arial" w:hAnsi="Arial" w:eastAsia="Times New Roman" w:cs="Arial"/>
                <w:color w:val="000000"/>
                <w:sz w:val="24"/>
                <w:szCs w:val="24"/>
                <w:lang w:eastAsia="en-GB"/>
              </w:rPr>
              <w:t>413,225</w:t>
            </w:r>
          </w:p>
        </w:tc>
        <w:tc>
          <w:tcPr>
            <w:tcW w:w="473" w:type="pct"/>
            <w:shd w:val="clear" w:color="auto" w:fill="auto"/>
            <w:vAlign w:val="center"/>
          </w:tcPr>
          <w:p w14:paraId="006882A1">
            <w:pPr>
              <w:spacing w:after="0" w:line="240" w:lineRule="auto"/>
              <w:jc w:val="center"/>
              <w:rPr>
                <w:rFonts w:hint="default" w:ascii="Arial" w:hAnsi="Arial" w:eastAsia="Times New Roman" w:cs="Arial"/>
                <w:sz w:val="24"/>
                <w:szCs w:val="24"/>
                <w:lang w:val="en-US" w:eastAsia="en-GB" w:bidi="ar-SA"/>
              </w:rPr>
            </w:pPr>
            <w:r>
              <w:rPr>
                <w:rFonts w:ascii="Arial" w:hAnsi="Arial" w:cs="Arial"/>
                <w:sz w:val="24"/>
                <w:szCs w:val="24"/>
              </w:rPr>
              <w:t>504,634</w:t>
            </w:r>
          </w:p>
        </w:tc>
        <w:tc>
          <w:tcPr>
            <w:tcW w:w="617" w:type="pct"/>
            <w:shd w:val="clear" w:color="auto" w:fill="auto"/>
            <w:vAlign w:val="center"/>
          </w:tcPr>
          <w:p w14:paraId="6A482C45">
            <w:pPr>
              <w:spacing w:after="0" w:line="240" w:lineRule="auto"/>
              <w:jc w:val="center"/>
              <w:rPr>
                <w:rFonts w:ascii="Arial" w:hAnsi="Arial" w:eastAsia="Times New Roman" w:cs="Arial"/>
                <w:sz w:val="24"/>
                <w:szCs w:val="24"/>
                <w:lang w:val="en-US" w:eastAsia="en-GB" w:bidi="ar-SA"/>
              </w:rPr>
            </w:pPr>
            <w:r>
              <w:rPr>
                <w:rFonts w:ascii="Arial" w:hAnsi="Arial" w:cs="Arial"/>
                <w:sz w:val="24"/>
                <w:szCs w:val="24"/>
              </w:rPr>
              <w:t>552,038</w:t>
            </w:r>
          </w:p>
        </w:tc>
        <w:tc>
          <w:tcPr>
            <w:tcW w:w="447" w:type="pct"/>
            <w:shd w:val="clear" w:color="auto" w:fill="auto"/>
          </w:tcPr>
          <w:p w14:paraId="54613090">
            <w:pPr>
              <w:spacing w:line="240" w:lineRule="auto"/>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2</w:t>
            </w:r>
          </w:p>
        </w:tc>
      </w:tr>
      <w:tr w14:paraId="0FCD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tcPr>
          <w:p w14:paraId="0B1439BF">
            <w:pPr>
              <w:pStyle w:val="11"/>
              <w:numPr>
                <w:ilvl w:val="0"/>
                <w:numId w:val="8"/>
              </w:numPr>
              <w:tabs>
                <w:tab w:val="left" w:pos="176"/>
              </w:tabs>
              <w:spacing w:line="240" w:lineRule="auto"/>
              <w:jc w:val="center"/>
              <w:rPr>
                <w:rFonts w:ascii="Arial" w:hAnsi="Arial" w:eastAsia="Times New Roman" w:cs="Arial"/>
                <w:color w:val="000000"/>
                <w:sz w:val="24"/>
                <w:szCs w:val="24"/>
                <w:highlight w:val="none"/>
                <w:lang w:eastAsia="en-GB"/>
              </w:rPr>
            </w:pPr>
          </w:p>
        </w:tc>
        <w:tc>
          <w:tcPr>
            <w:tcW w:w="1481" w:type="pct"/>
            <w:tcBorders>
              <w:top w:val="nil"/>
              <w:left w:val="nil"/>
              <w:bottom w:val="single" w:color="auto" w:sz="4" w:space="0"/>
              <w:right w:val="single" w:color="auto" w:sz="4" w:space="0"/>
            </w:tcBorders>
            <w:shd w:val="clear" w:color="auto" w:fill="auto"/>
            <w:noWrap/>
            <w:vAlign w:val="top"/>
          </w:tcPr>
          <w:p w14:paraId="038B9586">
            <w:pPr>
              <w:spacing w:after="0" w:line="240" w:lineRule="auto"/>
              <w:jc w:val="both"/>
              <w:rPr>
                <w:rFonts w:ascii="Arial" w:hAnsi="Arial" w:eastAsia="Times New Roman" w:cs="Arial"/>
                <w:sz w:val="24"/>
                <w:szCs w:val="24"/>
                <w:lang w:val="en-US" w:eastAsia="zh-CN" w:bidi="ar-SA"/>
              </w:rPr>
            </w:pPr>
            <w:r>
              <w:rPr>
                <w:rFonts w:ascii="Arial" w:hAnsi="Arial" w:eastAsia="Times New Roman" w:cs="Arial"/>
                <w:sz w:val="24"/>
                <w:szCs w:val="24"/>
                <w:lang w:eastAsia="en-GB"/>
              </w:rPr>
              <w:t xml:space="preserve">Passengers transported per annum </w:t>
            </w:r>
            <w:r>
              <w:rPr>
                <w:rFonts w:hint="default" w:ascii="Arial" w:hAnsi="Arial" w:eastAsia="Times New Roman" w:cs="Arial"/>
                <w:sz w:val="24"/>
                <w:szCs w:val="24"/>
                <w:lang w:val="en-US" w:eastAsia="en-GB"/>
              </w:rPr>
              <w:t>(SGR)</w:t>
            </w:r>
          </w:p>
        </w:tc>
        <w:tc>
          <w:tcPr>
            <w:tcW w:w="635" w:type="pct"/>
            <w:tcBorders>
              <w:top w:val="nil"/>
              <w:left w:val="nil"/>
              <w:bottom w:val="single" w:color="auto" w:sz="4" w:space="0"/>
              <w:right w:val="single" w:color="auto" w:sz="4" w:space="0"/>
            </w:tcBorders>
            <w:shd w:val="clear" w:color="auto" w:fill="auto"/>
            <w:vAlign w:val="center"/>
          </w:tcPr>
          <w:p w14:paraId="4843D576">
            <w:pPr>
              <w:spacing w:line="240" w:lineRule="auto"/>
              <w:jc w:val="center"/>
              <w:textAlignment w:val="center"/>
              <w:rPr>
                <w:rFonts w:hint="default" w:ascii="Arial" w:hAnsi="Arial" w:eastAsia="宋体" w:cs="Arial"/>
                <w:color w:val="000000"/>
                <w:sz w:val="24"/>
                <w:szCs w:val="24"/>
                <w:highlight w:val="none"/>
                <w:lang w:val="en-US" w:eastAsia="zh-CN" w:bidi="ar"/>
              </w:rPr>
            </w:pPr>
            <w:r>
              <w:rPr>
                <w:rFonts w:hint="default" w:ascii="Arial" w:hAnsi="Arial" w:eastAsia="宋体" w:cs="Arial"/>
                <w:color w:val="000000"/>
                <w:sz w:val="24"/>
                <w:szCs w:val="24"/>
                <w:highlight w:val="none"/>
                <w:lang w:val="en-US" w:eastAsia="zh-CN" w:bidi="ar"/>
              </w:rPr>
              <w:t>Number</w:t>
            </w:r>
          </w:p>
        </w:tc>
        <w:tc>
          <w:tcPr>
            <w:tcW w:w="639" w:type="pct"/>
            <w:shd w:val="clear" w:color="auto" w:fill="auto"/>
            <w:vAlign w:val="top"/>
          </w:tcPr>
          <w:p w14:paraId="2FFED312">
            <w:pPr>
              <w:spacing w:line="240" w:lineRule="auto"/>
              <w:contextualSpacing/>
              <w:jc w:val="both"/>
              <w:rPr>
                <w:rFonts w:hint="default" w:ascii="Arial" w:hAnsi="Arial" w:eastAsia="Times New Roman" w:cs="Arial"/>
                <w:b w:val="0"/>
                <w:bCs/>
                <w:sz w:val="24"/>
                <w:szCs w:val="24"/>
                <w:lang w:val="en-US" w:eastAsia="zh-CN" w:bidi="ar-SA"/>
              </w:rPr>
            </w:pPr>
            <w:r>
              <w:rPr>
                <w:rFonts w:ascii="Arial" w:hAnsi="Arial" w:cs="Arial"/>
                <w:sz w:val="24"/>
                <w:szCs w:val="24"/>
              </w:rPr>
              <w:t>No. of passengers</w:t>
            </w:r>
          </w:p>
        </w:tc>
        <w:tc>
          <w:tcPr>
            <w:tcW w:w="486" w:type="pct"/>
            <w:shd w:val="clear" w:color="auto" w:fill="auto"/>
            <w:vAlign w:val="center"/>
          </w:tcPr>
          <w:p w14:paraId="2EED3E03">
            <w:pPr>
              <w:spacing w:after="0" w:line="240" w:lineRule="auto"/>
              <w:jc w:val="center"/>
              <w:rPr>
                <w:rFonts w:hint="default" w:ascii="Arial" w:hAnsi="Arial" w:eastAsia="Times New Roman" w:cs="Arial"/>
                <w:color w:val="000000"/>
                <w:sz w:val="24"/>
                <w:szCs w:val="24"/>
                <w:lang w:val="en-US" w:eastAsia="en-GB" w:bidi="ar-SA"/>
              </w:rPr>
            </w:pPr>
            <w:r>
              <w:rPr>
                <w:rFonts w:hint="default" w:ascii="Arial" w:hAnsi="Arial" w:eastAsia="Times New Roman"/>
                <w:color w:val="000000"/>
                <w:sz w:val="24"/>
                <w:szCs w:val="24"/>
                <w:lang w:val="en-US" w:eastAsia="en-GB"/>
              </w:rPr>
              <w:t>46,591</w:t>
            </w:r>
          </w:p>
        </w:tc>
        <w:tc>
          <w:tcPr>
            <w:tcW w:w="473" w:type="pct"/>
            <w:shd w:val="clear" w:color="auto" w:fill="auto"/>
            <w:vAlign w:val="center"/>
          </w:tcPr>
          <w:p w14:paraId="00AC23BA">
            <w:pPr>
              <w:spacing w:after="0" w:line="240" w:lineRule="auto"/>
              <w:jc w:val="center"/>
              <w:rPr>
                <w:rFonts w:hint="default" w:ascii="Arial" w:hAnsi="Arial" w:eastAsia="Times New Roman" w:cs="Arial"/>
                <w:sz w:val="24"/>
                <w:szCs w:val="24"/>
                <w:lang w:val="en-US" w:eastAsia="en-GB" w:bidi="ar-SA"/>
              </w:rPr>
            </w:pPr>
            <w:r>
              <w:rPr>
                <w:rFonts w:ascii="Arial" w:hAnsi="Arial" w:cs="Arial"/>
                <w:sz w:val="24"/>
                <w:szCs w:val="24"/>
              </w:rPr>
              <w:t xml:space="preserve">2,997,792 </w:t>
            </w:r>
          </w:p>
        </w:tc>
        <w:tc>
          <w:tcPr>
            <w:tcW w:w="617" w:type="pct"/>
            <w:shd w:val="clear" w:color="auto" w:fill="auto"/>
            <w:vAlign w:val="center"/>
          </w:tcPr>
          <w:p w14:paraId="6AC917AB">
            <w:pPr>
              <w:spacing w:after="0" w:line="240" w:lineRule="auto"/>
              <w:jc w:val="center"/>
              <w:rPr>
                <w:rFonts w:ascii="Arial" w:hAnsi="Arial" w:eastAsia="Times New Roman" w:cs="Arial"/>
                <w:sz w:val="24"/>
                <w:szCs w:val="24"/>
                <w:lang w:val="en-US" w:eastAsia="en-GB" w:bidi="ar-SA"/>
              </w:rPr>
            </w:pPr>
            <w:r>
              <w:rPr>
                <w:rFonts w:ascii="Arial" w:hAnsi="Arial" w:cs="Arial"/>
                <w:sz w:val="24"/>
                <w:szCs w:val="24"/>
              </w:rPr>
              <w:t>3,046,320</w:t>
            </w:r>
          </w:p>
        </w:tc>
        <w:tc>
          <w:tcPr>
            <w:tcW w:w="447" w:type="pct"/>
            <w:shd w:val="clear" w:color="auto" w:fill="auto"/>
          </w:tcPr>
          <w:p w14:paraId="18B812C2">
            <w:pPr>
              <w:spacing w:line="240" w:lineRule="auto"/>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2</w:t>
            </w:r>
          </w:p>
        </w:tc>
      </w:tr>
      <w:tr w14:paraId="55DD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tcPr>
          <w:p w14:paraId="221AB930">
            <w:pPr>
              <w:pStyle w:val="11"/>
              <w:numPr>
                <w:ilvl w:val="0"/>
                <w:numId w:val="8"/>
              </w:numPr>
              <w:tabs>
                <w:tab w:val="left" w:pos="176"/>
              </w:tabs>
              <w:spacing w:line="240" w:lineRule="auto"/>
              <w:jc w:val="center"/>
              <w:rPr>
                <w:rFonts w:ascii="Arial" w:hAnsi="Arial" w:eastAsia="Times New Roman" w:cs="Arial"/>
                <w:color w:val="000000"/>
                <w:sz w:val="24"/>
                <w:szCs w:val="24"/>
                <w:highlight w:val="none"/>
                <w:lang w:eastAsia="en-GB"/>
              </w:rPr>
            </w:pPr>
          </w:p>
        </w:tc>
        <w:tc>
          <w:tcPr>
            <w:tcW w:w="1481" w:type="pct"/>
            <w:tcBorders>
              <w:top w:val="nil"/>
              <w:left w:val="nil"/>
              <w:bottom w:val="single" w:color="auto" w:sz="4" w:space="0"/>
              <w:right w:val="single" w:color="auto" w:sz="4" w:space="0"/>
            </w:tcBorders>
            <w:shd w:val="clear" w:color="auto" w:fill="auto"/>
            <w:noWrap/>
            <w:vAlign w:val="top"/>
          </w:tcPr>
          <w:p w14:paraId="6FC61BBA">
            <w:pPr>
              <w:spacing w:after="0" w:line="240" w:lineRule="auto"/>
              <w:jc w:val="both"/>
              <w:rPr>
                <w:rFonts w:ascii="Arial" w:hAnsi="Arial" w:cs="Arial" w:eastAsiaTheme="minorHAnsi"/>
                <w:sz w:val="24"/>
                <w:szCs w:val="24"/>
                <w:lang w:val="en-US" w:eastAsia="zh-CN" w:bidi="ar-SA"/>
              </w:rPr>
            </w:pPr>
            <w:r>
              <w:rPr>
                <w:rFonts w:ascii="Arial" w:hAnsi="Arial" w:cs="Arial"/>
                <w:sz w:val="24"/>
                <w:szCs w:val="24"/>
              </w:rPr>
              <w:t xml:space="preserve">Passengers Commuter per annum </w:t>
            </w:r>
          </w:p>
        </w:tc>
        <w:tc>
          <w:tcPr>
            <w:tcW w:w="635" w:type="pct"/>
            <w:tcBorders>
              <w:top w:val="nil"/>
              <w:left w:val="nil"/>
              <w:bottom w:val="single" w:color="auto" w:sz="4" w:space="0"/>
              <w:right w:val="single" w:color="auto" w:sz="4" w:space="0"/>
            </w:tcBorders>
            <w:shd w:val="clear" w:color="auto" w:fill="auto"/>
            <w:vAlign w:val="center"/>
          </w:tcPr>
          <w:p w14:paraId="463992F7">
            <w:pPr>
              <w:spacing w:line="240" w:lineRule="auto"/>
              <w:jc w:val="center"/>
              <w:textAlignment w:val="center"/>
              <w:rPr>
                <w:rFonts w:hint="default" w:ascii="Arial" w:hAnsi="Arial" w:eastAsia="宋体" w:cs="Arial"/>
                <w:color w:val="000000"/>
                <w:sz w:val="24"/>
                <w:szCs w:val="24"/>
                <w:highlight w:val="none"/>
                <w:lang w:val="en-US" w:eastAsia="zh-CN" w:bidi="ar"/>
              </w:rPr>
            </w:pPr>
            <w:r>
              <w:rPr>
                <w:rFonts w:hint="default" w:ascii="Arial" w:hAnsi="Arial" w:eastAsia="宋体" w:cs="Arial"/>
                <w:color w:val="000000"/>
                <w:sz w:val="24"/>
                <w:szCs w:val="24"/>
                <w:highlight w:val="none"/>
                <w:lang w:val="en-US" w:eastAsia="zh-CN" w:bidi="ar"/>
              </w:rPr>
              <w:t>Number</w:t>
            </w:r>
          </w:p>
        </w:tc>
        <w:tc>
          <w:tcPr>
            <w:tcW w:w="639" w:type="pct"/>
            <w:shd w:val="clear" w:color="auto" w:fill="auto"/>
            <w:vAlign w:val="top"/>
          </w:tcPr>
          <w:p w14:paraId="4FD7C005">
            <w:pPr>
              <w:spacing w:line="240" w:lineRule="auto"/>
              <w:contextualSpacing/>
              <w:jc w:val="both"/>
              <w:rPr>
                <w:rFonts w:ascii="Arial" w:hAnsi="Arial" w:eastAsia="Times New Roman" w:cs="Arial"/>
                <w:b w:val="0"/>
                <w:bCs/>
                <w:sz w:val="24"/>
                <w:szCs w:val="24"/>
                <w:lang w:val="en-US" w:eastAsia="zh-CN" w:bidi="ar-SA"/>
              </w:rPr>
            </w:pPr>
            <w:r>
              <w:rPr>
                <w:rFonts w:ascii="Arial" w:hAnsi="Arial" w:cs="Arial"/>
                <w:sz w:val="24"/>
                <w:szCs w:val="24"/>
              </w:rPr>
              <w:t>No. of passengers</w:t>
            </w:r>
          </w:p>
        </w:tc>
        <w:tc>
          <w:tcPr>
            <w:tcW w:w="486" w:type="pct"/>
            <w:shd w:val="clear" w:color="auto" w:fill="auto"/>
            <w:vAlign w:val="top"/>
          </w:tcPr>
          <w:p w14:paraId="0EA75B45">
            <w:pPr>
              <w:spacing w:after="0" w:line="240" w:lineRule="auto"/>
              <w:jc w:val="center"/>
              <w:rPr>
                <w:rFonts w:ascii="Arial" w:hAnsi="Arial" w:cs="Arial" w:eastAsiaTheme="minorHAnsi"/>
                <w:sz w:val="22"/>
                <w:szCs w:val="22"/>
                <w:lang w:val="en-US" w:eastAsia="en-GB" w:bidi="ar-SA"/>
              </w:rPr>
            </w:pPr>
            <w:r>
              <w:rPr>
                <w:rFonts w:ascii="Arial" w:hAnsi="Arial" w:eastAsia="Times New Roman" w:cs="Arial"/>
                <w:color w:val="000000"/>
                <w:sz w:val="24"/>
                <w:szCs w:val="24"/>
                <w:lang w:eastAsia="en-GB"/>
              </w:rPr>
              <w:t>2,505,407</w:t>
            </w:r>
          </w:p>
        </w:tc>
        <w:tc>
          <w:tcPr>
            <w:tcW w:w="473" w:type="pct"/>
            <w:shd w:val="clear" w:color="auto" w:fill="auto"/>
            <w:vAlign w:val="top"/>
          </w:tcPr>
          <w:p w14:paraId="6C219CE3">
            <w:pPr>
              <w:spacing w:after="0" w:line="240" w:lineRule="auto"/>
              <w:jc w:val="center"/>
              <w:rPr>
                <w:rFonts w:ascii="Arial" w:hAnsi="Arial" w:cs="Arial" w:eastAsiaTheme="minorHAnsi"/>
                <w:sz w:val="22"/>
                <w:szCs w:val="22"/>
                <w:lang w:val="en-US" w:eastAsia="en-GB" w:bidi="ar-SA"/>
              </w:rPr>
            </w:pPr>
            <w:r>
              <w:rPr>
                <w:rFonts w:ascii="Arial" w:hAnsi="Arial" w:cs="Arial"/>
                <w:sz w:val="24"/>
                <w:szCs w:val="24"/>
              </w:rPr>
              <w:t>2,494,659</w:t>
            </w:r>
          </w:p>
        </w:tc>
        <w:tc>
          <w:tcPr>
            <w:tcW w:w="617" w:type="pct"/>
            <w:shd w:val="clear" w:color="auto" w:fill="auto"/>
            <w:vAlign w:val="center"/>
          </w:tcPr>
          <w:p w14:paraId="5AEBDF8C">
            <w:pPr>
              <w:spacing w:after="0" w:line="240" w:lineRule="auto"/>
              <w:jc w:val="center"/>
              <w:rPr>
                <w:rFonts w:ascii="Arial" w:hAnsi="Arial" w:cs="Arial" w:eastAsiaTheme="minorHAnsi"/>
                <w:sz w:val="24"/>
                <w:szCs w:val="24"/>
                <w:lang w:val="en-US" w:eastAsia="en-GB" w:bidi="ar-SA"/>
              </w:rPr>
            </w:pPr>
            <w:r>
              <w:rPr>
                <w:rFonts w:ascii="Arial" w:hAnsi="Arial" w:cs="Arial"/>
                <w:sz w:val="24"/>
                <w:szCs w:val="24"/>
              </w:rPr>
              <w:t>3,067,200</w:t>
            </w:r>
          </w:p>
        </w:tc>
        <w:tc>
          <w:tcPr>
            <w:tcW w:w="447" w:type="pct"/>
            <w:shd w:val="clear" w:color="auto" w:fill="auto"/>
          </w:tcPr>
          <w:p w14:paraId="1A1C1002">
            <w:pPr>
              <w:spacing w:line="240" w:lineRule="auto"/>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1</w:t>
            </w:r>
          </w:p>
        </w:tc>
      </w:tr>
      <w:tr w14:paraId="7BFFD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tcPr>
          <w:p w14:paraId="2A2BB761">
            <w:pPr>
              <w:pStyle w:val="11"/>
              <w:numPr>
                <w:ilvl w:val="0"/>
                <w:numId w:val="8"/>
              </w:numPr>
              <w:tabs>
                <w:tab w:val="left" w:pos="176"/>
              </w:tabs>
              <w:spacing w:line="240" w:lineRule="auto"/>
              <w:jc w:val="center"/>
              <w:rPr>
                <w:rFonts w:ascii="Arial" w:hAnsi="Arial" w:eastAsia="Times New Roman" w:cs="Arial"/>
                <w:color w:val="000000"/>
                <w:sz w:val="24"/>
                <w:szCs w:val="24"/>
                <w:highlight w:val="none"/>
                <w:lang w:eastAsia="en-GB"/>
              </w:rPr>
            </w:pPr>
          </w:p>
        </w:tc>
        <w:tc>
          <w:tcPr>
            <w:tcW w:w="1481" w:type="pct"/>
            <w:tcBorders>
              <w:top w:val="nil"/>
              <w:left w:val="nil"/>
              <w:bottom w:val="single" w:color="auto" w:sz="4" w:space="0"/>
              <w:right w:val="single" w:color="auto" w:sz="4" w:space="0"/>
            </w:tcBorders>
            <w:shd w:val="clear" w:color="auto" w:fill="auto"/>
            <w:noWrap/>
            <w:vAlign w:val="top"/>
          </w:tcPr>
          <w:p w14:paraId="381356C6">
            <w:pPr>
              <w:spacing w:after="0" w:line="240" w:lineRule="auto"/>
              <w:jc w:val="both"/>
              <w:rPr>
                <w:rFonts w:hint="default" w:ascii="Arial" w:hAnsi="Arial" w:cs="Arial" w:eastAsiaTheme="minorHAnsi"/>
                <w:sz w:val="24"/>
                <w:szCs w:val="24"/>
                <w:lang w:val="en-US" w:eastAsia="zh-CN" w:bidi="ar-SA"/>
              </w:rPr>
            </w:pPr>
            <w:r>
              <w:rPr>
                <w:rFonts w:ascii="Arial" w:hAnsi="Arial" w:eastAsia="Times New Roman" w:cs="Arial"/>
                <w:sz w:val="24"/>
                <w:szCs w:val="24"/>
                <w:lang w:eastAsia="en-GB"/>
              </w:rPr>
              <w:t>Number of Goods/</w:t>
            </w:r>
            <w:r>
              <w:rPr>
                <w:rFonts w:ascii="Arial" w:hAnsi="Arial" w:eastAsia="Times New Roman" w:cs="Arial"/>
                <w:sz w:val="24"/>
                <w:szCs w:val="24"/>
                <w:lang w:val="en-US" w:eastAsia="en-GB"/>
              </w:rPr>
              <w:t>freight</w:t>
            </w:r>
            <w:r>
              <w:rPr>
                <w:rFonts w:ascii="Arial" w:hAnsi="Arial" w:eastAsia="Times New Roman" w:cs="Arial"/>
                <w:sz w:val="24"/>
                <w:szCs w:val="24"/>
                <w:lang w:eastAsia="en-GB"/>
              </w:rPr>
              <w:t xml:space="preserve"> transported per annum </w:t>
            </w:r>
            <w:r>
              <w:rPr>
                <w:rFonts w:hint="default" w:ascii="Arial" w:hAnsi="Arial" w:eastAsia="Times New Roman" w:cs="Arial"/>
                <w:sz w:val="24"/>
                <w:szCs w:val="24"/>
                <w:lang w:val="en-US" w:eastAsia="en-GB"/>
              </w:rPr>
              <w:t>(MGR)</w:t>
            </w:r>
          </w:p>
        </w:tc>
        <w:tc>
          <w:tcPr>
            <w:tcW w:w="635" w:type="pct"/>
            <w:tcBorders>
              <w:top w:val="nil"/>
              <w:left w:val="nil"/>
              <w:bottom w:val="single" w:color="auto" w:sz="4" w:space="0"/>
              <w:right w:val="single" w:color="auto" w:sz="4" w:space="0"/>
            </w:tcBorders>
            <w:shd w:val="clear" w:color="auto" w:fill="auto"/>
            <w:vAlign w:val="center"/>
          </w:tcPr>
          <w:p w14:paraId="5680A43F">
            <w:pPr>
              <w:spacing w:line="240" w:lineRule="auto"/>
              <w:jc w:val="center"/>
              <w:textAlignment w:val="center"/>
              <w:rPr>
                <w:rFonts w:hint="default" w:ascii="Arial" w:hAnsi="Arial" w:eastAsia="宋体" w:cs="Arial"/>
                <w:color w:val="000000"/>
                <w:sz w:val="24"/>
                <w:szCs w:val="24"/>
                <w:highlight w:val="none"/>
                <w:lang w:val="en-US" w:eastAsia="zh-CN" w:bidi="ar"/>
              </w:rPr>
            </w:pPr>
            <w:r>
              <w:rPr>
                <w:rFonts w:hint="default" w:ascii="Arial" w:hAnsi="Arial" w:eastAsia="宋体" w:cs="Arial"/>
                <w:color w:val="000000"/>
                <w:sz w:val="24"/>
                <w:szCs w:val="24"/>
                <w:highlight w:val="none"/>
                <w:lang w:val="en-US" w:eastAsia="zh-CN" w:bidi="ar"/>
              </w:rPr>
              <w:t>Tons</w:t>
            </w:r>
          </w:p>
        </w:tc>
        <w:tc>
          <w:tcPr>
            <w:tcW w:w="639" w:type="pct"/>
            <w:shd w:val="clear" w:color="auto" w:fill="auto"/>
            <w:vAlign w:val="top"/>
          </w:tcPr>
          <w:p w14:paraId="004B9AF4">
            <w:pPr>
              <w:spacing w:line="240" w:lineRule="auto"/>
              <w:contextualSpacing/>
              <w:jc w:val="both"/>
              <w:rPr>
                <w:rFonts w:ascii="Arial" w:hAnsi="Arial" w:eastAsia="Times New Roman" w:cs="Arial"/>
                <w:color w:val="000000"/>
                <w:sz w:val="24"/>
                <w:szCs w:val="24"/>
                <w:lang w:val="en-US" w:eastAsia="zh-CN" w:bidi="ar-SA"/>
              </w:rPr>
            </w:pPr>
            <w:r>
              <w:rPr>
                <w:rFonts w:ascii="Arial" w:hAnsi="Arial" w:cs="Arial"/>
                <w:sz w:val="24"/>
                <w:szCs w:val="24"/>
              </w:rPr>
              <w:t>No.</w:t>
            </w:r>
            <w:r>
              <w:rPr>
                <w:rFonts w:hint="default" w:ascii="Arial" w:hAnsi="Arial" w:cs="Arial"/>
                <w:sz w:val="24"/>
                <w:szCs w:val="24"/>
                <w:lang w:val="en-US"/>
              </w:rPr>
              <w:t xml:space="preserve"> </w:t>
            </w:r>
            <w:r>
              <w:rPr>
                <w:rFonts w:ascii="Arial" w:hAnsi="Arial" w:cs="Arial"/>
                <w:sz w:val="24"/>
                <w:szCs w:val="24"/>
              </w:rPr>
              <w:t>Metric tons</w:t>
            </w:r>
          </w:p>
        </w:tc>
        <w:tc>
          <w:tcPr>
            <w:tcW w:w="486" w:type="pct"/>
            <w:shd w:val="clear" w:color="auto" w:fill="auto"/>
            <w:vAlign w:val="center"/>
          </w:tcPr>
          <w:p w14:paraId="6594F4BF">
            <w:pPr>
              <w:spacing w:after="0" w:line="240" w:lineRule="auto"/>
              <w:jc w:val="center"/>
              <w:rPr>
                <w:rFonts w:ascii="Arial" w:hAnsi="Arial" w:eastAsia="Times New Roman" w:cs="Arial"/>
                <w:sz w:val="24"/>
                <w:szCs w:val="24"/>
                <w:lang w:val="en-US" w:eastAsia="en-GB" w:bidi="ar-SA"/>
              </w:rPr>
            </w:pPr>
            <w:r>
              <w:rPr>
                <w:rFonts w:ascii="Arial" w:hAnsi="Arial" w:eastAsia="Times New Roman" w:cs="Arial"/>
                <w:color w:val="000000"/>
                <w:sz w:val="24"/>
                <w:szCs w:val="24"/>
                <w:lang w:eastAsia="en-GB"/>
              </w:rPr>
              <w:t>302,488</w:t>
            </w:r>
          </w:p>
        </w:tc>
        <w:tc>
          <w:tcPr>
            <w:tcW w:w="473" w:type="pct"/>
            <w:shd w:val="clear" w:color="auto" w:fill="auto"/>
            <w:vAlign w:val="center"/>
          </w:tcPr>
          <w:p w14:paraId="4C176336">
            <w:pPr>
              <w:spacing w:after="0" w:line="240" w:lineRule="auto"/>
              <w:jc w:val="center"/>
              <w:rPr>
                <w:rFonts w:ascii="Arial" w:hAnsi="Arial" w:eastAsia="Times New Roman" w:cs="Arial"/>
                <w:sz w:val="24"/>
                <w:szCs w:val="24"/>
                <w:lang w:val="en-US" w:eastAsia="en-GB" w:bidi="ar-SA"/>
              </w:rPr>
            </w:pPr>
            <w:r>
              <w:rPr>
                <w:rFonts w:ascii="Arial" w:hAnsi="Arial" w:cs="Arial"/>
                <w:sz w:val="24"/>
                <w:szCs w:val="24"/>
              </w:rPr>
              <w:t>246,824</w:t>
            </w:r>
          </w:p>
        </w:tc>
        <w:tc>
          <w:tcPr>
            <w:tcW w:w="617" w:type="pct"/>
            <w:shd w:val="clear" w:color="auto" w:fill="auto"/>
            <w:vAlign w:val="center"/>
          </w:tcPr>
          <w:p w14:paraId="75EB4E08">
            <w:pPr>
              <w:spacing w:after="0" w:line="240" w:lineRule="auto"/>
              <w:jc w:val="center"/>
              <w:rPr>
                <w:rFonts w:ascii="Arial" w:hAnsi="Arial" w:cs="Arial" w:eastAsiaTheme="minorHAnsi"/>
                <w:sz w:val="24"/>
                <w:szCs w:val="24"/>
                <w:lang w:val="en-US" w:eastAsia="en-GB" w:bidi="ar-SA"/>
              </w:rPr>
            </w:pPr>
            <w:r>
              <w:rPr>
                <w:rFonts w:ascii="Arial" w:hAnsi="Arial" w:cs="Arial"/>
                <w:sz w:val="24"/>
                <w:szCs w:val="24"/>
              </w:rPr>
              <w:t>467,200</w:t>
            </w:r>
          </w:p>
        </w:tc>
        <w:tc>
          <w:tcPr>
            <w:tcW w:w="447" w:type="pct"/>
            <w:shd w:val="clear" w:color="auto" w:fill="auto"/>
          </w:tcPr>
          <w:p w14:paraId="3B4F247E">
            <w:pPr>
              <w:spacing w:line="240" w:lineRule="auto"/>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2</w:t>
            </w:r>
          </w:p>
        </w:tc>
      </w:tr>
      <w:tr w14:paraId="0FD6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tcPr>
          <w:p w14:paraId="283F5053">
            <w:pPr>
              <w:pStyle w:val="11"/>
              <w:numPr>
                <w:ilvl w:val="0"/>
                <w:numId w:val="8"/>
              </w:numPr>
              <w:tabs>
                <w:tab w:val="left" w:pos="176"/>
              </w:tabs>
              <w:spacing w:line="240" w:lineRule="auto"/>
              <w:jc w:val="center"/>
              <w:rPr>
                <w:rFonts w:ascii="Arial" w:hAnsi="Arial" w:eastAsia="Times New Roman" w:cs="Arial"/>
                <w:color w:val="000000"/>
                <w:sz w:val="24"/>
                <w:szCs w:val="24"/>
                <w:highlight w:val="none"/>
                <w:lang w:eastAsia="en-GB"/>
              </w:rPr>
            </w:pPr>
          </w:p>
        </w:tc>
        <w:tc>
          <w:tcPr>
            <w:tcW w:w="1481" w:type="pct"/>
            <w:tcBorders>
              <w:top w:val="nil"/>
              <w:left w:val="nil"/>
              <w:bottom w:val="single" w:color="auto" w:sz="4" w:space="0"/>
              <w:right w:val="single" w:color="auto" w:sz="4" w:space="0"/>
            </w:tcBorders>
            <w:shd w:val="clear" w:color="auto" w:fill="auto"/>
            <w:noWrap/>
            <w:vAlign w:val="top"/>
          </w:tcPr>
          <w:p w14:paraId="1D5A8B82">
            <w:pPr>
              <w:spacing w:after="0" w:line="240" w:lineRule="auto"/>
              <w:jc w:val="both"/>
              <w:rPr>
                <w:rFonts w:hint="default" w:ascii="Arial" w:hAnsi="Arial" w:eastAsia="Times New Roman" w:cs="Arial"/>
                <w:sz w:val="24"/>
                <w:szCs w:val="24"/>
                <w:lang w:val="en-US" w:eastAsia="zh-CN" w:bidi="ar-SA"/>
              </w:rPr>
            </w:pPr>
            <w:r>
              <w:rPr>
                <w:rFonts w:ascii="Arial" w:hAnsi="Arial" w:eastAsia="Times New Roman" w:cs="Arial"/>
                <w:sz w:val="24"/>
                <w:szCs w:val="24"/>
                <w:lang w:eastAsia="en-GB"/>
              </w:rPr>
              <w:t>Number of Goods/</w:t>
            </w:r>
            <w:r>
              <w:rPr>
                <w:rFonts w:ascii="Arial" w:hAnsi="Arial" w:eastAsia="Times New Roman" w:cs="Arial"/>
                <w:sz w:val="24"/>
                <w:szCs w:val="24"/>
                <w:lang w:val="en-US" w:eastAsia="en-GB"/>
              </w:rPr>
              <w:t>freight</w:t>
            </w:r>
            <w:r>
              <w:rPr>
                <w:rFonts w:ascii="Arial" w:hAnsi="Arial" w:eastAsia="Times New Roman" w:cs="Arial"/>
                <w:sz w:val="24"/>
                <w:szCs w:val="24"/>
                <w:lang w:eastAsia="en-GB"/>
              </w:rPr>
              <w:t xml:space="preserve"> transported per annum </w:t>
            </w:r>
            <w:r>
              <w:rPr>
                <w:rFonts w:hint="default" w:ascii="Arial" w:hAnsi="Arial" w:eastAsia="Times New Roman" w:cs="Arial"/>
                <w:sz w:val="24"/>
                <w:szCs w:val="24"/>
                <w:lang w:val="en-US" w:eastAsia="en-GB"/>
              </w:rPr>
              <w:t>(SGR)</w:t>
            </w:r>
          </w:p>
        </w:tc>
        <w:tc>
          <w:tcPr>
            <w:tcW w:w="635" w:type="pct"/>
            <w:tcBorders>
              <w:top w:val="nil"/>
              <w:left w:val="nil"/>
              <w:bottom w:val="single" w:color="auto" w:sz="4" w:space="0"/>
              <w:right w:val="single" w:color="auto" w:sz="4" w:space="0"/>
            </w:tcBorders>
            <w:shd w:val="clear" w:color="auto" w:fill="auto"/>
            <w:vAlign w:val="center"/>
          </w:tcPr>
          <w:p w14:paraId="296349F1">
            <w:pPr>
              <w:spacing w:line="240" w:lineRule="auto"/>
              <w:jc w:val="center"/>
              <w:textAlignment w:val="center"/>
              <w:rPr>
                <w:rFonts w:hint="default" w:ascii="Arial" w:hAnsi="Arial" w:eastAsia="宋体" w:cs="Arial"/>
                <w:color w:val="000000"/>
                <w:sz w:val="24"/>
                <w:szCs w:val="24"/>
                <w:highlight w:val="none"/>
                <w:lang w:val="en-US" w:eastAsia="zh-CN" w:bidi="ar"/>
              </w:rPr>
            </w:pPr>
            <w:r>
              <w:rPr>
                <w:rFonts w:hint="default" w:ascii="Arial" w:hAnsi="Arial" w:eastAsia="宋体" w:cs="Arial"/>
                <w:color w:val="000000"/>
                <w:sz w:val="24"/>
                <w:szCs w:val="24"/>
                <w:highlight w:val="none"/>
                <w:lang w:val="en-US" w:eastAsia="zh-CN" w:bidi="ar"/>
              </w:rPr>
              <w:t>Tons</w:t>
            </w:r>
          </w:p>
        </w:tc>
        <w:tc>
          <w:tcPr>
            <w:tcW w:w="639" w:type="pct"/>
            <w:shd w:val="clear" w:color="auto" w:fill="auto"/>
            <w:vAlign w:val="top"/>
          </w:tcPr>
          <w:p w14:paraId="043EB7FB">
            <w:pPr>
              <w:spacing w:line="240" w:lineRule="auto"/>
              <w:contextualSpacing/>
              <w:jc w:val="both"/>
              <w:rPr>
                <w:rFonts w:ascii="Arial" w:hAnsi="Arial" w:eastAsia="Times New Roman" w:cs="Arial"/>
                <w:color w:val="000000"/>
                <w:sz w:val="24"/>
                <w:szCs w:val="24"/>
                <w:lang w:val="en-US" w:eastAsia="zh-CN" w:bidi="ar-SA"/>
              </w:rPr>
            </w:pPr>
            <w:r>
              <w:rPr>
                <w:rFonts w:ascii="Arial" w:hAnsi="Arial" w:cs="Arial"/>
                <w:sz w:val="24"/>
                <w:szCs w:val="24"/>
              </w:rPr>
              <w:t>No.</w:t>
            </w:r>
            <w:r>
              <w:rPr>
                <w:rFonts w:hint="default" w:ascii="Arial" w:hAnsi="Arial" w:cs="Arial"/>
                <w:sz w:val="24"/>
                <w:szCs w:val="24"/>
                <w:lang w:val="en-US"/>
              </w:rPr>
              <w:t xml:space="preserve"> </w:t>
            </w:r>
            <w:r>
              <w:rPr>
                <w:rFonts w:ascii="Arial" w:hAnsi="Arial" w:cs="Arial"/>
                <w:sz w:val="24"/>
                <w:szCs w:val="24"/>
              </w:rPr>
              <w:t>Metric tons</w:t>
            </w:r>
          </w:p>
        </w:tc>
        <w:tc>
          <w:tcPr>
            <w:tcW w:w="486" w:type="pct"/>
            <w:shd w:val="clear" w:color="auto" w:fill="auto"/>
            <w:vAlign w:val="center"/>
          </w:tcPr>
          <w:p w14:paraId="02999FDE">
            <w:pPr>
              <w:spacing w:after="0" w:line="240" w:lineRule="auto"/>
              <w:jc w:val="center"/>
              <w:rPr>
                <w:rFonts w:hint="default" w:ascii="Arial" w:hAnsi="Arial" w:eastAsia="Times New Roman" w:cs="Arial"/>
                <w:sz w:val="24"/>
                <w:szCs w:val="24"/>
                <w:lang w:val="en-US" w:eastAsia="en-GB" w:bidi="ar-SA"/>
              </w:rPr>
            </w:pPr>
            <w:r>
              <w:rPr>
                <w:rFonts w:hint="default" w:ascii="Arial" w:hAnsi="Arial" w:eastAsia="Times New Roman" w:cs="Arial"/>
                <w:sz w:val="24"/>
                <w:szCs w:val="24"/>
                <w:lang w:val="en-US" w:eastAsia="en-GB"/>
              </w:rPr>
              <w:t>-</w:t>
            </w:r>
          </w:p>
        </w:tc>
        <w:tc>
          <w:tcPr>
            <w:tcW w:w="473" w:type="pct"/>
            <w:shd w:val="clear" w:color="auto" w:fill="auto"/>
            <w:vAlign w:val="center"/>
          </w:tcPr>
          <w:p w14:paraId="7F2FEF25">
            <w:pPr>
              <w:spacing w:after="0" w:line="240" w:lineRule="auto"/>
              <w:jc w:val="center"/>
              <w:rPr>
                <w:rFonts w:hint="default" w:ascii="Arial" w:hAnsi="Arial" w:eastAsia="Times New Roman" w:cs="Arial"/>
                <w:sz w:val="24"/>
                <w:szCs w:val="24"/>
                <w:lang w:val="en-US" w:eastAsia="en-GB" w:bidi="ar-SA"/>
              </w:rPr>
            </w:pPr>
            <w:r>
              <w:rPr>
                <w:rFonts w:hint="default" w:ascii="Arial" w:hAnsi="Arial" w:eastAsia="Times New Roman" w:cs="Arial"/>
                <w:sz w:val="24"/>
                <w:szCs w:val="24"/>
                <w:lang w:val="en-US" w:eastAsia="en-GB"/>
              </w:rPr>
              <w:t>-</w:t>
            </w:r>
          </w:p>
        </w:tc>
        <w:tc>
          <w:tcPr>
            <w:tcW w:w="617" w:type="pct"/>
            <w:shd w:val="clear" w:color="auto" w:fill="auto"/>
            <w:vAlign w:val="center"/>
          </w:tcPr>
          <w:p w14:paraId="45D03EB1">
            <w:pPr>
              <w:spacing w:after="0" w:line="240" w:lineRule="auto"/>
              <w:jc w:val="center"/>
              <w:rPr>
                <w:rFonts w:ascii="Arial" w:hAnsi="Arial" w:eastAsia="Times New Roman" w:cs="Arial"/>
                <w:sz w:val="24"/>
                <w:szCs w:val="24"/>
                <w:highlight w:val="yellow"/>
                <w:lang w:val="en-US" w:eastAsia="en-GB" w:bidi="ar-SA"/>
              </w:rPr>
            </w:pPr>
            <w:r>
              <w:rPr>
                <w:rFonts w:ascii="Arial" w:hAnsi="Arial" w:cs="Arial"/>
                <w:sz w:val="24"/>
                <w:szCs w:val="24"/>
              </w:rPr>
              <w:t>500,000</w:t>
            </w:r>
          </w:p>
        </w:tc>
        <w:tc>
          <w:tcPr>
            <w:tcW w:w="447" w:type="pct"/>
            <w:shd w:val="clear" w:color="auto" w:fill="auto"/>
          </w:tcPr>
          <w:p w14:paraId="53F0EC66">
            <w:pPr>
              <w:spacing w:line="240" w:lineRule="auto"/>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2</w:t>
            </w:r>
          </w:p>
        </w:tc>
      </w:tr>
      <w:tr w14:paraId="7C34F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tcPr>
          <w:p w14:paraId="1FE319B5">
            <w:pPr>
              <w:pStyle w:val="11"/>
              <w:numPr>
                <w:ilvl w:val="0"/>
                <w:numId w:val="8"/>
              </w:numPr>
              <w:tabs>
                <w:tab w:val="left" w:pos="176"/>
              </w:tabs>
              <w:spacing w:line="240" w:lineRule="auto"/>
              <w:jc w:val="center"/>
              <w:rPr>
                <w:rFonts w:ascii="Arial" w:hAnsi="Arial" w:eastAsia="Times New Roman" w:cs="Arial"/>
                <w:color w:val="000000"/>
                <w:sz w:val="24"/>
                <w:szCs w:val="24"/>
                <w:highlight w:val="none"/>
                <w:lang w:eastAsia="en-GB"/>
              </w:rPr>
            </w:pPr>
          </w:p>
        </w:tc>
        <w:tc>
          <w:tcPr>
            <w:tcW w:w="1481" w:type="pct"/>
            <w:tcBorders>
              <w:top w:val="nil"/>
              <w:left w:val="nil"/>
              <w:bottom w:val="single" w:color="auto" w:sz="4" w:space="0"/>
              <w:right w:val="single" w:color="auto" w:sz="4" w:space="0"/>
            </w:tcBorders>
            <w:shd w:val="clear" w:color="auto" w:fill="auto"/>
            <w:noWrap/>
            <w:vAlign w:val="top"/>
          </w:tcPr>
          <w:p w14:paraId="2A449449">
            <w:pPr>
              <w:spacing w:after="0" w:line="240" w:lineRule="auto"/>
              <w:jc w:val="both"/>
              <w:rPr>
                <w:rFonts w:hint="default" w:ascii="Arial" w:hAnsi="Arial" w:eastAsia="Times New Roman" w:cs="Arial"/>
                <w:sz w:val="24"/>
                <w:szCs w:val="24"/>
                <w:lang w:val="en-US" w:eastAsia="zh-CN" w:bidi="ar-SA"/>
              </w:rPr>
            </w:pPr>
            <w:r>
              <w:rPr>
                <w:rFonts w:ascii="Arial" w:hAnsi="Arial" w:eastAsia="Times New Roman" w:cs="Arial"/>
                <w:sz w:val="24"/>
                <w:szCs w:val="24"/>
                <w:lang w:eastAsia="en-GB"/>
              </w:rPr>
              <w:t xml:space="preserve">New  Wagons </w:t>
            </w:r>
            <w:r>
              <w:rPr>
                <w:rFonts w:hint="default" w:ascii="Arial" w:hAnsi="Arial" w:eastAsia="Times New Roman" w:cs="Arial"/>
                <w:sz w:val="24"/>
                <w:szCs w:val="24"/>
                <w:lang w:val="en-US" w:eastAsia="en-GB"/>
              </w:rPr>
              <w:t>procured</w:t>
            </w:r>
          </w:p>
        </w:tc>
        <w:tc>
          <w:tcPr>
            <w:tcW w:w="635" w:type="pct"/>
            <w:tcBorders>
              <w:top w:val="nil"/>
              <w:left w:val="nil"/>
              <w:bottom w:val="single" w:color="auto" w:sz="4" w:space="0"/>
              <w:right w:val="single" w:color="auto" w:sz="4" w:space="0"/>
            </w:tcBorders>
            <w:shd w:val="clear" w:color="auto" w:fill="auto"/>
            <w:vAlign w:val="center"/>
          </w:tcPr>
          <w:p w14:paraId="1783BDDE">
            <w:pPr>
              <w:spacing w:line="240" w:lineRule="auto"/>
              <w:jc w:val="center"/>
              <w:textAlignment w:val="center"/>
              <w:rPr>
                <w:rFonts w:hint="default" w:ascii="Arial" w:hAnsi="Arial" w:eastAsia="宋体" w:cs="Arial"/>
                <w:color w:val="000000"/>
                <w:sz w:val="24"/>
                <w:szCs w:val="24"/>
                <w:highlight w:val="none"/>
                <w:lang w:val="en-US" w:eastAsia="zh-CN" w:bidi="ar"/>
              </w:rPr>
            </w:pPr>
            <w:r>
              <w:rPr>
                <w:rFonts w:hint="default" w:ascii="Arial" w:hAnsi="Arial" w:eastAsia="宋体" w:cs="Arial"/>
                <w:color w:val="000000"/>
                <w:sz w:val="24"/>
                <w:szCs w:val="24"/>
                <w:highlight w:val="none"/>
                <w:lang w:val="en-US" w:eastAsia="zh-CN" w:bidi="ar"/>
              </w:rPr>
              <w:t>Number</w:t>
            </w:r>
          </w:p>
        </w:tc>
        <w:tc>
          <w:tcPr>
            <w:tcW w:w="639" w:type="pct"/>
            <w:shd w:val="clear" w:color="auto" w:fill="auto"/>
            <w:vAlign w:val="top"/>
          </w:tcPr>
          <w:p w14:paraId="4F8D70AA">
            <w:pPr>
              <w:spacing w:after="0" w:line="240" w:lineRule="auto"/>
              <w:jc w:val="both"/>
              <w:rPr>
                <w:rFonts w:hint="default" w:ascii="Arial" w:hAnsi="Arial" w:eastAsia="Times New Roman" w:cs="Arial"/>
                <w:b/>
                <w:sz w:val="24"/>
                <w:szCs w:val="24"/>
                <w:lang w:val="en-US" w:eastAsia="zh-CN" w:bidi="ar-SA"/>
              </w:rPr>
            </w:pPr>
            <w:r>
              <w:rPr>
                <w:rFonts w:hint="default" w:ascii="Arial" w:hAnsi="Arial" w:eastAsia="Times New Roman" w:cs="Arial"/>
                <w:b w:val="0"/>
                <w:bCs/>
                <w:sz w:val="24"/>
                <w:szCs w:val="24"/>
                <w:lang w:val="en-US" w:eastAsia="en-GB"/>
              </w:rPr>
              <w:t>Number of new wagons</w:t>
            </w:r>
          </w:p>
        </w:tc>
        <w:tc>
          <w:tcPr>
            <w:tcW w:w="486" w:type="pct"/>
            <w:shd w:val="clear" w:color="auto" w:fill="auto"/>
            <w:vAlign w:val="center"/>
          </w:tcPr>
          <w:p w14:paraId="4329A041">
            <w:pPr>
              <w:spacing w:after="0" w:line="240" w:lineRule="auto"/>
              <w:jc w:val="center"/>
              <w:rPr>
                <w:rFonts w:ascii="Arial" w:hAnsi="Arial" w:eastAsia="Times New Roman" w:cs="Arial"/>
                <w:sz w:val="24"/>
                <w:szCs w:val="24"/>
                <w:lang w:val="en-US" w:eastAsia="en-GB" w:bidi="ar-SA"/>
              </w:rPr>
            </w:pPr>
            <w:r>
              <w:rPr>
                <w:rFonts w:ascii="Arial" w:hAnsi="Arial" w:eastAsia="Times New Roman" w:cs="Arial"/>
                <w:sz w:val="24"/>
                <w:szCs w:val="24"/>
                <w:lang w:eastAsia="en-GB"/>
              </w:rPr>
              <w:t>-</w:t>
            </w:r>
          </w:p>
        </w:tc>
        <w:tc>
          <w:tcPr>
            <w:tcW w:w="473" w:type="pct"/>
            <w:shd w:val="clear" w:color="auto" w:fill="auto"/>
            <w:vAlign w:val="center"/>
          </w:tcPr>
          <w:p w14:paraId="6212E91E">
            <w:pPr>
              <w:spacing w:after="0" w:line="240" w:lineRule="auto"/>
              <w:jc w:val="center"/>
              <w:rPr>
                <w:rFonts w:hint="default" w:ascii="Arial" w:hAnsi="Arial" w:eastAsia="Times New Roman" w:cs="Arial"/>
                <w:sz w:val="24"/>
                <w:szCs w:val="24"/>
                <w:lang w:val="en-US" w:eastAsia="en-GB" w:bidi="ar-SA"/>
              </w:rPr>
            </w:pPr>
            <w:r>
              <w:rPr>
                <w:rFonts w:hint="default" w:ascii="Arial" w:hAnsi="Arial" w:eastAsia="Times New Roman" w:cs="Arial"/>
                <w:sz w:val="24"/>
                <w:szCs w:val="24"/>
                <w:lang w:val="en-US"/>
              </w:rPr>
              <w:t>264</w:t>
            </w:r>
          </w:p>
        </w:tc>
        <w:tc>
          <w:tcPr>
            <w:tcW w:w="617" w:type="pct"/>
            <w:shd w:val="clear" w:color="auto" w:fill="auto"/>
            <w:vAlign w:val="center"/>
          </w:tcPr>
          <w:p w14:paraId="5995031A">
            <w:pPr>
              <w:spacing w:after="0" w:line="240" w:lineRule="auto"/>
              <w:jc w:val="center"/>
              <w:rPr>
                <w:rFonts w:hint="default" w:ascii="Arial" w:hAnsi="Arial" w:eastAsia="Times New Roman" w:cs="Arial"/>
                <w:sz w:val="24"/>
                <w:szCs w:val="24"/>
                <w:highlight w:val="yellow"/>
                <w:lang w:val="en-US" w:eastAsia="en-GB" w:bidi="ar-SA"/>
              </w:rPr>
            </w:pPr>
            <w:r>
              <w:rPr>
                <w:rFonts w:hint="default" w:ascii="Arial" w:hAnsi="Arial" w:eastAsia="Times New Roman" w:cs="Arial"/>
                <w:sz w:val="24"/>
                <w:szCs w:val="24"/>
                <w:highlight w:val="none"/>
                <w:lang w:val="en-US" w:eastAsia="en-GB"/>
              </w:rPr>
              <w:t>50</w:t>
            </w:r>
          </w:p>
        </w:tc>
        <w:tc>
          <w:tcPr>
            <w:tcW w:w="447" w:type="pct"/>
            <w:shd w:val="clear" w:color="auto" w:fill="auto"/>
          </w:tcPr>
          <w:p w14:paraId="615F03DA">
            <w:pPr>
              <w:spacing w:line="240" w:lineRule="auto"/>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1</w:t>
            </w:r>
          </w:p>
        </w:tc>
      </w:tr>
      <w:tr w14:paraId="2806A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tcPr>
          <w:p w14:paraId="167D9663">
            <w:pPr>
              <w:pStyle w:val="11"/>
              <w:numPr>
                <w:ilvl w:val="0"/>
                <w:numId w:val="8"/>
              </w:numPr>
              <w:tabs>
                <w:tab w:val="left" w:pos="176"/>
              </w:tabs>
              <w:spacing w:line="240" w:lineRule="auto"/>
              <w:jc w:val="center"/>
              <w:rPr>
                <w:rFonts w:ascii="Arial" w:hAnsi="Arial" w:eastAsia="Times New Roman" w:cs="Arial"/>
                <w:color w:val="000000"/>
                <w:sz w:val="24"/>
                <w:szCs w:val="24"/>
                <w:highlight w:val="none"/>
                <w:lang w:eastAsia="en-GB"/>
              </w:rPr>
            </w:pPr>
          </w:p>
        </w:tc>
        <w:tc>
          <w:tcPr>
            <w:tcW w:w="1481" w:type="pct"/>
            <w:tcBorders>
              <w:top w:val="nil"/>
              <w:left w:val="nil"/>
              <w:bottom w:val="single" w:color="auto" w:sz="4" w:space="0"/>
              <w:right w:val="single" w:color="auto" w:sz="4" w:space="0"/>
            </w:tcBorders>
            <w:shd w:val="clear" w:color="auto" w:fill="auto"/>
            <w:noWrap/>
            <w:vAlign w:val="top"/>
          </w:tcPr>
          <w:p w14:paraId="1C7B58F0">
            <w:pPr>
              <w:spacing w:after="0" w:line="240" w:lineRule="auto"/>
              <w:jc w:val="both"/>
              <w:rPr>
                <w:rFonts w:ascii="Arial" w:hAnsi="Arial" w:eastAsia="Times New Roman" w:cs="Arial"/>
                <w:sz w:val="24"/>
                <w:szCs w:val="24"/>
                <w:lang w:val="en-US" w:eastAsia="zh-CN" w:bidi="ar-SA"/>
              </w:rPr>
            </w:pPr>
            <w:r>
              <w:rPr>
                <w:rFonts w:ascii="Arial" w:hAnsi="Arial" w:eastAsia="Times New Roman" w:cs="Arial"/>
                <w:sz w:val="24"/>
                <w:szCs w:val="24"/>
                <w:lang w:eastAsia="en-GB"/>
              </w:rPr>
              <w:t xml:space="preserve">Rehabilitation Wagons </w:t>
            </w:r>
          </w:p>
        </w:tc>
        <w:tc>
          <w:tcPr>
            <w:tcW w:w="635" w:type="pct"/>
            <w:tcBorders>
              <w:top w:val="nil"/>
              <w:left w:val="nil"/>
              <w:bottom w:val="single" w:color="auto" w:sz="4" w:space="0"/>
              <w:right w:val="single" w:color="auto" w:sz="4" w:space="0"/>
            </w:tcBorders>
            <w:shd w:val="clear" w:color="auto" w:fill="auto"/>
            <w:vAlign w:val="center"/>
          </w:tcPr>
          <w:p w14:paraId="6F88EFE6">
            <w:pPr>
              <w:spacing w:line="240" w:lineRule="auto"/>
              <w:jc w:val="center"/>
              <w:textAlignment w:val="center"/>
              <w:rPr>
                <w:rFonts w:hint="default" w:ascii="Arial" w:hAnsi="Arial" w:eastAsia="宋体" w:cs="Arial"/>
                <w:color w:val="000000"/>
                <w:sz w:val="24"/>
                <w:szCs w:val="24"/>
                <w:highlight w:val="none"/>
                <w:lang w:val="en-US" w:eastAsia="zh-CN" w:bidi="ar"/>
              </w:rPr>
            </w:pPr>
            <w:r>
              <w:rPr>
                <w:rFonts w:hint="default" w:ascii="Arial" w:hAnsi="Arial" w:eastAsia="宋体" w:cs="Arial"/>
                <w:color w:val="000000"/>
                <w:sz w:val="24"/>
                <w:szCs w:val="24"/>
                <w:highlight w:val="none"/>
                <w:lang w:val="en-US" w:eastAsia="zh-CN" w:bidi="ar"/>
              </w:rPr>
              <w:t>Number</w:t>
            </w:r>
          </w:p>
        </w:tc>
        <w:tc>
          <w:tcPr>
            <w:tcW w:w="639" w:type="pct"/>
            <w:shd w:val="clear" w:color="auto" w:fill="auto"/>
            <w:vAlign w:val="center"/>
          </w:tcPr>
          <w:p w14:paraId="3DF45DC1">
            <w:pPr>
              <w:spacing w:after="0" w:line="240" w:lineRule="auto"/>
              <w:jc w:val="both"/>
              <w:rPr>
                <w:rFonts w:hint="default" w:ascii="Arial" w:hAnsi="Arial" w:eastAsia="Times New Roman" w:cs="Arial"/>
                <w:b/>
                <w:sz w:val="24"/>
                <w:szCs w:val="24"/>
                <w:lang w:val="en-US" w:eastAsia="zh-CN" w:bidi="ar-SA"/>
              </w:rPr>
            </w:pPr>
            <w:r>
              <w:rPr>
                <w:rFonts w:hint="default" w:ascii="Arial" w:hAnsi="Arial" w:eastAsia="Times New Roman" w:cs="Arial"/>
                <w:b w:val="0"/>
                <w:bCs/>
                <w:sz w:val="24"/>
                <w:szCs w:val="24"/>
                <w:lang w:val="en-US" w:eastAsia="en-GB"/>
              </w:rPr>
              <w:t>Number of Wagons</w:t>
            </w:r>
          </w:p>
        </w:tc>
        <w:tc>
          <w:tcPr>
            <w:tcW w:w="486" w:type="pct"/>
            <w:shd w:val="clear" w:color="auto" w:fill="auto"/>
            <w:vAlign w:val="center"/>
          </w:tcPr>
          <w:p w14:paraId="6F331726">
            <w:pPr>
              <w:spacing w:after="0" w:line="240" w:lineRule="auto"/>
              <w:jc w:val="center"/>
              <w:rPr>
                <w:rFonts w:hint="default" w:ascii="Arial" w:hAnsi="Arial" w:eastAsia="Times New Roman" w:cs="Arial"/>
                <w:sz w:val="24"/>
                <w:szCs w:val="24"/>
                <w:lang w:val="en-US" w:eastAsia="en-GB" w:bidi="ar-SA"/>
              </w:rPr>
            </w:pPr>
            <w:r>
              <w:rPr>
                <w:rFonts w:hint="default" w:ascii="Arial" w:hAnsi="Arial" w:eastAsia="Times New Roman" w:cs="Arial"/>
                <w:sz w:val="24"/>
                <w:szCs w:val="24"/>
                <w:lang w:val="en-US" w:eastAsia="en-GB"/>
              </w:rPr>
              <w:t>201</w:t>
            </w:r>
          </w:p>
        </w:tc>
        <w:tc>
          <w:tcPr>
            <w:tcW w:w="473" w:type="pct"/>
            <w:shd w:val="clear" w:color="auto" w:fill="auto"/>
            <w:vAlign w:val="center"/>
          </w:tcPr>
          <w:p w14:paraId="5805D814">
            <w:pPr>
              <w:spacing w:after="0" w:line="240" w:lineRule="auto"/>
              <w:jc w:val="center"/>
              <w:rPr>
                <w:rFonts w:hint="default" w:ascii="Arial" w:hAnsi="Arial" w:eastAsia="Times New Roman" w:cs="Arial"/>
                <w:sz w:val="24"/>
                <w:szCs w:val="24"/>
                <w:lang w:val="en-US" w:eastAsia="en-GB" w:bidi="ar-SA"/>
              </w:rPr>
            </w:pPr>
            <w:r>
              <w:rPr>
                <w:rFonts w:hint="default" w:ascii="Arial" w:hAnsi="Arial" w:eastAsia="Times New Roman" w:cs="Arial"/>
                <w:sz w:val="24"/>
                <w:szCs w:val="24"/>
                <w:lang w:val="en-US"/>
              </w:rPr>
              <w:t>33</w:t>
            </w:r>
          </w:p>
        </w:tc>
        <w:tc>
          <w:tcPr>
            <w:tcW w:w="617" w:type="pct"/>
            <w:shd w:val="clear" w:color="auto" w:fill="auto"/>
            <w:vAlign w:val="center"/>
          </w:tcPr>
          <w:p w14:paraId="6203C979">
            <w:pPr>
              <w:spacing w:after="0" w:line="240" w:lineRule="auto"/>
              <w:jc w:val="center"/>
              <w:rPr>
                <w:rFonts w:hint="default" w:ascii="Arial" w:hAnsi="Arial" w:eastAsia="Times New Roman" w:cs="Arial"/>
                <w:sz w:val="24"/>
                <w:szCs w:val="24"/>
                <w:highlight w:val="yellow"/>
                <w:lang w:val="en-US" w:eastAsia="en-GB" w:bidi="ar-SA"/>
              </w:rPr>
            </w:pPr>
            <w:r>
              <w:rPr>
                <w:rFonts w:hint="default" w:ascii="Arial" w:hAnsi="Arial" w:eastAsia="Times New Roman" w:cs="Arial"/>
                <w:color w:val="auto"/>
                <w:sz w:val="24"/>
                <w:szCs w:val="24"/>
                <w:highlight w:val="none"/>
                <w:lang w:val="en-US" w:eastAsia="en-GB" w:bidi="ar-SA"/>
              </w:rPr>
              <w:t>180</w:t>
            </w:r>
          </w:p>
        </w:tc>
        <w:tc>
          <w:tcPr>
            <w:tcW w:w="447" w:type="pct"/>
            <w:shd w:val="clear" w:color="auto" w:fill="auto"/>
          </w:tcPr>
          <w:p w14:paraId="5DDF73E1">
            <w:pPr>
              <w:spacing w:line="240" w:lineRule="auto"/>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1</w:t>
            </w:r>
          </w:p>
        </w:tc>
      </w:tr>
      <w:tr w14:paraId="7523F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tcPr>
          <w:p w14:paraId="20680275">
            <w:pPr>
              <w:pStyle w:val="11"/>
              <w:numPr>
                <w:ilvl w:val="0"/>
                <w:numId w:val="8"/>
              </w:numPr>
              <w:tabs>
                <w:tab w:val="left" w:pos="176"/>
              </w:tabs>
              <w:spacing w:line="240" w:lineRule="auto"/>
              <w:jc w:val="center"/>
              <w:rPr>
                <w:rFonts w:ascii="Arial" w:hAnsi="Arial" w:eastAsia="Times New Roman" w:cs="Arial"/>
                <w:color w:val="000000"/>
                <w:sz w:val="24"/>
                <w:szCs w:val="24"/>
                <w:highlight w:val="none"/>
                <w:lang w:eastAsia="en-GB"/>
              </w:rPr>
            </w:pPr>
          </w:p>
        </w:tc>
        <w:tc>
          <w:tcPr>
            <w:tcW w:w="1481" w:type="pct"/>
            <w:tcBorders>
              <w:top w:val="nil"/>
              <w:left w:val="nil"/>
              <w:bottom w:val="single" w:color="auto" w:sz="4" w:space="0"/>
              <w:right w:val="single" w:color="auto" w:sz="4" w:space="0"/>
            </w:tcBorders>
            <w:shd w:val="clear" w:color="auto" w:fill="auto"/>
            <w:noWrap/>
            <w:vAlign w:val="top"/>
          </w:tcPr>
          <w:p w14:paraId="5713ADA4">
            <w:pPr>
              <w:spacing w:after="0" w:line="240" w:lineRule="auto"/>
              <w:jc w:val="both"/>
              <w:rPr>
                <w:rFonts w:ascii="Arial" w:hAnsi="Arial" w:eastAsia="Times New Roman" w:cs="Arial"/>
                <w:sz w:val="24"/>
                <w:szCs w:val="24"/>
                <w:lang w:val="en-US" w:eastAsia="zh-CN" w:bidi="ar-SA"/>
              </w:rPr>
            </w:pPr>
            <w:r>
              <w:rPr>
                <w:rFonts w:ascii="Arial" w:hAnsi="Arial" w:eastAsia="Times New Roman" w:cs="Arial"/>
                <w:sz w:val="24"/>
                <w:szCs w:val="24"/>
                <w:lang w:eastAsia="en-GB"/>
              </w:rPr>
              <w:t xml:space="preserve">Rehabilitation </w:t>
            </w:r>
            <w:r>
              <w:rPr>
                <w:rFonts w:hint="default" w:ascii="Arial" w:hAnsi="Arial" w:eastAsia="Times New Roman" w:cs="Arial"/>
                <w:sz w:val="24"/>
                <w:szCs w:val="24"/>
                <w:lang w:val="en-US" w:eastAsia="en-GB"/>
              </w:rPr>
              <w:t>Coache</w:t>
            </w:r>
            <w:r>
              <w:rPr>
                <w:rFonts w:ascii="Arial" w:hAnsi="Arial" w:eastAsia="Times New Roman" w:cs="Arial"/>
                <w:sz w:val="24"/>
                <w:szCs w:val="24"/>
                <w:lang w:eastAsia="en-GB"/>
              </w:rPr>
              <w:t xml:space="preserve">s </w:t>
            </w:r>
          </w:p>
        </w:tc>
        <w:tc>
          <w:tcPr>
            <w:tcW w:w="635" w:type="pct"/>
            <w:tcBorders>
              <w:top w:val="nil"/>
              <w:left w:val="nil"/>
              <w:bottom w:val="single" w:color="auto" w:sz="4" w:space="0"/>
              <w:right w:val="single" w:color="auto" w:sz="4" w:space="0"/>
            </w:tcBorders>
            <w:shd w:val="clear" w:color="auto" w:fill="auto"/>
            <w:vAlign w:val="center"/>
          </w:tcPr>
          <w:p w14:paraId="7F42AE51">
            <w:pPr>
              <w:spacing w:line="240" w:lineRule="auto"/>
              <w:jc w:val="center"/>
              <w:textAlignment w:val="center"/>
              <w:rPr>
                <w:rFonts w:hint="default" w:ascii="Arial" w:hAnsi="Arial" w:eastAsia="宋体" w:cs="Arial"/>
                <w:color w:val="000000"/>
                <w:sz w:val="24"/>
                <w:szCs w:val="24"/>
                <w:highlight w:val="none"/>
                <w:lang w:val="en-US" w:eastAsia="zh-CN" w:bidi="ar"/>
              </w:rPr>
            </w:pPr>
            <w:r>
              <w:rPr>
                <w:rFonts w:hint="default" w:ascii="Arial" w:hAnsi="Arial" w:eastAsia="宋体" w:cs="Arial"/>
                <w:color w:val="000000"/>
                <w:sz w:val="24"/>
                <w:szCs w:val="24"/>
                <w:highlight w:val="none"/>
                <w:lang w:val="en-US" w:eastAsia="zh-CN" w:bidi="ar"/>
              </w:rPr>
              <w:t>Number</w:t>
            </w:r>
          </w:p>
        </w:tc>
        <w:tc>
          <w:tcPr>
            <w:tcW w:w="639" w:type="pct"/>
            <w:shd w:val="clear" w:color="auto" w:fill="auto"/>
            <w:vAlign w:val="center"/>
          </w:tcPr>
          <w:p w14:paraId="4644F565">
            <w:pPr>
              <w:spacing w:after="0" w:line="240" w:lineRule="auto"/>
              <w:jc w:val="both"/>
              <w:rPr>
                <w:rFonts w:hint="default" w:ascii="Arial" w:hAnsi="Arial" w:eastAsia="Times New Roman" w:cs="Arial"/>
                <w:b/>
                <w:sz w:val="24"/>
                <w:szCs w:val="24"/>
                <w:lang w:val="en-US" w:eastAsia="zh-CN" w:bidi="ar-SA"/>
              </w:rPr>
            </w:pPr>
            <w:r>
              <w:rPr>
                <w:rFonts w:hint="default" w:ascii="Arial" w:hAnsi="Arial" w:eastAsia="Times New Roman" w:cs="Arial"/>
                <w:b w:val="0"/>
                <w:bCs/>
                <w:sz w:val="24"/>
                <w:szCs w:val="24"/>
                <w:lang w:val="en-US" w:eastAsia="en-GB"/>
              </w:rPr>
              <w:t>Number of coaches</w:t>
            </w:r>
          </w:p>
        </w:tc>
        <w:tc>
          <w:tcPr>
            <w:tcW w:w="486" w:type="pct"/>
            <w:shd w:val="clear" w:color="auto" w:fill="auto"/>
            <w:vAlign w:val="center"/>
          </w:tcPr>
          <w:p w14:paraId="4246731F">
            <w:pPr>
              <w:spacing w:after="0" w:line="240" w:lineRule="auto"/>
              <w:jc w:val="center"/>
              <w:rPr>
                <w:rFonts w:hint="default" w:ascii="Arial" w:hAnsi="Arial" w:eastAsia="Times New Roman" w:cs="Arial"/>
                <w:sz w:val="24"/>
                <w:szCs w:val="24"/>
                <w:lang w:val="en-US" w:eastAsia="en-GB" w:bidi="ar-SA"/>
              </w:rPr>
            </w:pPr>
            <w:r>
              <w:rPr>
                <w:rFonts w:hint="default" w:ascii="Arial" w:hAnsi="Arial" w:eastAsia="Times New Roman" w:cs="Arial"/>
                <w:sz w:val="24"/>
                <w:szCs w:val="24"/>
                <w:lang w:val="en-US" w:eastAsia="en-GB"/>
              </w:rPr>
              <w:t>19</w:t>
            </w:r>
          </w:p>
        </w:tc>
        <w:tc>
          <w:tcPr>
            <w:tcW w:w="473" w:type="pct"/>
            <w:shd w:val="clear" w:color="auto" w:fill="auto"/>
            <w:vAlign w:val="center"/>
          </w:tcPr>
          <w:p w14:paraId="689A053D">
            <w:pPr>
              <w:spacing w:after="0" w:line="240" w:lineRule="auto"/>
              <w:jc w:val="center"/>
              <w:rPr>
                <w:rFonts w:hint="default" w:ascii="Arial" w:hAnsi="Arial" w:eastAsia="Times New Roman" w:cs="Arial"/>
                <w:sz w:val="24"/>
                <w:szCs w:val="24"/>
                <w:lang w:val="en-US" w:eastAsia="en-GB" w:bidi="ar-SA"/>
              </w:rPr>
            </w:pPr>
            <w:r>
              <w:rPr>
                <w:rFonts w:hint="default" w:ascii="Arial" w:hAnsi="Arial" w:eastAsia="Times New Roman" w:cs="Arial"/>
                <w:sz w:val="24"/>
                <w:szCs w:val="24"/>
                <w:lang w:val="en-US"/>
              </w:rPr>
              <w:t>6</w:t>
            </w:r>
          </w:p>
        </w:tc>
        <w:tc>
          <w:tcPr>
            <w:tcW w:w="617" w:type="pct"/>
            <w:shd w:val="clear" w:color="auto" w:fill="auto"/>
            <w:vAlign w:val="center"/>
          </w:tcPr>
          <w:p w14:paraId="7818FA23">
            <w:pPr>
              <w:spacing w:after="0" w:line="240" w:lineRule="auto"/>
              <w:jc w:val="center"/>
              <w:rPr>
                <w:rFonts w:hint="default" w:ascii="Arial" w:hAnsi="Arial" w:eastAsia="Times New Roman" w:cs="Arial"/>
                <w:sz w:val="24"/>
                <w:szCs w:val="24"/>
                <w:highlight w:val="yellow"/>
                <w:lang w:val="en-US" w:eastAsia="en-GB" w:bidi="ar-SA"/>
              </w:rPr>
            </w:pPr>
            <w:r>
              <w:rPr>
                <w:rFonts w:hint="default" w:ascii="Arial" w:hAnsi="Arial" w:eastAsia="Times New Roman" w:cs="Arial"/>
                <w:sz w:val="24"/>
                <w:szCs w:val="24"/>
                <w:highlight w:val="none"/>
                <w:lang w:val="en-US" w:eastAsia="en-GB" w:bidi="ar-SA"/>
              </w:rPr>
              <w:t>5</w:t>
            </w:r>
          </w:p>
        </w:tc>
        <w:tc>
          <w:tcPr>
            <w:tcW w:w="447" w:type="pct"/>
            <w:shd w:val="clear" w:color="auto" w:fill="auto"/>
          </w:tcPr>
          <w:p w14:paraId="5F849FE5">
            <w:pPr>
              <w:spacing w:line="240" w:lineRule="auto"/>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1</w:t>
            </w:r>
          </w:p>
        </w:tc>
      </w:tr>
      <w:tr w14:paraId="43A71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tcPr>
          <w:p w14:paraId="49E34946">
            <w:pPr>
              <w:pStyle w:val="11"/>
              <w:numPr>
                <w:ilvl w:val="0"/>
                <w:numId w:val="8"/>
              </w:numPr>
              <w:tabs>
                <w:tab w:val="left" w:pos="176"/>
              </w:tabs>
              <w:spacing w:line="240" w:lineRule="auto"/>
              <w:jc w:val="center"/>
              <w:rPr>
                <w:rFonts w:ascii="Arial" w:hAnsi="Arial" w:eastAsia="Times New Roman" w:cs="Arial"/>
                <w:color w:val="000000"/>
                <w:sz w:val="24"/>
                <w:szCs w:val="24"/>
                <w:highlight w:val="none"/>
                <w:lang w:eastAsia="en-GB"/>
              </w:rPr>
            </w:pPr>
          </w:p>
        </w:tc>
        <w:tc>
          <w:tcPr>
            <w:tcW w:w="1481" w:type="pct"/>
            <w:tcBorders>
              <w:top w:val="nil"/>
              <w:left w:val="nil"/>
              <w:bottom w:val="single" w:color="auto" w:sz="4" w:space="0"/>
              <w:right w:val="single" w:color="auto" w:sz="4" w:space="0"/>
            </w:tcBorders>
            <w:shd w:val="clear" w:color="auto" w:fill="auto"/>
            <w:noWrap/>
            <w:vAlign w:val="top"/>
          </w:tcPr>
          <w:p w14:paraId="29374151">
            <w:pPr>
              <w:spacing w:after="0" w:line="240" w:lineRule="auto"/>
              <w:jc w:val="both"/>
              <w:rPr>
                <w:rFonts w:ascii="Arial" w:hAnsi="Arial" w:eastAsia="Times New Roman" w:cs="Arial"/>
                <w:sz w:val="24"/>
                <w:szCs w:val="24"/>
                <w:lang w:val="en-US" w:eastAsia="zh-CN" w:bidi="ar-SA"/>
              </w:rPr>
            </w:pPr>
            <w:r>
              <w:rPr>
                <w:rFonts w:ascii="Arial" w:hAnsi="Arial" w:eastAsia="Times New Roman" w:cs="Arial"/>
                <w:sz w:val="24"/>
                <w:szCs w:val="24"/>
                <w:lang w:eastAsia="en-GB"/>
              </w:rPr>
              <w:t xml:space="preserve">New Locomotives </w:t>
            </w:r>
          </w:p>
        </w:tc>
        <w:tc>
          <w:tcPr>
            <w:tcW w:w="635" w:type="pct"/>
            <w:tcBorders>
              <w:top w:val="nil"/>
              <w:left w:val="nil"/>
              <w:bottom w:val="single" w:color="auto" w:sz="4" w:space="0"/>
              <w:right w:val="single" w:color="auto" w:sz="4" w:space="0"/>
            </w:tcBorders>
            <w:shd w:val="clear" w:color="auto" w:fill="auto"/>
            <w:vAlign w:val="center"/>
          </w:tcPr>
          <w:p w14:paraId="5A898404">
            <w:pPr>
              <w:spacing w:line="240" w:lineRule="auto"/>
              <w:jc w:val="center"/>
              <w:textAlignment w:val="center"/>
              <w:rPr>
                <w:rFonts w:hint="default" w:ascii="Arial" w:hAnsi="Arial" w:eastAsia="宋体" w:cs="Arial"/>
                <w:color w:val="000000"/>
                <w:sz w:val="24"/>
                <w:szCs w:val="24"/>
                <w:highlight w:val="none"/>
                <w:lang w:val="en-US" w:eastAsia="zh-CN" w:bidi="ar"/>
              </w:rPr>
            </w:pPr>
            <w:r>
              <w:rPr>
                <w:rFonts w:hint="default" w:ascii="Arial" w:hAnsi="Arial" w:eastAsia="宋体" w:cs="Arial"/>
                <w:color w:val="000000"/>
                <w:sz w:val="24"/>
                <w:szCs w:val="24"/>
                <w:highlight w:val="none"/>
                <w:lang w:val="en-US" w:eastAsia="zh-CN" w:bidi="ar"/>
              </w:rPr>
              <w:t>Number</w:t>
            </w:r>
          </w:p>
        </w:tc>
        <w:tc>
          <w:tcPr>
            <w:tcW w:w="639" w:type="pct"/>
            <w:shd w:val="clear" w:color="auto" w:fill="auto"/>
            <w:vAlign w:val="center"/>
          </w:tcPr>
          <w:p w14:paraId="45BA98A9">
            <w:pPr>
              <w:spacing w:after="0" w:line="240" w:lineRule="auto"/>
              <w:jc w:val="both"/>
              <w:rPr>
                <w:rFonts w:ascii="Arial" w:hAnsi="Arial" w:eastAsia="Times New Roman" w:cs="Arial"/>
                <w:b/>
                <w:sz w:val="24"/>
                <w:szCs w:val="24"/>
                <w:lang w:val="en-US" w:eastAsia="zh-CN" w:bidi="ar-SA"/>
              </w:rPr>
            </w:pPr>
            <w:r>
              <w:rPr>
                <w:rFonts w:ascii="Arial" w:hAnsi="Arial" w:eastAsia="Times New Roman" w:cs="Arial"/>
                <w:color w:val="000000"/>
                <w:sz w:val="24"/>
                <w:szCs w:val="24"/>
                <w:lang w:eastAsia="en-GB"/>
              </w:rPr>
              <w:t>Number of locomotives</w:t>
            </w:r>
          </w:p>
        </w:tc>
        <w:tc>
          <w:tcPr>
            <w:tcW w:w="486" w:type="pct"/>
            <w:shd w:val="clear" w:color="auto" w:fill="auto"/>
            <w:vAlign w:val="center"/>
          </w:tcPr>
          <w:p w14:paraId="1777A023">
            <w:pPr>
              <w:spacing w:after="0" w:line="240" w:lineRule="auto"/>
              <w:jc w:val="center"/>
              <w:rPr>
                <w:rFonts w:hint="default" w:ascii="Arial" w:hAnsi="Arial" w:eastAsia="Times New Roman" w:cs="Arial"/>
                <w:sz w:val="24"/>
                <w:szCs w:val="24"/>
                <w:lang w:val="en-US" w:eastAsia="en-GB" w:bidi="ar-SA"/>
              </w:rPr>
            </w:pPr>
            <w:r>
              <w:rPr>
                <w:rFonts w:hint="default" w:ascii="Arial" w:hAnsi="Arial" w:eastAsia="Times New Roman" w:cs="Arial"/>
                <w:sz w:val="24"/>
                <w:szCs w:val="24"/>
                <w:lang w:val="en-US" w:eastAsia="en-GB"/>
              </w:rPr>
              <w:t>0</w:t>
            </w:r>
          </w:p>
        </w:tc>
        <w:tc>
          <w:tcPr>
            <w:tcW w:w="473" w:type="pct"/>
            <w:shd w:val="clear" w:color="auto" w:fill="auto"/>
            <w:vAlign w:val="center"/>
          </w:tcPr>
          <w:p w14:paraId="1B3DDD93">
            <w:pPr>
              <w:spacing w:after="0" w:line="240" w:lineRule="auto"/>
              <w:jc w:val="center"/>
              <w:rPr>
                <w:rFonts w:hint="default" w:ascii="Arial" w:hAnsi="Arial" w:eastAsia="Times New Roman" w:cs="Arial"/>
                <w:sz w:val="24"/>
                <w:szCs w:val="24"/>
                <w:lang w:val="en-US" w:eastAsia="en-GB" w:bidi="ar-SA"/>
              </w:rPr>
            </w:pPr>
            <w:r>
              <w:rPr>
                <w:rFonts w:hint="default" w:ascii="Arial" w:hAnsi="Arial" w:eastAsia="Times New Roman" w:cs="Arial"/>
                <w:sz w:val="24"/>
                <w:szCs w:val="24"/>
                <w:lang w:val="en-US"/>
              </w:rPr>
              <w:t>17</w:t>
            </w:r>
          </w:p>
        </w:tc>
        <w:tc>
          <w:tcPr>
            <w:tcW w:w="617" w:type="pct"/>
            <w:shd w:val="clear" w:color="auto" w:fill="auto"/>
            <w:vAlign w:val="center"/>
          </w:tcPr>
          <w:p w14:paraId="03C163F8">
            <w:pPr>
              <w:spacing w:after="0" w:line="240" w:lineRule="auto"/>
              <w:jc w:val="center"/>
              <w:rPr>
                <w:rFonts w:hint="default" w:ascii="Arial" w:hAnsi="Arial" w:eastAsia="Times New Roman" w:cs="Arial"/>
                <w:sz w:val="24"/>
                <w:szCs w:val="24"/>
                <w:highlight w:val="none"/>
                <w:lang w:val="en-US" w:eastAsia="en-GB" w:bidi="ar-SA"/>
              </w:rPr>
            </w:pPr>
            <w:r>
              <w:rPr>
                <w:rFonts w:hint="default" w:ascii="Arial" w:hAnsi="Arial" w:eastAsia="Times New Roman" w:cs="Arial"/>
                <w:sz w:val="24"/>
                <w:szCs w:val="24"/>
                <w:highlight w:val="none"/>
                <w:lang w:val="en-US" w:eastAsia="en-GB" w:bidi="ar-SA"/>
              </w:rPr>
              <w:t>8</w:t>
            </w:r>
          </w:p>
        </w:tc>
        <w:tc>
          <w:tcPr>
            <w:tcW w:w="447" w:type="pct"/>
            <w:shd w:val="clear" w:color="auto" w:fill="auto"/>
          </w:tcPr>
          <w:p w14:paraId="7A2986AF">
            <w:pPr>
              <w:spacing w:line="240" w:lineRule="auto"/>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1</w:t>
            </w:r>
          </w:p>
        </w:tc>
      </w:tr>
      <w:tr w14:paraId="77B18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tcPr>
          <w:p w14:paraId="78E1C089">
            <w:pPr>
              <w:pStyle w:val="11"/>
              <w:numPr>
                <w:ilvl w:val="0"/>
                <w:numId w:val="8"/>
              </w:numPr>
              <w:tabs>
                <w:tab w:val="left" w:pos="176"/>
              </w:tabs>
              <w:spacing w:line="240" w:lineRule="auto"/>
              <w:jc w:val="center"/>
              <w:rPr>
                <w:rFonts w:ascii="Arial" w:hAnsi="Arial" w:eastAsia="Times New Roman" w:cs="Arial"/>
                <w:color w:val="000000"/>
                <w:sz w:val="24"/>
                <w:szCs w:val="24"/>
                <w:highlight w:val="none"/>
                <w:lang w:eastAsia="en-GB"/>
              </w:rPr>
            </w:pPr>
          </w:p>
        </w:tc>
        <w:tc>
          <w:tcPr>
            <w:tcW w:w="1481" w:type="pct"/>
            <w:tcBorders>
              <w:top w:val="nil"/>
              <w:left w:val="nil"/>
              <w:bottom w:val="single" w:color="auto" w:sz="4" w:space="0"/>
              <w:right w:val="single" w:color="auto" w:sz="4" w:space="0"/>
            </w:tcBorders>
            <w:shd w:val="clear" w:color="auto" w:fill="auto"/>
            <w:noWrap/>
            <w:vAlign w:val="top"/>
          </w:tcPr>
          <w:p w14:paraId="0B856AAD">
            <w:pPr>
              <w:spacing w:after="0" w:line="240" w:lineRule="auto"/>
              <w:jc w:val="both"/>
              <w:rPr>
                <w:rFonts w:ascii="Arial" w:hAnsi="Arial" w:eastAsia="Times New Roman" w:cs="Arial"/>
                <w:sz w:val="24"/>
                <w:szCs w:val="24"/>
                <w:lang w:val="en-US" w:eastAsia="zh-CN" w:bidi="ar-SA"/>
              </w:rPr>
            </w:pPr>
            <w:r>
              <w:rPr>
                <w:rFonts w:ascii="Arial" w:hAnsi="Arial" w:eastAsia="Times New Roman" w:cs="Arial"/>
                <w:sz w:val="24"/>
                <w:szCs w:val="24"/>
                <w:lang w:eastAsia="en-GB"/>
              </w:rPr>
              <w:t xml:space="preserve">Remanufacture Locomotives (Number) </w:t>
            </w:r>
          </w:p>
        </w:tc>
        <w:tc>
          <w:tcPr>
            <w:tcW w:w="635" w:type="pct"/>
            <w:tcBorders>
              <w:top w:val="nil"/>
              <w:left w:val="nil"/>
              <w:bottom w:val="single" w:color="auto" w:sz="4" w:space="0"/>
              <w:right w:val="single" w:color="auto" w:sz="4" w:space="0"/>
            </w:tcBorders>
            <w:shd w:val="clear" w:color="auto" w:fill="auto"/>
            <w:vAlign w:val="center"/>
          </w:tcPr>
          <w:p w14:paraId="49DB8C7F">
            <w:pPr>
              <w:spacing w:line="240" w:lineRule="auto"/>
              <w:jc w:val="center"/>
              <w:textAlignment w:val="center"/>
              <w:rPr>
                <w:rFonts w:hint="default" w:ascii="Arial" w:hAnsi="Arial" w:eastAsia="宋体" w:cs="Arial"/>
                <w:color w:val="000000"/>
                <w:sz w:val="24"/>
                <w:szCs w:val="24"/>
                <w:highlight w:val="none"/>
                <w:lang w:val="en-US" w:eastAsia="zh-CN" w:bidi="ar"/>
              </w:rPr>
            </w:pPr>
            <w:r>
              <w:rPr>
                <w:rFonts w:hint="default" w:ascii="Arial" w:hAnsi="Arial" w:eastAsia="宋体" w:cs="Arial"/>
                <w:color w:val="000000"/>
                <w:sz w:val="24"/>
                <w:szCs w:val="24"/>
                <w:highlight w:val="none"/>
                <w:lang w:val="en-US" w:eastAsia="zh-CN" w:bidi="ar"/>
              </w:rPr>
              <w:t>Number</w:t>
            </w:r>
          </w:p>
          <w:p w14:paraId="4F373E2E">
            <w:pPr>
              <w:spacing w:line="240" w:lineRule="auto"/>
              <w:jc w:val="center"/>
              <w:textAlignment w:val="center"/>
              <w:rPr>
                <w:rFonts w:hint="default" w:ascii="Arial" w:hAnsi="Arial" w:eastAsia="宋体" w:cs="Arial"/>
                <w:color w:val="000000"/>
                <w:sz w:val="24"/>
                <w:szCs w:val="24"/>
                <w:highlight w:val="none"/>
                <w:lang w:val="en-US" w:eastAsia="zh-CN" w:bidi="ar"/>
              </w:rPr>
            </w:pPr>
          </w:p>
        </w:tc>
        <w:tc>
          <w:tcPr>
            <w:tcW w:w="639" w:type="pct"/>
            <w:shd w:val="clear" w:color="auto" w:fill="auto"/>
            <w:vAlign w:val="center"/>
          </w:tcPr>
          <w:p w14:paraId="10CA90EC">
            <w:pPr>
              <w:spacing w:after="0" w:line="240" w:lineRule="auto"/>
              <w:jc w:val="both"/>
              <w:rPr>
                <w:rFonts w:hint="default" w:ascii="Arial" w:hAnsi="Arial" w:eastAsia="Times New Roman" w:cs="Arial"/>
                <w:b w:val="0"/>
                <w:bCs/>
                <w:sz w:val="24"/>
                <w:szCs w:val="24"/>
                <w:lang w:val="en-US" w:eastAsia="zh-CN" w:bidi="ar-SA"/>
              </w:rPr>
            </w:pPr>
            <w:r>
              <w:rPr>
                <w:rFonts w:hint="default" w:ascii="Arial" w:hAnsi="Arial" w:eastAsia="Times New Roman" w:cs="Arial"/>
                <w:b w:val="0"/>
                <w:bCs/>
                <w:sz w:val="24"/>
                <w:szCs w:val="24"/>
                <w:lang w:val="en-US" w:eastAsia="en-GB"/>
              </w:rPr>
              <w:t>Locomotives</w:t>
            </w:r>
          </w:p>
        </w:tc>
        <w:tc>
          <w:tcPr>
            <w:tcW w:w="486" w:type="pct"/>
            <w:shd w:val="clear" w:color="auto" w:fill="auto"/>
            <w:vAlign w:val="center"/>
          </w:tcPr>
          <w:p w14:paraId="2273E07F">
            <w:pPr>
              <w:spacing w:after="0" w:line="240" w:lineRule="auto"/>
              <w:jc w:val="center"/>
              <w:rPr>
                <w:rFonts w:hint="default" w:ascii="Arial" w:hAnsi="Arial" w:eastAsia="Times New Roman" w:cs="Arial"/>
                <w:sz w:val="24"/>
                <w:szCs w:val="24"/>
                <w:lang w:val="en-US" w:eastAsia="en-GB" w:bidi="ar-SA"/>
              </w:rPr>
            </w:pPr>
            <w:r>
              <w:rPr>
                <w:rFonts w:hint="default" w:ascii="Arial" w:hAnsi="Arial" w:eastAsia="Times New Roman" w:cs="Arial"/>
                <w:sz w:val="24"/>
                <w:szCs w:val="24"/>
                <w:lang w:val="en-US" w:eastAsia="en-GB"/>
              </w:rPr>
              <w:t>0</w:t>
            </w:r>
          </w:p>
        </w:tc>
        <w:tc>
          <w:tcPr>
            <w:tcW w:w="473" w:type="pct"/>
            <w:shd w:val="clear" w:color="auto" w:fill="auto"/>
            <w:vAlign w:val="center"/>
          </w:tcPr>
          <w:p w14:paraId="1A78FCC8">
            <w:pPr>
              <w:spacing w:after="0" w:line="240" w:lineRule="auto"/>
              <w:jc w:val="center"/>
              <w:rPr>
                <w:rFonts w:hint="default" w:ascii="Arial" w:hAnsi="Arial" w:eastAsia="Times New Roman" w:cs="Arial"/>
                <w:sz w:val="24"/>
                <w:szCs w:val="24"/>
                <w:lang w:val="en-US" w:eastAsia="en-GB" w:bidi="ar-SA"/>
              </w:rPr>
            </w:pPr>
            <w:r>
              <w:rPr>
                <w:rFonts w:hint="default" w:ascii="Arial" w:hAnsi="Arial" w:eastAsia="Times New Roman" w:cs="Arial"/>
                <w:sz w:val="24"/>
                <w:szCs w:val="24"/>
                <w:lang w:val="en-US" w:eastAsia="en-GB"/>
              </w:rPr>
              <w:t>9</w:t>
            </w:r>
          </w:p>
        </w:tc>
        <w:tc>
          <w:tcPr>
            <w:tcW w:w="617" w:type="pct"/>
            <w:shd w:val="clear" w:color="auto" w:fill="auto"/>
            <w:vAlign w:val="center"/>
          </w:tcPr>
          <w:p w14:paraId="2C63475D">
            <w:pPr>
              <w:spacing w:after="0" w:line="240" w:lineRule="auto"/>
              <w:jc w:val="center"/>
              <w:rPr>
                <w:rFonts w:hint="default" w:ascii="Arial" w:hAnsi="Arial" w:eastAsia="Times New Roman" w:cs="Arial"/>
                <w:sz w:val="24"/>
                <w:szCs w:val="24"/>
                <w:highlight w:val="none"/>
                <w:lang w:val="en-US" w:eastAsia="en-GB" w:bidi="ar-SA"/>
              </w:rPr>
            </w:pPr>
            <w:r>
              <w:rPr>
                <w:rFonts w:hint="default" w:ascii="Arial" w:hAnsi="Arial" w:eastAsia="Times New Roman" w:cs="Arial"/>
                <w:sz w:val="24"/>
                <w:szCs w:val="24"/>
                <w:highlight w:val="none"/>
                <w:lang w:val="en-US" w:eastAsia="en-GB"/>
              </w:rPr>
              <w:t>9</w:t>
            </w:r>
          </w:p>
        </w:tc>
        <w:tc>
          <w:tcPr>
            <w:tcW w:w="447" w:type="pct"/>
            <w:shd w:val="clear" w:color="auto" w:fill="auto"/>
          </w:tcPr>
          <w:p w14:paraId="6ADA7420">
            <w:pPr>
              <w:spacing w:line="240" w:lineRule="auto"/>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1</w:t>
            </w:r>
          </w:p>
        </w:tc>
      </w:tr>
      <w:tr w14:paraId="2E7A5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vMerge w:val="restart"/>
            <w:vAlign w:val="center"/>
          </w:tcPr>
          <w:p w14:paraId="7153D569">
            <w:pPr>
              <w:pStyle w:val="11"/>
              <w:numPr>
                <w:ilvl w:val="0"/>
                <w:numId w:val="8"/>
              </w:numPr>
              <w:tabs>
                <w:tab w:val="left" w:pos="176"/>
              </w:tabs>
              <w:spacing w:line="240" w:lineRule="auto"/>
              <w:jc w:val="both"/>
              <w:rPr>
                <w:rFonts w:ascii="Arial" w:hAnsi="Arial" w:eastAsia="Times New Roman" w:cs="Arial"/>
                <w:color w:val="000000"/>
                <w:sz w:val="24"/>
                <w:szCs w:val="24"/>
                <w:highlight w:val="none"/>
                <w:lang w:eastAsia="en-GB"/>
              </w:rPr>
            </w:pPr>
          </w:p>
        </w:tc>
        <w:tc>
          <w:tcPr>
            <w:tcW w:w="1481" w:type="pct"/>
            <w:vMerge w:val="restart"/>
            <w:tcBorders>
              <w:top w:val="nil"/>
              <w:left w:val="nil"/>
              <w:right w:val="single" w:color="auto" w:sz="4" w:space="0"/>
            </w:tcBorders>
            <w:shd w:val="clear" w:color="auto" w:fill="auto"/>
            <w:noWrap/>
            <w:vAlign w:val="center"/>
          </w:tcPr>
          <w:p w14:paraId="37908BB4">
            <w:pPr>
              <w:spacing w:after="0" w:line="240" w:lineRule="auto"/>
              <w:jc w:val="both"/>
              <w:rPr>
                <w:rFonts w:ascii="Arial" w:hAnsi="Arial" w:eastAsia="Times New Roman" w:cs="Arial"/>
                <w:sz w:val="24"/>
                <w:szCs w:val="24"/>
                <w:lang w:eastAsia="en-GB"/>
              </w:rPr>
            </w:pPr>
            <w:r>
              <w:rPr>
                <w:rFonts w:ascii="Arial" w:hAnsi="Arial" w:eastAsia="Calibri" w:cs="Arial"/>
                <w:bCs/>
                <w:sz w:val="24"/>
                <w:szCs w:val="24"/>
                <w:highlight w:val="none"/>
              </w:rPr>
              <w:t>Construction of SGR line</w:t>
            </w:r>
          </w:p>
        </w:tc>
        <w:tc>
          <w:tcPr>
            <w:tcW w:w="635" w:type="pct"/>
            <w:vMerge w:val="restart"/>
            <w:tcBorders>
              <w:top w:val="nil"/>
              <w:left w:val="nil"/>
              <w:right w:val="single" w:color="auto" w:sz="4" w:space="0"/>
            </w:tcBorders>
            <w:shd w:val="clear" w:color="auto" w:fill="auto"/>
            <w:vAlign w:val="center"/>
          </w:tcPr>
          <w:p w14:paraId="7F92F575">
            <w:pPr>
              <w:spacing w:line="240" w:lineRule="auto"/>
              <w:jc w:val="center"/>
              <w:textAlignment w:val="center"/>
              <w:rPr>
                <w:rFonts w:hint="default" w:ascii="Arial" w:hAnsi="Arial" w:eastAsia="宋体" w:cs="Arial"/>
                <w:color w:val="000000"/>
                <w:sz w:val="24"/>
                <w:szCs w:val="24"/>
                <w:highlight w:val="none"/>
                <w:lang w:val="en-US" w:eastAsia="zh-CN" w:bidi="ar"/>
              </w:rPr>
            </w:pPr>
            <w:r>
              <w:rPr>
                <w:rFonts w:hint="default" w:ascii="Arial" w:hAnsi="Arial" w:eastAsia="宋体" w:cs="Arial"/>
                <w:color w:val="000000"/>
                <w:sz w:val="24"/>
                <w:szCs w:val="24"/>
                <w:highlight w:val="none"/>
                <w:lang w:val="en-US" w:eastAsia="zh-CN" w:bidi="ar"/>
              </w:rPr>
              <w:t xml:space="preserve">% </w:t>
            </w:r>
          </w:p>
          <w:p w14:paraId="0450A66C">
            <w:pPr>
              <w:spacing w:line="240" w:lineRule="auto"/>
              <w:jc w:val="center"/>
              <w:textAlignment w:val="center"/>
              <w:rPr>
                <w:rFonts w:hint="default" w:ascii="Arial" w:hAnsi="Arial" w:eastAsia="宋体" w:cs="Arial"/>
                <w:color w:val="000000"/>
                <w:sz w:val="24"/>
                <w:szCs w:val="24"/>
                <w:highlight w:val="none"/>
                <w:lang w:val="en-US" w:eastAsia="zh-CN" w:bidi="ar"/>
              </w:rPr>
            </w:pPr>
            <w:r>
              <w:rPr>
                <w:rFonts w:hint="default" w:ascii="Arial" w:hAnsi="Arial" w:eastAsia="宋体" w:cs="Arial"/>
                <w:color w:val="000000"/>
                <w:sz w:val="24"/>
                <w:szCs w:val="24"/>
                <w:highlight w:val="none"/>
                <w:lang w:val="en-US" w:eastAsia="zh-CN" w:bidi="ar"/>
              </w:rPr>
              <w:t>Completed</w:t>
            </w:r>
          </w:p>
        </w:tc>
        <w:tc>
          <w:tcPr>
            <w:tcW w:w="639" w:type="pct"/>
            <w:shd w:val="clear" w:color="auto" w:fill="auto"/>
            <w:vAlign w:val="center"/>
          </w:tcPr>
          <w:p w14:paraId="035FFE68">
            <w:pPr>
              <w:spacing w:after="0" w:line="240" w:lineRule="auto"/>
              <w:jc w:val="center"/>
              <w:rPr>
                <w:rFonts w:hint="default" w:ascii="Arial" w:hAnsi="Arial" w:eastAsia="Times New Roman" w:cs="Arial"/>
                <w:b w:val="0"/>
                <w:bCs/>
                <w:sz w:val="24"/>
                <w:szCs w:val="24"/>
                <w:lang w:val="en-US" w:eastAsia="en-GB"/>
              </w:rPr>
            </w:pPr>
            <w:r>
              <w:rPr>
                <w:rFonts w:hint="default" w:ascii="Arial" w:hAnsi="Arial" w:eastAsia="Times New Roman" w:cs="Arial"/>
                <w:b w:val="0"/>
                <w:bCs/>
                <w:sz w:val="24"/>
                <w:szCs w:val="24"/>
                <w:lang w:val="en-US" w:eastAsia="en-GB"/>
              </w:rPr>
              <w:t>Lot 1</w:t>
            </w:r>
          </w:p>
        </w:tc>
        <w:tc>
          <w:tcPr>
            <w:tcW w:w="486" w:type="pct"/>
            <w:shd w:val="clear" w:color="auto" w:fill="auto"/>
            <w:vAlign w:val="center"/>
          </w:tcPr>
          <w:p w14:paraId="7E3995BC">
            <w:pPr>
              <w:spacing w:after="0" w:line="240" w:lineRule="auto"/>
              <w:jc w:val="center"/>
              <w:rPr>
                <w:rFonts w:hint="default" w:ascii="Arial" w:hAnsi="Arial" w:eastAsia="Times New Roman" w:cs="Arial"/>
                <w:sz w:val="24"/>
                <w:szCs w:val="24"/>
                <w:lang w:val="en-US" w:eastAsia="en-GB"/>
              </w:rPr>
            </w:pPr>
            <w:r>
              <w:rPr>
                <w:rFonts w:hint="default" w:ascii="Arial" w:hAnsi="Arial" w:eastAsia="Times New Roman" w:cs="Arial"/>
                <w:sz w:val="24"/>
                <w:szCs w:val="24"/>
                <w:lang w:val="en-US" w:eastAsia="en-GB"/>
              </w:rPr>
              <w:t>99.15</w:t>
            </w:r>
          </w:p>
        </w:tc>
        <w:tc>
          <w:tcPr>
            <w:tcW w:w="473" w:type="pct"/>
            <w:shd w:val="clear" w:color="auto" w:fill="auto"/>
            <w:vAlign w:val="top"/>
          </w:tcPr>
          <w:p w14:paraId="323379C3">
            <w:pPr>
              <w:spacing w:after="0" w:line="240" w:lineRule="auto"/>
              <w:jc w:val="center"/>
              <w:rPr>
                <w:rFonts w:hint="default" w:ascii="Arial" w:hAnsi="Arial" w:eastAsia="Times New Roman" w:cs="Arial"/>
                <w:sz w:val="24"/>
                <w:szCs w:val="24"/>
                <w:lang w:val="en-US" w:eastAsia="en-GB" w:bidi="ar-SA"/>
              </w:rPr>
            </w:pPr>
            <w:r>
              <w:rPr>
                <w:rFonts w:ascii="Arial" w:hAnsi="Arial" w:eastAsia="Times New Roman" w:cs="Arial"/>
                <w:sz w:val="24"/>
                <w:szCs w:val="24"/>
              </w:rPr>
              <w:t>99.80</w:t>
            </w:r>
          </w:p>
        </w:tc>
        <w:tc>
          <w:tcPr>
            <w:tcW w:w="1692" w:type="dxa"/>
            <w:shd w:val="clear" w:color="auto" w:fill="auto"/>
            <w:vAlign w:val="top"/>
          </w:tcPr>
          <w:p w14:paraId="483332F9">
            <w:pPr>
              <w:spacing w:after="0" w:line="240" w:lineRule="auto"/>
              <w:jc w:val="center"/>
              <w:rPr>
                <w:rFonts w:hint="default" w:ascii="Arial" w:hAnsi="Arial" w:eastAsia="Times New Roman" w:cs="Arial"/>
                <w:sz w:val="24"/>
                <w:szCs w:val="24"/>
                <w:highlight w:val="none"/>
                <w:lang w:val="en-US" w:eastAsia="en-GB"/>
              </w:rPr>
            </w:pPr>
            <w:r>
              <w:rPr>
                <w:rFonts w:ascii="Arial" w:hAnsi="Arial" w:eastAsia="Times New Roman" w:cs="Arial"/>
                <w:sz w:val="24"/>
                <w:szCs w:val="24"/>
              </w:rPr>
              <w:t>100</w:t>
            </w:r>
          </w:p>
        </w:tc>
        <w:tc>
          <w:tcPr>
            <w:tcW w:w="447" w:type="pct"/>
            <w:shd w:val="clear" w:color="auto" w:fill="auto"/>
          </w:tcPr>
          <w:p w14:paraId="200F1435">
            <w:pPr>
              <w:spacing w:line="240" w:lineRule="auto"/>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0.2</w:t>
            </w:r>
          </w:p>
        </w:tc>
      </w:tr>
      <w:tr w14:paraId="4EB8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vMerge w:val="continue"/>
          </w:tcPr>
          <w:p w14:paraId="62D29D6D">
            <w:pPr>
              <w:pStyle w:val="11"/>
              <w:tabs>
                <w:tab w:val="left" w:pos="176"/>
              </w:tabs>
              <w:spacing w:line="240" w:lineRule="auto"/>
              <w:jc w:val="center"/>
              <w:rPr>
                <w:rFonts w:ascii="Arial" w:hAnsi="Arial" w:eastAsia="Times New Roman" w:cs="Arial"/>
                <w:color w:val="000000"/>
                <w:sz w:val="24"/>
                <w:szCs w:val="24"/>
                <w:highlight w:val="none"/>
                <w:lang w:eastAsia="en-GB"/>
              </w:rPr>
            </w:pPr>
          </w:p>
        </w:tc>
        <w:tc>
          <w:tcPr>
            <w:tcW w:w="1481" w:type="pct"/>
            <w:vMerge w:val="continue"/>
            <w:tcBorders>
              <w:left w:val="nil"/>
              <w:right w:val="single" w:color="auto" w:sz="4" w:space="0"/>
            </w:tcBorders>
            <w:shd w:val="clear" w:color="auto" w:fill="auto"/>
            <w:noWrap/>
            <w:vAlign w:val="top"/>
          </w:tcPr>
          <w:p w14:paraId="2817C67A">
            <w:pPr>
              <w:spacing w:after="0" w:line="240" w:lineRule="auto"/>
              <w:jc w:val="both"/>
              <w:rPr>
                <w:rFonts w:ascii="Arial" w:hAnsi="Arial" w:eastAsia="Times New Roman" w:cs="Arial"/>
                <w:sz w:val="24"/>
                <w:szCs w:val="24"/>
                <w:lang w:eastAsia="en-GB"/>
              </w:rPr>
            </w:pPr>
          </w:p>
        </w:tc>
        <w:tc>
          <w:tcPr>
            <w:tcW w:w="635" w:type="pct"/>
            <w:vMerge w:val="continue"/>
            <w:tcBorders>
              <w:left w:val="nil"/>
              <w:right w:val="single" w:color="auto" w:sz="4" w:space="0"/>
            </w:tcBorders>
            <w:shd w:val="clear" w:color="auto" w:fill="auto"/>
            <w:vAlign w:val="center"/>
          </w:tcPr>
          <w:p w14:paraId="127A48D6">
            <w:pPr>
              <w:spacing w:line="240" w:lineRule="auto"/>
              <w:jc w:val="center"/>
              <w:textAlignment w:val="center"/>
              <w:rPr>
                <w:rFonts w:hint="default" w:ascii="Arial" w:hAnsi="Arial" w:eastAsia="宋体" w:cs="Arial"/>
                <w:color w:val="000000"/>
                <w:sz w:val="24"/>
                <w:szCs w:val="24"/>
                <w:highlight w:val="none"/>
                <w:lang w:val="en-US" w:eastAsia="zh-CN" w:bidi="ar"/>
              </w:rPr>
            </w:pPr>
          </w:p>
        </w:tc>
        <w:tc>
          <w:tcPr>
            <w:tcW w:w="639" w:type="pct"/>
            <w:shd w:val="clear" w:color="auto" w:fill="auto"/>
            <w:vAlign w:val="center"/>
          </w:tcPr>
          <w:p w14:paraId="64BC8325">
            <w:pPr>
              <w:spacing w:after="0" w:line="240" w:lineRule="auto"/>
              <w:jc w:val="center"/>
              <w:rPr>
                <w:rFonts w:hint="default" w:ascii="Arial" w:hAnsi="Arial" w:eastAsia="Times New Roman" w:cs="Arial"/>
                <w:b w:val="0"/>
                <w:bCs/>
                <w:sz w:val="24"/>
                <w:szCs w:val="24"/>
                <w:lang w:val="en-US" w:eastAsia="en-GB"/>
              </w:rPr>
            </w:pPr>
            <w:r>
              <w:rPr>
                <w:rFonts w:hint="default" w:ascii="Arial" w:hAnsi="Arial" w:eastAsia="Times New Roman" w:cs="Arial"/>
                <w:b w:val="0"/>
                <w:bCs/>
                <w:sz w:val="24"/>
                <w:szCs w:val="24"/>
                <w:lang w:val="en-US" w:eastAsia="en-GB"/>
              </w:rPr>
              <w:t>Lot 2</w:t>
            </w:r>
          </w:p>
        </w:tc>
        <w:tc>
          <w:tcPr>
            <w:tcW w:w="486" w:type="pct"/>
            <w:shd w:val="clear" w:color="auto" w:fill="auto"/>
            <w:vAlign w:val="center"/>
          </w:tcPr>
          <w:p w14:paraId="42DFC3A5">
            <w:pPr>
              <w:spacing w:after="0" w:line="240" w:lineRule="auto"/>
              <w:jc w:val="center"/>
              <w:rPr>
                <w:rFonts w:hint="default" w:ascii="Arial" w:hAnsi="Arial" w:eastAsia="Times New Roman" w:cs="Arial"/>
                <w:sz w:val="24"/>
                <w:szCs w:val="24"/>
                <w:lang w:val="en-US" w:eastAsia="en-GB"/>
              </w:rPr>
            </w:pPr>
            <w:r>
              <w:rPr>
                <w:rFonts w:hint="default" w:ascii="Arial" w:hAnsi="Arial" w:eastAsia="Times New Roman" w:cs="Arial"/>
                <w:sz w:val="24"/>
                <w:szCs w:val="24"/>
                <w:lang w:val="en-US" w:eastAsia="en-GB"/>
              </w:rPr>
              <w:t>96.89</w:t>
            </w:r>
          </w:p>
        </w:tc>
        <w:tc>
          <w:tcPr>
            <w:tcW w:w="473" w:type="pct"/>
            <w:shd w:val="clear" w:color="auto" w:fill="auto"/>
            <w:vAlign w:val="top"/>
          </w:tcPr>
          <w:p w14:paraId="383FAFCF">
            <w:pPr>
              <w:spacing w:after="0" w:line="240" w:lineRule="auto"/>
              <w:jc w:val="center"/>
              <w:rPr>
                <w:rFonts w:hint="default" w:ascii="Arial" w:hAnsi="Arial" w:eastAsia="Times New Roman" w:cs="Arial"/>
                <w:sz w:val="24"/>
                <w:szCs w:val="24"/>
                <w:lang w:val="en-US" w:eastAsia="en-GB" w:bidi="ar-SA"/>
              </w:rPr>
            </w:pPr>
            <w:r>
              <w:rPr>
                <w:rFonts w:ascii="Arial" w:hAnsi="Arial" w:eastAsia="Times New Roman" w:cs="Arial"/>
                <w:sz w:val="24"/>
                <w:szCs w:val="24"/>
              </w:rPr>
              <w:t>98.22</w:t>
            </w:r>
          </w:p>
        </w:tc>
        <w:tc>
          <w:tcPr>
            <w:tcW w:w="1692" w:type="dxa"/>
            <w:shd w:val="clear" w:color="auto" w:fill="auto"/>
            <w:vAlign w:val="top"/>
          </w:tcPr>
          <w:p w14:paraId="15E24C27">
            <w:pPr>
              <w:spacing w:after="0" w:line="240" w:lineRule="auto"/>
              <w:jc w:val="center"/>
              <w:rPr>
                <w:rFonts w:hint="default" w:ascii="Arial" w:hAnsi="Arial" w:eastAsia="Times New Roman" w:cs="Arial"/>
                <w:sz w:val="24"/>
                <w:szCs w:val="24"/>
                <w:highlight w:val="none"/>
                <w:lang w:val="en-US" w:eastAsia="en-GB"/>
              </w:rPr>
            </w:pPr>
            <w:r>
              <w:rPr>
                <w:rFonts w:ascii="Arial" w:hAnsi="Arial" w:eastAsia="Times New Roman" w:cs="Arial"/>
                <w:sz w:val="24"/>
                <w:szCs w:val="24"/>
              </w:rPr>
              <w:t>100</w:t>
            </w:r>
          </w:p>
        </w:tc>
        <w:tc>
          <w:tcPr>
            <w:tcW w:w="447" w:type="pct"/>
            <w:shd w:val="clear" w:color="auto" w:fill="auto"/>
          </w:tcPr>
          <w:p w14:paraId="28DDB04F">
            <w:pPr>
              <w:spacing w:line="240" w:lineRule="auto"/>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0.3</w:t>
            </w:r>
          </w:p>
        </w:tc>
      </w:tr>
      <w:tr w14:paraId="58416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vMerge w:val="continue"/>
          </w:tcPr>
          <w:p w14:paraId="69D813FF">
            <w:pPr>
              <w:pStyle w:val="11"/>
              <w:tabs>
                <w:tab w:val="left" w:pos="176"/>
              </w:tabs>
              <w:spacing w:line="240" w:lineRule="auto"/>
              <w:jc w:val="center"/>
              <w:rPr>
                <w:rFonts w:ascii="Arial" w:hAnsi="Arial" w:eastAsia="Times New Roman" w:cs="Arial"/>
                <w:color w:val="000000"/>
                <w:sz w:val="24"/>
                <w:szCs w:val="24"/>
                <w:highlight w:val="none"/>
                <w:lang w:eastAsia="en-GB"/>
              </w:rPr>
            </w:pPr>
          </w:p>
        </w:tc>
        <w:tc>
          <w:tcPr>
            <w:tcW w:w="1481" w:type="pct"/>
            <w:vMerge w:val="continue"/>
            <w:tcBorders>
              <w:left w:val="nil"/>
              <w:right w:val="single" w:color="auto" w:sz="4" w:space="0"/>
            </w:tcBorders>
            <w:shd w:val="clear" w:color="auto" w:fill="auto"/>
            <w:noWrap/>
            <w:vAlign w:val="top"/>
          </w:tcPr>
          <w:p w14:paraId="37A114A7">
            <w:pPr>
              <w:spacing w:after="0" w:line="240" w:lineRule="auto"/>
              <w:jc w:val="both"/>
              <w:rPr>
                <w:rFonts w:ascii="Arial" w:hAnsi="Arial" w:eastAsia="Times New Roman" w:cs="Arial"/>
                <w:sz w:val="24"/>
                <w:szCs w:val="24"/>
                <w:lang w:eastAsia="en-GB"/>
              </w:rPr>
            </w:pPr>
          </w:p>
        </w:tc>
        <w:tc>
          <w:tcPr>
            <w:tcW w:w="635" w:type="pct"/>
            <w:vMerge w:val="continue"/>
            <w:tcBorders>
              <w:left w:val="nil"/>
              <w:right w:val="single" w:color="auto" w:sz="4" w:space="0"/>
            </w:tcBorders>
            <w:shd w:val="clear" w:color="auto" w:fill="auto"/>
            <w:vAlign w:val="center"/>
          </w:tcPr>
          <w:p w14:paraId="005C17DD">
            <w:pPr>
              <w:spacing w:line="240" w:lineRule="auto"/>
              <w:jc w:val="center"/>
              <w:textAlignment w:val="center"/>
              <w:rPr>
                <w:rFonts w:hint="default" w:ascii="Arial" w:hAnsi="Arial" w:eastAsia="宋体" w:cs="Arial"/>
                <w:color w:val="000000"/>
                <w:sz w:val="24"/>
                <w:szCs w:val="24"/>
                <w:highlight w:val="none"/>
                <w:lang w:val="en-US" w:eastAsia="zh-CN" w:bidi="ar"/>
              </w:rPr>
            </w:pPr>
          </w:p>
        </w:tc>
        <w:tc>
          <w:tcPr>
            <w:tcW w:w="639" w:type="pct"/>
            <w:shd w:val="clear" w:color="auto" w:fill="auto"/>
            <w:vAlign w:val="center"/>
          </w:tcPr>
          <w:p w14:paraId="1085C2D2">
            <w:pPr>
              <w:spacing w:after="0" w:line="240" w:lineRule="auto"/>
              <w:jc w:val="center"/>
              <w:rPr>
                <w:rFonts w:hint="default" w:ascii="Arial" w:hAnsi="Arial" w:eastAsia="Times New Roman" w:cs="Arial"/>
                <w:b w:val="0"/>
                <w:bCs/>
                <w:sz w:val="24"/>
                <w:szCs w:val="24"/>
                <w:lang w:val="en-US" w:eastAsia="en-GB"/>
              </w:rPr>
            </w:pPr>
            <w:r>
              <w:rPr>
                <w:rFonts w:hint="default" w:ascii="Arial" w:hAnsi="Arial" w:eastAsia="Times New Roman" w:cs="Arial"/>
                <w:b w:val="0"/>
                <w:bCs/>
                <w:sz w:val="24"/>
                <w:szCs w:val="24"/>
                <w:lang w:val="en-US" w:eastAsia="en-GB"/>
              </w:rPr>
              <w:t>Lot 3</w:t>
            </w:r>
          </w:p>
        </w:tc>
        <w:tc>
          <w:tcPr>
            <w:tcW w:w="486" w:type="pct"/>
            <w:shd w:val="clear" w:color="auto" w:fill="auto"/>
            <w:vAlign w:val="center"/>
          </w:tcPr>
          <w:p w14:paraId="574ED4F2">
            <w:pPr>
              <w:spacing w:after="0" w:line="240" w:lineRule="auto"/>
              <w:jc w:val="center"/>
              <w:rPr>
                <w:rFonts w:hint="default" w:ascii="Arial" w:hAnsi="Arial" w:eastAsia="Times New Roman" w:cs="Arial"/>
                <w:sz w:val="24"/>
                <w:szCs w:val="24"/>
                <w:lang w:val="en-US" w:eastAsia="en-GB"/>
              </w:rPr>
            </w:pPr>
            <w:r>
              <w:rPr>
                <w:rFonts w:hint="default" w:ascii="Arial" w:hAnsi="Arial" w:eastAsia="Times New Roman" w:cs="Arial"/>
                <w:sz w:val="24"/>
                <w:szCs w:val="24"/>
                <w:lang w:val="en-US" w:eastAsia="en-GB"/>
              </w:rPr>
              <w:t>14.44</w:t>
            </w:r>
          </w:p>
        </w:tc>
        <w:tc>
          <w:tcPr>
            <w:tcW w:w="473" w:type="pct"/>
            <w:shd w:val="clear" w:color="auto" w:fill="auto"/>
            <w:vAlign w:val="top"/>
          </w:tcPr>
          <w:p w14:paraId="5431D128">
            <w:pPr>
              <w:spacing w:after="0" w:line="240" w:lineRule="auto"/>
              <w:jc w:val="center"/>
              <w:rPr>
                <w:rFonts w:hint="default" w:ascii="Arial" w:hAnsi="Arial" w:eastAsia="Times New Roman" w:cs="Arial"/>
                <w:sz w:val="24"/>
                <w:szCs w:val="24"/>
                <w:lang w:val="en-US" w:eastAsia="en-GB" w:bidi="ar-SA"/>
              </w:rPr>
            </w:pPr>
            <w:r>
              <w:rPr>
                <w:rFonts w:ascii="Arial" w:hAnsi="Arial" w:eastAsia="Times New Roman" w:cs="Arial"/>
                <w:sz w:val="24"/>
                <w:szCs w:val="24"/>
              </w:rPr>
              <w:t>14.54</w:t>
            </w:r>
          </w:p>
        </w:tc>
        <w:tc>
          <w:tcPr>
            <w:tcW w:w="1692" w:type="dxa"/>
            <w:shd w:val="clear" w:color="auto" w:fill="auto"/>
            <w:vAlign w:val="top"/>
          </w:tcPr>
          <w:p w14:paraId="6E0D259D">
            <w:pPr>
              <w:spacing w:after="0" w:line="240" w:lineRule="auto"/>
              <w:jc w:val="center"/>
              <w:rPr>
                <w:rFonts w:hint="default" w:ascii="Arial" w:hAnsi="Arial" w:eastAsia="Times New Roman" w:cs="Arial"/>
                <w:sz w:val="24"/>
                <w:szCs w:val="24"/>
                <w:highlight w:val="none"/>
                <w:lang w:val="en-US" w:eastAsia="en-GB"/>
              </w:rPr>
            </w:pPr>
            <w:r>
              <w:rPr>
                <w:rFonts w:ascii="Arial" w:hAnsi="Arial" w:eastAsia="Times New Roman" w:cs="Arial"/>
                <w:sz w:val="24"/>
                <w:szCs w:val="24"/>
              </w:rPr>
              <w:t>43.34</w:t>
            </w:r>
          </w:p>
        </w:tc>
        <w:tc>
          <w:tcPr>
            <w:tcW w:w="447" w:type="pct"/>
            <w:shd w:val="clear" w:color="auto" w:fill="auto"/>
          </w:tcPr>
          <w:p w14:paraId="02949DAC">
            <w:pPr>
              <w:spacing w:line="240" w:lineRule="auto"/>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0.2</w:t>
            </w:r>
          </w:p>
        </w:tc>
      </w:tr>
      <w:tr w14:paraId="6FF4A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vMerge w:val="continue"/>
          </w:tcPr>
          <w:p w14:paraId="32D8D255">
            <w:pPr>
              <w:pStyle w:val="11"/>
              <w:tabs>
                <w:tab w:val="left" w:pos="176"/>
              </w:tabs>
              <w:spacing w:line="240" w:lineRule="auto"/>
              <w:jc w:val="center"/>
              <w:rPr>
                <w:rFonts w:ascii="Arial" w:hAnsi="Arial" w:eastAsia="Times New Roman" w:cs="Arial"/>
                <w:color w:val="000000"/>
                <w:sz w:val="24"/>
                <w:szCs w:val="24"/>
                <w:highlight w:val="none"/>
                <w:lang w:eastAsia="en-GB"/>
              </w:rPr>
            </w:pPr>
          </w:p>
        </w:tc>
        <w:tc>
          <w:tcPr>
            <w:tcW w:w="1481" w:type="pct"/>
            <w:vMerge w:val="continue"/>
            <w:tcBorders>
              <w:left w:val="nil"/>
              <w:right w:val="single" w:color="auto" w:sz="4" w:space="0"/>
            </w:tcBorders>
            <w:shd w:val="clear" w:color="auto" w:fill="auto"/>
            <w:noWrap/>
            <w:vAlign w:val="top"/>
          </w:tcPr>
          <w:p w14:paraId="4654DA09">
            <w:pPr>
              <w:spacing w:after="0" w:line="240" w:lineRule="auto"/>
              <w:jc w:val="both"/>
              <w:rPr>
                <w:rFonts w:ascii="Arial" w:hAnsi="Arial" w:eastAsia="Times New Roman" w:cs="Arial"/>
                <w:sz w:val="24"/>
                <w:szCs w:val="24"/>
                <w:lang w:eastAsia="en-GB"/>
              </w:rPr>
            </w:pPr>
          </w:p>
        </w:tc>
        <w:tc>
          <w:tcPr>
            <w:tcW w:w="635" w:type="pct"/>
            <w:vMerge w:val="continue"/>
            <w:tcBorders>
              <w:left w:val="nil"/>
              <w:right w:val="single" w:color="auto" w:sz="4" w:space="0"/>
            </w:tcBorders>
            <w:shd w:val="clear" w:color="auto" w:fill="auto"/>
            <w:vAlign w:val="center"/>
          </w:tcPr>
          <w:p w14:paraId="3FC039E8">
            <w:pPr>
              <w:spacing w:line="240" w:lineRule="auto"/>
              <w:jc w:val="center"/>
              <w:textAlignment w:val="center"/>
              <w:rPr>
                <w:rFonts w:hint="default" w:ascii="Arial" w:hAnsi="Arial" w:eastAsia="宋体" w:cs="Arial"/>
                <w:color w:val="000000"/>
                <w:sz w:val="24"/>
                <w:szCs w:val="24"/>
                <w:highlight w:val="none"/>
                <w:lang w:val="en-US" w:eastAsia="zh-CN" w:bidi="ar"/>
              </w:rPr>
            </w:pPr>
          </w:p>
        </w:tc>
        <w:tc>
          <w:tcPr>
            <w:tcW w:w="639" w:type="pct"/>
            <w:shd w:val="clear" w:color="auto" w:fill="auto"/>
            <w:vAlign w:val="center"/>
          </w:tcPr>
          <w:p w14:paraId="2BE1D630">
            <w:pPr>
              <w:spacing w:after="0" w:line="240" w:lineRule="auto"/>
              <w:jc w:val="center"/>
              <w:rPr>
                <w:rFonts w:hint="default" w:ascii="Arial" w:hAnsi="Arial" w:eastAsia="Times New Roman" w:cs="Arial"/>
                <w:b w:val="0"/>
                <w:bCs/>
                <w:sz w:val="24"/>
                <w:szCs w:val="24"/>
                <w:lang w:val="en-US" w:eastAsia="en-GB"/>
              </w:rPr>
            </w:pPr>
            <w:r>
              <w:rPr>
                <w:rFonts w:hint="default" w:ascii="Arial" w:hAnsi="Arial" w:eastAsia="Times New Roman" w:cs="Arial"/>
                <w:b w:val="0"/>
                <w:bCs/>
                <w:sz w:val="24"/>
                <w:szCs w:val="24"/>
                <w:lang w:val="en-US" w:eastAsia="en-GB"/>
              </w:rPr>
              <w:t>Lot 4</w:t>
            </w:r>
          </w:p>
        </w:tc>
        <w:tc>
          <w:tcPr>
            <w:tcW w:w="486" w:type="pct"/>
            <w:shd w:val="clear" w:color="auto" w:fill="auto"/>
            <w:vAlign w:val="center"/>
          </w:tcPr>
          <w:p w14:paraId="14242FB3">
            <w:pPr>
              <w:spacing w:after="0" w:line="240" w:lineRule="auto"/>
              <w:jc w:val="center"/>
              <w:rPr>
                <w:rFonts w:hint="default" w:ascii="Arial" w:hAnsi="Arial" w:eastAsia="Times New Roman" w:cs="Arial"/>
                <w:sz w:val="24"/>
                <w:szCs w:val="24"/>
                <w:lang w:val="en-US" w:eastAsia="en-GB"/>
              </w:rPr>
            </w:pPr>
            <w:r>
              <w:rPr>
                <w:rFonts w:hint="default" w:ascii="Arial" w:hAnsi="Arial" w:eastAsia="Times New Roman" w:cs="Arial"/>
                <w:sz w:val="24"/>
                <w:szCs w:val="24"/>
                <w:lang w:val="en-US" w:eastAsia="en-GB"/>
              </w:rPr>
              <w:t>5.91</w:t>
            </w:r>
          </w:p>
        </w:tc>
        <w:tc>
          <w:tcPr>
            <w:tcW w:w="473" w:type="pct"/>
            <w:shd w:val="clear" w:color="auto" w:fill="auto"/>
            <w:vAlign w:val="top"/>
          </w:tcPr>
          <w:p w14:paraId="29282533">
            <w:pPr>
              <w:spacing w:after="0" w:line="240" w:lineRule="auto"/>
              <w:jc w:val="center"/>
              <w:rPr>
                <w:rFonts w:hint="default" w:ascii="Arial" w:hAnsi="Arial" w:eastAsia="Times New Roman" w:cs="Arial"/>
                <w:sz w:val="24"/>
                <w:szCs w:val="24"/>
                <w:lang w:val="en-US" w:eastAsia="en-GB" w:bidi="ar-SA"/>
              </w:rPr>
            </w:pPr>
            <w:r>
              <w:rPr>
                <w:rFonts w:ascii="Arial" w:hAnsi="Arial" w:eastAsia="Times New Roman" w:cs="Arial"/>
                <w:sz w:val="24"/>
                <w:szCs w:val="24"/>
              </w:rPr>
              <w:t>7.41</w:t>
            </w:r>
          </w:p>
        </w:tc>
        <w:tc>
          <w:tcPr>
            <w:tcW w:w="1692" w:type="dxa"/>
            <w:shd w:val="clear" w:color="auto" w:fill="auto"/>
            <w:vAlign w:val="top"/>
          </w:tcPr>
          <w:p w14:paraId="398AAF53">
            <w:pPr>
              <w:spacing w:after="0" w:line="240" w:lineRule="auto"/>
              <w:jc w:val="center"/>
              <w:rPr>
                <w:rFonts w:hint="default" w:ascii="Arial" w:hAnsi="Arial" w:eastAsia="Times New Roman" w:cs="Arial"/>
                <w:sz w:val="24"/>
                <w:szCs w:val="24"/>
                <w:highlight w:val="none"/>
                <w:lang w:val="en-US" w:eastAsia="en-GB"/>
              </w:rPr>
            </w:pPr>
            <w:r>
              <w:rPr>
                <w:rFonts w:ascii="Arial" w:hAnsi="Arial" w:eastAsia="Times New Roman" w:cs="Arial"/>
                <w:sz w:val="24"/>
                <w:szCs w:val="24"/>
              </w:rPr>
              <w:t>27.47</w:t>
            </w:r>
          </w:p>
        </w:tc>
        <w:tc>
          <w:tcPr>
            <w:tcW w:w="447" w:type="pct"/>
            <w:shd w:val="clear" w:color="auto" w:fill="auto"/>
          </w:tcPr>
          <w:p w14:paraId="6AF1279B">
            <w:pPr>
              <w:spacing w:line="240" w:lineRule="auto"/>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0.5</w:t>
            </w:r>
          </w:p>
        </w:tc>
      </w:tr>
      <w:tr w14:paraId="4B859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vMerge w:val="continue"/>
          </w:tcPr>
          <w:p w14:paraId="5FB65AFE">
            <w:pPr>
              <w:pStyle w:val="11"/>
              <w:tabs>
                <w:tab w:val="left" w:pos="176"/>
              </w:tabs>
              <w:spacing w:line="240" w:lineRule="auto"/>
              <w:jc w:val="center"/>
              <w:rPr>
                <w:rFonts w:ascii="Arial" w:hAnsi="Arial" w:eastAsia="Times New Roman" w:cs="Arial"/>
                <w:color w:val="000000"/>
                <w:sz w:val="24"/>
                <w:szCs w:val="24"/>
                <w:highlight w:val="none"/>
                <w:lang w:eastAsia="en-GB"/>
              </w:rPr>
            </w:pPr>
          </w:p>
        </w:tc>
        <w:tc>
          <w:tcPr>
            <w:tcW w:w="1481" w:type="pct"/>
            <w:vMerge w:val="continue"/>
            <w:tcBorders>
              <w:left w:val="nil"/>
              <w:right w:val="single" w:color="auto" w:sz="4" w:space="0"/>
            </w:tcBorders>
            <w:shd w:val="clear" w:color="auto" w:fill="auto"/>
            <w:noWrap/>
            <w:vAlign w:val="top"/>
          </w:tcPr>
          <w:p w14:paraId="2B0BEFF5">
            <w:pPr>
              <w:spacing w:after="0" w:line="240" w:lineRule="auto"/>
              <w:jc w:val="both"/>
              <w:rPr>
                <w:rFonts w:ascii="Arial" w:hAnsi="Arial" w:eastAsia="Times New Roman" w:cs="Arial"/>
                <w:sz w:val="24"/>
                <w:szCs w:val="24"/>
                <w:lang w:eastAsia="en-GB"/>
              </w:rPr>
            </w:pPr>
          </w:p>
        </w:tc>
        <w:tc>
          <w:tcPr>
            <w:tcW w:w="635" w:type="pct"/>
            <w:vMerge w:val="continue"/>
            <w:tcBorders>
              <w:left w:val="nil"/>
              <w:right w:val="single" w:color="auto" w:sz="4" w:space="0"/>
            </w:tcBorders>
            <w:shd w:val="clear" w:color="auto" w:fill="auto"/>
            <w:vAlign w:val="center"/>
          </w:tcPr>
          <w:p w14:paraId="6A51348A">
            <w:pPr>
              <w:spacing w:line="240" w:lineRule="auto"/>
              <w:jc w:val="center"/>
              <w:textAlignment w:val="center"/>
              <w:rPr>
                <w:rFonts w:hint="default" w:ascii="Arial" w:hAnsi="Arial" w:eastAsia="宋体" w:cs="Arial"/>
                <w:color w:val="000000"/>
                <w:sz w:val="24"/>
                <w:szCs w:val="24"/>
                <w:highlight w:val="none"/>
                <w:lang w:val="en-US" w:eastAsia="zh-CN" w:bidi="ar"/>
              </w:rPr>
            </w:pPr>
          </w:p>
        </w:tc>
        <w:tc>
          <w:tcPr>
            <w:tcW w:w="639" w:type="pct"/>
            <w:shd w:val="clear" w:color="auto" w:fill="auto"/>
            <w:vAlign w:val="center"/>
          </w:tcPr>
          <w:p w14:paraId="186D4A2A">
            <w:pPr>
              <w:spacing w:after="0" w:line="240" w:lineRule="auto"/>
              <w:jc w:val="center"/>
              <w:rPr>
                <w:rFonts w:hint="default" w:ascii="Arial" w:hAnsi="Arial" w:eastAsia="Times New Roman" w:cs="Arial"/>
                <w:b w:val="0"/>
                <w:bCs/>
                <w:sz w:val="24"/>
                <w:szCs w:val="24"/>
                <w:lang w:val="en-US" w:eastAsia="en-GB"/>
              </w:rPr>
            </w:pPr>
            <w:r>
              <w:rPr>
                <w:rFonts w:hint="default" w:ascii="Arial" w:hAnsi="Arial" w:eastAsia="Times New Roman" w:cs="Arial"/>
                <w:b w:val="0"/>
                <w:bCs/>
                <w:sz w:val="24"/>
                <w:szCs w:val="24"/>
                <w:lang w:val="en-US" w:eastAsia="en-GB"/>
              </w:rPr>
              <w:t>Lot 5</w:t>
            </w:r>
          </w:p>
        </w:tc>
        <w:tc>
          <w:tcPr>
            <w:tcW w:w="486" w:type="pct"/>
            <w:shd w:val="clear" w:color="auto" w:fill="auto"/>
            <w:vAlign w:val="center"/>
          </w:tcPr>
          <w:p w14:paraId="02C90536">
            <w:pPr>
              <w:spacing w:after="0" w:line="240" w:lineRule="auto"/>
              <w:jc w:val="center"/>
              <w:rPr>
                <w:rFonts w:hint="default" w:ascii="Arial" w:hAnsi="Arial" w:eastAsia="Times New Roman" w:cs="Arial"/>
                <w:sz w:val="24"/>
                <w:szCs w:val="24"/>
                <w:lang w:val="en-US" w:eastAsia="en-GB"/>
              </w:rPr>
            </w:pPr>
            <w:r>
              <w:rPr>
                <w:rFonts w:hint="default" w:ascii="Arial" w:hAnsi="Arial" w:eastAsia="Times New Roman" w:cs="Arial"/>
                <w:sz w:val="24"/>
                <w:szCs w:val="24"/>
                <w:lang w:val="en-US" w:eastAsia="en-GB"/>
              </w:rPr>
              <w:t>59.29</w:t>
            </w:r>
          </w:p>
        </w:tc>
        <w:tc>
          <w:tcPr>
            <w:tcW w:w="473" w:type="pct"/>
            <w:shd w:val="clear" w:color="auto" w:fill="auto"/>
            <w:vAlign w:val="top"/>
          </w:tcPr>
          <w:p w14:paraId="23975D3D">
            <w:pPr>
              <w:spacing w:after="0" w:line="240" w:lineRule="auto"/>
              <w:jc w:val="center"/>
              <w:rPr>
                <w:rFonts w:hint="default" w:ascii="Arial" w:hAnsi="Arial" w:eastAsia="Times New Roman" w:cs="Arial"/>
                <w:sz w:val="24"/>
                <w:szCs w:val="24"/>
                <w:lang w:val="en-US" w:eastAsia="en-GB" w:bidi="ar-SA"/>
              </w:rPr>
            </w:pPr>
            <w:r>
              <w:rPr>
                <w:rFonts w:ascii="Arial" w:hAnsi="Arial" w:eastAsia="Times New Roman" w:cs="Arial"/>
                <w:sz w:val="24"/>
                <w:szCs w:val="24"/>
              </w:rPr>
              <w:t>64.16</w:t>
            </w:r>
          </w:p>
        </w:tc>
        <w:tc>
          <w:tcPr>
            <w:tcW w:w="1692" w:type="dxa"/>
            <w:shd w:val="clear" w:color="auto" w:fill="auto"/>
            <w:vAlign w:val="top"/>
          </w:tcPr>
          <w:p w14:paraId="15A8117D">
            <w:pPr>
              <w:spacing w:after="0" w:line="240" w:lineRule="auto"/>
              <w:jc w:val="center"/>
              <w:rPr>
                <w:rFonts w:hint="default" w:ascii="Arial" w:hAnsi="Arial" w:eastAsia="Times New Roman" w:cs="Arial"/>
                <w:sz w:val="24"/>
                <w:szCs w:val="24"/>
                <w:highlight w:val="none"/>
                <w:lang w:val="en-US" w:eastAsia="en-GB"/>
              </w:rPr>
            </w:pPr>
            <w:r>
              <w:rPr>
                <w:rFonts w:ascii="Arial" w:hAnsi="Arial" w:eastAsia="Times New Roman" w:cs="Arial"/>
                <w:sz w:val="24"/>
                <w:szCs w:val="24"/>
              </w:rPr>
              <w:t>94</w:t>
            </w:r>
          </w:p>
        </w:tc>
        <w:tc>
          <w:tcPr>
            <w:tcW w:w="447" w:type="pct"/>
            <w:shd w:val="clear" w:color="auto" w:fill="auto"/>
          </w:tcPr>
          <w:p w14:paraId="7B67ECEC">
            <w:pPr>
              <w:spacing w:line="240" w:lineRule="auto"/>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0.5</w:t>
            </w:r>
          </w:p>
        </w:tc>
      </w:tr>
      <w:tr w14:paraId="7374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vMerge w:val="continue"/>
          </w:tcPr>
          <w:p w14:paraId="11D56412">
            <w:pPr>
              <w:pStyle w:val="11"/>
              <w:tabs>
                <w:tab w:val="left" w:pos="176"/>
              </w:tabs>
              <w:spacing w:line="240" w:lineRule="auto"/>
              <w:jc w:val="center"/>
              <w:rPr>
                <w:rFonts w:ascii="Arial" w:hAnsi="Arial" w:eastAsia="Times New Roman" w:cs="Arial"/>
                <w:color w:val="000000"/>
                <w:sz w:val="24"/>
                <w:szCs w:val="24"/>
                <w:highlight w:val="none"/>
                <w:lang w:eastAsia="en-GB"/>
              </w:rPr>
            </w:pPr>
          </w:p>
        </w:tc>
        <w:tc>
          <w:tcPr>
            <w:tcW w:w="1481" w:type="pct"/>
            <w:vMerge w:val="continue"/>
            <w:tcBorders>
              <w:left w:val="nil"/>
              <w:right w:val="single" w:color="auto" w:sz="4" w:space="0"/>
            </w:tcBorders>
            <w:shd w:val="clear" w:color="auto" w:fill="auto"/>
            <w:noWrap/>
            <w:vAlign w:val="top"/>
          </w:tcPr>
          <w:p w14:paraId="40F21443">
            <w:pPr>
              <w:spacing w:after="0" w:line="240" w:lineRule="auto"/>
              <w:jc w:val="both"/>
              <w:rPr>
                <w:rFonts w:ascii="Arial" w:hAnsi="Arial" w:eastAsia="Times New Roman" w:cs="Arial"/>
                <w:sz w:val="24"/>
                <w:szCs w:val="24"/>
                <w:lang w:eastAsia="en-GB"/>
              </w:rPr>
            </w:pPr>
          </w:p>
        </w:tc>
        <w:tc>
          <w:tcPr>
            <w:tcW w:w="635" w:type="pct"/>
            <w:vMerge w:val="continue"/>
            <w:tcBorders>
              <w:left w:val="nil"/>
              <w:right w:val="single" w:color="auto" w:sz="4" w:space="0"/>
            </w:tcBorders>
            <w:shd w:val="clear" w:color="auto" w:fill="auto"/>
            <w:vAlign w:val="center"/>
          </w:tcPr>
          <w:p w14:paraId="7FCCE32A">
            <w:pPr>
              <w:spacing w:line="240" w:lineRule="auto"/>
              <w:jc w:val="center"/>
              <w:textAlignment w:val="center"/>
              <w:rPr>
                <w:rFonts w:hint="default" w:ascii="Arial" w:hAnsi="Arial" w:eastAsia="宋体" w:cs="Arial"/>
                <w:color w:val="000000"/>
                <w:sz w:val="24"/>
                <w:szCs w:val="24"/>
                <w:highlight w:val="none"/>
                <w:lang w:val="en-US" w:eastAsia="zh-CN" w:bidi="ar"/>
              </w:rPr>
            </w:pPr>
          </w:p>
        </w:tc>
        <w:tc>
          <w:tcPr>
            <w:tcW w:w="639" w:type="pct"/>
            <w:shd w:val="clear" w:color="auto" w:fill="auto"/>
            <w:vAlign w:val="center"/>
          </w:tcPr>
          <w:p w14:paraId="30601487">
            <w:pPr>
              <w:spacing w:after="0" w:line="240" w:lineRule="auto"/>
              <w:jc w:val="center"/>
              <w:rPr>
                <w:rFonts w:hint="default" w:ascii="Arial" w:hAnsi="Arial" w:eastAsia="Times New Roman" w:cs="Arial"/>
                <w:b w:val="0"/>
                <w:bCs/>
                <w:sz w:val="24"/>
                <w:szCs w:val="24"/>
                <w:lang w:val="en-US" w:eastAsia="en-GB"/>
              </w:rPr>
            </w:pPr>
            <w:r>
              <w:rPr>
                <w:rFonts w:hint="default" w:ascii="Arial" w:hAnsi="Arial" w:eastAsia="Times New Roman" w:cs="Arial"/>
                <w:b w:val="0"/>
                <w:bCs/>
                <w:sz w:val="24"/>
                <w:szCs w:val="24"/>
                <w:lang w:val="en-US" w:eastAsia="en-GB"/>
              </w:rPr>
              <w:t>Lot 6</w:t>
            </w:r>
          </w:p>
        </w:tc>
        <w:tc>
          <w:tcPr>
            <w:tcW w:w="486" w:type="pct"/>
            <w:shd w:val="clear" w:color="auto" w:fill="auto"/>
            <w:vAlign w:val="center"/>
          </w:tcPr>
          <w:p w14:paraId="0B065FD9">
            <w:pPr>
              <w:spacing w:after="0" w:line="240" w:lineRule="auto"/>
              <w:jc w:val="center"/>
              <w:rPr>
                <w:rFonts w:hint="default" w:ascii="Arial" w:hAnsi="Arial" w:eastAsia="Times New Roman" w:cs="Arial"/>
                <w:sz w:val="24"/>
                <w:szCs w:val="24"/>
                <w:lang w:val="en-US" w:eastAsia="en-GB"/>
              </w:rPr>
            </w:pPr>
            <w:r>
              <w:rPr>
                <w:rFonts w:hint="default" w:ascii="Arial" w:hAnsi="Arial" w:eastAsia="Times New Roman" w:cs="Arial"/>
                <w:sz w:val="24"/>
                <w:szCs w:val="24"/>
                <w:lang w:val="en-US" w:eastAsia="en-GB"/>
              </w:rPr>
              <w:t>6.05</w:t>
            </w:r>
          </w:p>
        </w:tc>
        <w:tc>
          <w:tcPr>
            <w:tcW w:w="473" w:type="pct"/>
            <w:shd w:val="clear" w:color="auto" w:fill="auto"/>
            <w:vAlign w:val="top"/>
          </w:tcPr>
          <w:p w14:paraId="1499D36C">
            <w:pPr>
              <w:spacing w:after="0" w:line="240" w:lineRule="auto"/>
              <w:jc w:val="center"/>
              <w:rPr>
                <w:rFonts w:hint="default" w:ascii="Arial" w:hAnsi="Arial" w:eastAsia="Times New Roman" w:cs="Arial"/>
                <w:sz w:val="24"/>
                <w:szCs w:val="24"/>
                <w:lang w:val="en-US" w:eastAsia="en-GB" w:bidi="ar-SA"/>
              </w:rPr>
            </w:pPr>
            <w:r>
              <w:rPr>
                <w:rFonts w:ascii="Arial" w:hAnsi="Arial" w:eastAsia="Times New Roman" w:cs="Arial"/>
                <w:sz w:val="24"/>
                <w:szCs w:val="24"/>
              </w:rPr>
              <w:t>8.27</w:t>
            </w:r>
          </w:p>
        </w:tc>
        <w:tc>
          <w:tcPr>
            <w:tcW w:w="1692" w:type="dxa"/>
            <w:shd w:val="clear" w:color="auto" w:fill="auto"/>
            <w:vAlign w:val="top"/>
          </w:tcPr>
          <w:p w14:paraId="409187F7">
            <w:pPr>
              <w:spacing w:after="0" w:line="240" w:lineRule="auto"/>
              <w:jc w:val="center"/>
              <w:rPr>
                <w:rFonts w:hint="default" w:ascii="Arial" w:hAnsi="Arial" w:eastAsia="Times New Roman" w:cs="Arial"/>
                <w:sz w:val="24"/>
                <w:szCs w:val="24"/>
                <w:highlight w:val="none"/>
                <w:lang w:val="en-US" w:eastAsia="en-GB"/>
              </w:rPr>
            </w:pPr>
            <w:r>
              <w:rPr>
                <w:rFonts w:ascii="Arial" w:hAnsi="Arial" w:eastAsia="Times New Roman" w:cs="Arial"/>
                <w:sz w:val="24"/>
                <w:szCs w:val="24"/>
              </w:rPr>
              <w:t>30.22</w:t>
            </w:r>
          </w:p>
        </w:tc>
        <w:tc>
          <w:tcPr>
            <w:tcW w:w="447" w:type="pct"/>
            <w:shd w:val="clear" w:color="auto" w:fill="auto"/>
          </w:tcPr>
          <w:p w14:paraId="4A67EDD0">
            <w:pPr>
              <w:spacing w:line="240" w:lineRule="auto"/>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0.5</w:t>
            </w:r>
          </w:p>
        </w:tc>
      </w:tr>
      <w:tr w14:paraId="7E36B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vMerge w:val="continue"/>
          </w:tcPr>
          <w:p w14:paraId="0931CEF7">
            <w:pPr>
              <w:pStyle w:val="11"/>
              <w:tabs>
                <w:tab w:val="left" w:pos="176"/>
              </w:tabs>
              <w:spacing w:line="240" w:lineRule="auto"/>
              <w:jc w:val="center"/>
              <w:rPr>
                <w:rFonts w:ascii="Arial" w:hAnsi="Arial" w:eastAsia="Times New Roman" w:cs="Arial"/>
                <w:color w:val="000000"/>
                <w:sz w:val="24"/>
                <w:szCs w:val="24"/>
                <w:highlight w:val="none"/>
                <w:lang w:eastAsia="en-GB"/>
              </w:rPr>
            </w:pPr>
          </w:p>
        </w:tc>
        <w:tc>
          <w:tcPr>
            <w:tcW w:w="1481" w:type="pct"/>
            <w:vMerge w:val="continue"/>
            <w:tcBorders>
              <w:left w:val="nil"/>
              <w:bottom w:val="single" w:color="auto" w:sz="4" w:space="0"/>
              <w:right w:val="single" w:color="auto" w:sz="4" w:space="0"/>
            </w:tcBorders>
            <w:shd w:val="clear" w:color="auto" w:fill="auto"/>
            <w:noWrap/>
            <w:vAlign w:val="top"/>
          </w:tcPr>
          <w:p w14:paraId="56A6B1CF">
            <w:pPr>
              <w:spacing w:after="0" w:line="240" w:lineRule="auto"/>
              <w:jc w:val="both"/>
              <w:rPr>
                <w:rFonts w:ascii="Arial" w:hAnsi="Arial" w:eastAsia="Times New Roman" w:cs="Arial"/>
                <w:sz w:val="24"/>
                <w:szCs w:val="24"/>
                <w:lang w:eastAsia="en-GB"/>
              </w:rPr>
            </w:pPr>
          </w:p>
        </w:tc>
        <w:tc>
          <w:tcPr>
            <w:tcW w:w="635" w:type="pct"/>
            <w:vMerge w:val="continue"/>
            <w:tcBorders>
              <w:left w:val="nil"/>
              <w:bottom w:val="single" w:color="auto" w:sz="4" w:space="0"/>
              <w:right w:val="single" w:color="auto" w:sz="4" w:space="0"/>
            </w:tcBorders>
            <w:shd w:val="clear" w:color="auto" w:fill="auto"/>
            <w:vAlign w:val="center"/>
          </w:tcPr>
          <w:p w14:paraId="4188CED0">
            <w:pPr>
              <w:spacing w:line="240" w:lineRule="auto"/>
              <w:jc w:val="center"/>
              <w:textAlignment w:val="center"/>
              <w:rPr>
                <w:rFonts w:hint="default" w:ascii="Arial" w:hAnsi="Arial" w:eastAsia="宋体" w:cs="Arial"/>
                <w:color w:val="000000"/>
                <w:sz w:val="24"/>
                <w:szCs w:val="24"/>
                <w:highlight w:val="none"/>
                <w:lang w:val="en-US" w:eastAsia="zh-CN" w:bidi="ar"/>
              </w:rPr>
            </w:pPr>
          </w:p>
        </w:tc>
        <w:tc>
          <w:tcPr>
            <w:tcW w:w="639" w:type="pct"/>
            <w:shd w:val="clear" w:color="auto" w:fill="auto"/>
            <w:vAlign w:val="center"/>
          </w:tcPr>
          <w:p w14:paraId="1D51D847">
            <w:pPr>
              <w:spacing w:after="0" w:line="240" w:lineRule="auto"/>
              <w:jc w:val="center"/>
              <w:rPr>
                <w:rFonts w:hint="default" w:ascii="Arial" w:hAnsi="Arial" w:eastAsia="Times New Roman" w:cs="Arial"/>
                <w:b w:val="0"/>
                <w:bCs/>
                <w:sz w:val="24"/>
                <w:szCs w:val="24"/>
                <w:lang w:val="en-US" w:eastAsia="en-GB"/>
              </w:rPr>
            </w:pPr>
            <w:r>
              <w:rPr>
                <w:rFonts w:hint="default" w:ascii="Arial" w:hAnsi="Arial" w:eastAsia="Times New Roman" w:cs="Arial"/>
                <w:b w:val="0"/>
                <w:bCs/>
                <w:sz w:val="24"/>
                <w:szCs w:val="24"/>
                <w:lang w:val="en-US" w:eastAsia="en-GB"/>
              </w:rPr>
              <w:t>Lot 7 &amp; 8</w:t>
            </w:r>
          </w:p>
        </w:tc>
        <w:tc>
          <w:tcPr>
            <w:tcW w:w="486" w:type="pct"/>
            <w:shd w:val="clear" w:color="auto" w:fill="auto"/>
            <w:vAlign w:val="center"/>
          </w:tcPr>
          <w:p w14:paraId="1F85B6F2">
            <w:pPr>
              <w:spacing w:after="0" w:line="240" w:lineRule="auto"/>
              <w:jc w:val="center"/>
              <w:rPr>
                <w:rFonts w:hint="default" w:ascii="Arial" w:hAnsi="Arial" w:eastAsia="Times New Roman" w:cs="Arial"/>
                <w:sz w:val="24"/>
                <w:szCs w:val="24"/>
                <w:lang w:val="en-US" w:eastAsia="en-GB"/>
              </w:rPr>
            </w:pPr>
            <w:r>
              <w:rPr>
                <w:rFonts w:hint="default" w:ascii="Arial" w:hAnsi="Arial" w:eastAsia="Times New Roman" w:cs="Arial"/>
                <w:sz w:val="24"/>
                <w:szCs w:val="24"/>
                <w:lang w:val="en-US" w:eastAsia="en-GB"/>
              </w:rPr>
              <w:t>-</w:t>
            </w:r>
          </w:p>
        </w:tc>
        <w:tc>
          <w:tcPr>
            <w:tcW w:w="473" w:type="pct"/>
            <w:shd w:val="clear" w:color="auto" w:fill="auto"/>
            <w:vAlign w:val="top"/>
          </w:tcPr>
          <w:p w14:paraId="0BDB3E3D">
            <w:pPr>
              <w:spacing w:after="0" w:line="240" w:lineRule="auto"/>
              <w:jc w:val="center"/>
              <w:rPr>
                <w:rFonts w:hint="default" w:ascii="Arial" w:hAnsi="Arial" w:eastAsia="Times New Roman" w:cs="Arial"/>
                <w:sz w:val="24"/>
                <w:szCs w:val="24"/>
                <w:lang w:val="en-US" w:eastAsia="en-GB" w:bidi="ar-SA"/>
              </w:rPr>
            </w:pPr>
            <w:r>
              <w:rPr>
                <w:rFonts w:ascii="Arial" w:hAnsi="Arial" w:eastAsia="Times New Roman" w:cs="Arial"/>
                <w:sz w:val="24"/>
                <w:szCs w:val="24"/>
              </w:rPr>
              <w:t>0</w:t>
            </w:r>
          </w:p>
        </w:tc>
        <w:tc>
          <w:tcPr>
            <w:tcW w:w="1692" w:type="dxa"/>
            <w:shd w:val="clear" w:color="auto" w:fill="auto"/>
            <w:vAlign w:val="top"/>
          </w:tcPr>
          <w:p w14:paraId="18D5B196">
            <w:pPr>
              <w:spacing w:after="0" w:line="240" w:lineRule="auto"/>
              <w:jc w:val="center"/>
              <w:rPr>
                <w:rFonts w:hint="default" w:ascii="Arial" w:hAnsi="Arial" w:eastAsia="Times New Roman" w:cs="Arial"/>
                <w:sz w:val="24"/>
                <w:szCs w:val="24"/>
                <w:highlight w:val="none"/>
                <w:lang w:val="en-US" w:eastAsia="en-GB"/>
              </w:rPr>
            </w:pPr>
            <w:r>
              <w:rPr>
                <w:rFonts w:ascii="Arial" w:hAnsi="Arial" w:eastAsia="Times New Roman" w:cs="Arial"/>
                <w:sz w:val="24"/>
                <w:szCs w:val="24"/>
              </w:rPr>
              <w:t>5</w:t>
            </w:r>
          </w:p>
        </w:tc>
        <w:tc>
          <w:tcPr>
            <w:tcW w:w="447" w:type="pct"/>
            <w:shd w:val="clear" w:color="auto" w:fill="auto"/>
          </w:tcPr>
          <w:p w14:paraId="43A03A2E">
            <w:pPr>
              <w:spacing w:line="240" w:lineRule="auto"/>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0.3</w:t>
            </w:r>
          </w:p>
        </w:tc>
      </w:tr>
      <w:tr w14:paraId="70F1B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tcPr>
          <w:p w14:paraId="62F3CF1F">
            <w:pPr>
              <w:pStyle w:val="11"/>
              <w:numPr>
                <w:ilvl w:val="0"/>
                <w:numId w:val="8"/>
              </w:numPr>
              <w:tabs>
                <w:tab w:val="left" w:pos="176"/>
              </w:tabs>
              <w:spacing w:line="240" w:lineRule="auto"/>
              <w:jc w:val="center"/>
              <w:rPr>
                <w:rFonts w:ascii="Arial" w:hAnsi="Arial" w:eastAsia="Times New Roman" w:cs="Arial"/>
                <w:color w:val="000000"/>
                <w:sz w:val="24"/>
                <w:szCs w:val="24"/>
                <w:highlight w:val="none"/>
                <w:lang w:eastAsia="en-GB"/>
              </w:rPr>
            </w:pPr>
          </w:p>
        </w:tc>
        <w:tc>
          <w:tcPr>
            <w:tcW w:w="1481" w:type="pct"/>
            <w:tcBorders>
              <w:top w:val="nil"/>
              <w:left w:val="nil"/>
              <w:bottom w:val="single" w:color="auto" w:sz="4" w:space="0"/>
              <w:right w:val="single" w:color="auto" w:sz="4" w:space="0"/>
            </w:tcBorders>
            <w:shd w:val="clear" w:color="auto" w:fill="auto"/>
            <w:noWrap/>
            <w:vAlign w:val="top"/>
          </w:tcPr>
          <w:p w14:paraId="7D4BF671">
            <w:pPr>
              <w:spacing w:after="0" w:line="240" w:lineRule="auto"/>
              <w:jc w:val="both"/>
              <w:rPr>
                <w:rFonts w:ascii="Arial" w:hAnsi="Arial" w:eastAsia="Times New Roman" w:cs="Arial"/>
                <w:sz w:val="24"/>
                <w:szCs w:val="24"/>
                <w:lang w:val="en-US" w:eastAsia="zh-CN" w:bidi="ar-SA"/>
              </w:rPr>
            </w:pPr>
            <w:r>
              <w:rPr>
                <w:rFonts w:ascii="Arial" w:hAnsi="Arial" w:cs="Arial"/>
                <w:sz w:val="24"/>
                <w:szCs w:val="24"/>
              </w:rPr>
              <w:t>Meter Gauge Railway</w:t>
            </w:r>
            <w:r>
              <w:rPr>
                <w:rFonts w:hint="default" w:ascii="Arial" w:hAnsi="Arial" w:cs="Arial"/>
                <w:sz w:val="24"/>
                <w:szCs w:val="24"/>
                <w:lang w:val="en-US"/>
              </w:rPr>
              <w:t xml:space="preserve"> line</w:t>
            </w:r>
            <w:r>
              <w:rPr>
                <w:rFonts w:ascii="Arial" w:hAnsi="Arial" w:cs="Arial"/>
                <w:sz w:val="24"/>
                <w:szCs w:val="24"/>
              </w:rPr>
              <w:t xml:space="preserve"> rehabilitation  </w:t>
            </w:r>
          </w:p>
        </w:tc>
        <w:tc>
          <w:tcPr>
            <w:tcW w:w="635" w:type="pct"/>
            <w:tcBorders>
              <w:top w:val="nil"/>
              <w:left w:val="nil"/>
              <w:bottom w:val="single" w:color="auto" w:sz="4" w:space="0"/>
              <w:right w:val="single" w:color="auto" w:sz="4" w:space="0"/>
            </w:tcBorders>
            <w:shd w:val="clear" w:color="auto" w:fill="auto"/>
            <w:vAlign w:val="center"/>
          </w:tcPr>
          <w:p w14:paraId="713925AC">
            <w:pPr>
              <w:spacing w:line="240" w:lineRule="auto"/>
              <w:jc w:val="center"/>
              <w:textAlignment w:val="center"/>
              <w:rPr>
                <w:rFonts w:hint="default" w:ascii="Arial" w:hAnsi="Arial" w:eastAsia="宋体" w:cs="Arial"/>
                <w:color w:val="000000"/>
                <w:sz w:val="24"/>
                <w:szCs w:val="24"/>
                <w:highlight w:val="none"/>
                <w:lang w:val="en-US" w:eastAsia="zh-CN" w:bidi="ar"/>
              </w:rPr>
            </w:pPr>
            <w:r>
              <w:rPr>
                <w:rFonts w:hint="default" w:ascii="Arial" w:hAnsi="Arial" w:eastAsia="宋体" w:cs="Arial"/>
                <w:color w:val="000000"/>
                <w:sz w:val="24"/>
                <w:szCs w:val="24"/>
                <w:highlight w:val="none"/>
                <w:lang w:val="en-US" w:eastAsia="zh-CN" w:bidi="ar"/>
              </w:rPr>
              <w:t xml:space="preserve">%  </w:t>
            </w:r>
          </w:p>
        </w:tc>
        <w:tc>
          <w:tcPr>
            <w:tcW w:w="639" w:type="pct"/>
            <w:shd w:val="clear" w:color="auto" w:fill="auto"/>
            <w:vAlign w:val="center"/>
          </w:tcPr>
          <w:p w14:paraId="70D54A1A">
            <w:pPr>
              <w:spacing w:after="0" w:line="240" w:lineRule="auto"/>
              <w:jc w:val="both"/>
              <w:rPr>
                <w:rFonts w:hint="default" w:ascii="Arial" w:hAnsi="Arial" w:eastAsia="Times New Roman" w:cs="Arial"/>
                <w:b w:val="0"/>
                <w:bCs/>
                <w:sz w:val="24"/>
                <w:szCs w:val="24"/>
                <w:lang w:val="en-US" w:eastAsia="zh-CN" w:bidi="ar-SA"/>
              </w:rPr>
            </w:pPr>
            <w:r>
              <w:rPr>
                <w:rFonts w:ascii="Arial" w:hAnsi="Arial" w:cs="Arial"/>
                <w:sz w:val="24"/>
                <w:szCs w:val="24"/>
              </w:rPr>
              <w:t>% of works completed.</w:t>
            </w:r>
          </w:p>
        </w:tc>
        <w:tc>
          <w:tcPr>
            <w:tcW w:w="486" w:type="pct"/>
            <w:shd w:val="clear" w:color="auto" w:fill="auto"/>
            <w:vAlign w:val="center"/>
          </w:tcPr>
          <w:p w14:paraId="6696D0EA">
            <w:pPr>
              <w:spacing w:after="0" w:line="240" w:lineRule="auto"/>
              <w:jc w:val="center"/>
              <w:rPr>
                <w:rFonts w:hint="default" w:ascii="Arial" w:hAnsi="Arial" w:eastAsia="Times New Roman" w:cs="Arial"/>
                <w:sz w:val="24"/>
                <w:szCs w:val="24"/>
                <w:lang w:val="en-US" w:eastAsia="en-GB" w:bidi="ar-SA"/>
              </w:rPr>
            </w:pPr>
            <w:r>
              <w:rPr>
                <w:rFonts w:hint="default" w:ascii="Arial" w:hAnsi="Arial" w:eastAsia="Times New Roman" w:cs="Arial"/>
                <w:sz w:val="24"/>
                <w:szCs w:val="24"/>
                <w:lang w:val="en-US" w:eastAsia="en-GB" w:bidi="ar-SA"/>
              </w:rPr>
              <w:t>24.05</w:t>
            </w:r>
          </w:p>
        </w:tc>
        <w:tc>
          <w:tcPr>
            <w:tcW w:w="473" w:type="pct"/>
            <w:shd w:val="clear" w:color="auto" w:fill="auto"/>
            <w:vAlign w:val="center"/>
          </w:tcPr>
          <w:p w14:paraId="7DEFDB60">
            <w:pPr>
              <w:spacing w:after="0" w:line="240" w:lineRule="auto"/>
              <w:jc w:val="center"/>
              <w:rPr>
                <w:rFonts w:hint="default" w:ascii="Arial" w:hAnsi="Arial" w:eastAsia="Times New Roman" w:cs="Arial"/>
                <w:sz w:val="24"/>
                <w:szCs w:val="24"/>
                <w:lang w:val="en-US" w:eastAsia="en-GB" w:bidi="ar-SA"/>
              </w:rPr>
            </w:pPr>
            <w:r>
              <w:rPr>
                <w:rFonts w:hint="default" w:ascii="Arial" w:hAnsi="Arial" w:eastAsia="Times New Roman" w:cs="Arial"/>
                <w:sz w:val="24"/>
                <w:szCs w:val="24"/>
                <w:lang w:val="en-US" w:eastAsia="en-GB"/>
              </w:rPr>
              <w:t>25.62</w:t>
            </w:r>
          </w:p>
        </w:tc>
        <w:tc>
          <w:tcPr>
            <w:tcW w:w="617" w:type="pct"/>
            <w:shd w:val="clear" w:color="auto" w:fill="auto"/>
            <w:vAlign w:val="center"/>
          </w:tcPr>
          <w:p w14:paraId="45C0C0A8">
            <w:pPr>
              <w:spacing w:after="0" w:line="240" w:lineRule="auto"/>
              <w:jc w:val="center"/>
              <w:rPr>
                <w:rFonts w:hint="default" w:ascii="Arial" w:hAnsi="Arial" w:eastAsia="Times New Roman" w:cs="Arial"/>
                <w:sz w:val="24"/>
                <w:szCs w:val="24"/>
                <w:highlight w:val="yellow"/>
                <w:lang w:val="en-US" w:eastAsia="en-GB" w:bidi="ar-SA"/>
              </w:rPr>
            </w:pPr>
            <w:r>
              <w:rPr>
                <w:rFonts w:hint="default" w:ascii="Arial" w:hAnsi="Arial" w:eastAsia="Times New Roman" w:cs="Arial"/>
                <w:color w:val="000000" w:themeColor="text1"/>
                <w:sz w:val="24"/>
                <w:szCs w:val="24"/>
                <w:highlight w:val="none"/>
                <w:lang w:val="en-US" w:eastAsia="en-GB"/>
                <w14:textFill>
                  <w14:solidFill>
                    <w14:schemeClr w14:val="tx1"/>
                  </w14:solidFill>
                </w14:textFill>
              </w:rPr>
              <w:t>90</w:t>
            </w:r>
          </w:p>
        </w:tc>
        <w:tc>
          <w:tcPr>
            <w:tcW w:w="447" w:type="pct"/>
            <w:shd w:val="clear" w:color="auto" w:fill="auto"/>
          </w:tcPr>
          <w:p w14:paraId="3220B508">
            <w:pPr>
              <w:spacing w:line="240" w:lineRule="auto"/>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1</w:t>
            </w:r>
          </w:p>
        </w:tc>
      </w:tr>
      <w:tr w14:paraId="1C7F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tcPr>
          <w:p w14:paraId="5D99F130">
            <w:pPr>
              <w:pStyle w:val="11"/>
              <w:numPr>
                <w:ilvl w:val="0"/>
                <w:numId w:val="8"/>
              </w:numPr>
              <w:tabs>
                <w:tab w:val="left" w:pos="176"/>
              </w:tabs>
              <w:spacing w:line="240" w:lineRule="auto"/>
              <w:jc w:val="center"/>
              <w:rPr>
                <w:rFonts w:ascii="Arial" w:hAnsi="Arial" w:eastAsia="Times New Roman" w:cs="Arial"/>
                <w:color w:val="000000"/>
                <w:sz w:val="24"/>
                <w:szCs w:val="24"/>
                <w:highlight w:val="none"/>
                <w:lang w:eastAsia="en-GB"/>
              </w:rPr>
            </w:pPr>
          </w:p>
        </w:tc>
        <w:tc>
          <w:tcPr>
            <w:tcW w:w="1481" w:type="pct"/>
            <w:tcBorders>
              <w:top w:val="nil"/>
              <w:left w:val="nil"/>
              <w:bottom w:val="single" w:color="auto" w:sz="4" w:space="0"/>
              <w:right w:val="single" w:color="auto" w:sz="4" w:space="0"/>
            </w:tcBorders>
            <w:shd w:val="clear" w:color="auto" w:fill="auto"/>
            <w:noWrap/>
            <w:vAlign w:val="top"/>
          </w:tcPr>
          <w:p w14:paraId="1699EF55">
            <w:pPr>
              <w:spacing w:after="0" w:line="240" w:lineRule="auto"/>
              <w:jc w:val="both"/>
              <w:rPr>
                <w:rFonts w:ascii="Arial" w:hAnsi="Arial" w:cs="Arial"/>
                <w:sz w:val="24"/>
                <w:szCs w:val="24"/>
              </w:rPr>
            </w:pPr>
            <w:r>
              <w:rPr>
                <w:rFonts w:ascii="Arial" w:hAnsi="Arial" w:eastAsia="Times New Roman" w:cs="Arial"/>
                <w:sz w:val="24"/>
                <w:szCs w:val="24"/>
                <w:lang w:eastAsia="en-GB"/>
              </w:rPr>
              <w:t>Automation of ticketing and related services</w:t>
            </w:r>
          </w:p>
        </w:tc>
        <w:tc>
          <w:tcPr>
            <w:tcW w:w="635" w:type="pct"/>
            <w:tcBorders>
              <w:top w:val="nil"/>
              <w:left w:val="nil"/>
              <w:bottom w:val="single" w:color="auto" w:sz="4" w:space="0"/>
              <w:right w:val="single" w:color="auto" w:sz="4" w:space="0"/>
            </w:tcBorders>
            <w:shd w:val="clear" w:color="auto" w:fill="auto"/>
            <w:vAlign w:val="center"/>
          </w:tcPr>
          <w:p w14:paraId="61035F6C">
            <w:pPr>
              <w:spacing w:line="240" w:lineRule="auto"/>
              <w:jc w:val="center"/>
              <w:textAlignment w:val="center"/>
              <w:rPr>
                <w:rFonts w:hint="default" w:ascii="Arial" w:hAnsi="Arial" w:eastAsia="宋体" w:cs="Arial"/>
                <w:color w:val="000000"/>
                <w:sz w:val="24"/>
                <w:szCs w:val="24"/>
                <w:highlight w:val="none"/>
                <w:lang w:val="en-US" w:eastAsia="zh-CN" w:bidi="ar"/>
              </w:rPr>
            </w:pPr>
            <w:r>
              <w:rPr>
                <w:rFonts w:hint="default" w:ascii="Arial" w:hAnsi="Arial" w:eastAsia="宋体" w:cs="Arial"/>
                <w:color w:val="000000"/>
                <w:sz w:val="24"/>
                <w:szCs w:val="24"/>
                <w:highlight w:val="none"/>
                <w:lang w:val="en-US" w:eastAsia="zh-CN" w:bidi="ar"/>
              </w:rPr>
              <w:t>Minutes</w:t>
            </w:r>
          </w:p>
        </w:tc>
        <w:tc>
          <w:tcPr>
            <w:tcW w:w="639" w:type="pct"/>
            <w:shd w:val="clear" w:color="auto" w:fill="auto"/>
            <w:vAlign w:val="center"/>
          </w:tcPr>
          <w:p w14:paraId="1D712429">
            <w:pPr>
              <w:spacing w:after="0" w:line="240" w:lineRule="auto"/>
              <w:jc w:val="center"/>
              <w:rPr>
                <w:rFonts w:hint="default" w:ascii="Arial" w:hAnsi="Arial" w:eastAsia="Times New Roman" w:cs="Arial"/>
                <w:b/>
                <w:sz w:val="24"/>
                <w:szCs w:val="24"/>
                <w:lang w:val="en-US" w:eastAsia="zh-CN" w:bidi="ar-SA"/>
              </w:rPr>
            </w:pPr>
            <w:r>
              <w:rPr>
                <w:rFonts w:hint="default" w:ascii="Arial" w:hAnsi="Arial" w:eastAsia="Times New Roman" w:cs="Arial"/>
                <w:color w:val="000000"/>
                <w:sz w:val="24"/>
                <w:szCs w:val="24"/>
                <w:lang w:val="en-US" w:eastAsia="en-GB"/>
              </w:rPr>
              <w:t>10</w:t>
            </w:r>
          </w:p>
        </w:tc>
        <w:tc>
          <w:tcPr>
            <w:tcW w:w="486" w:type="pct"/>
            <w:shd w:val="clear" w:color="auto" w:fill="auto"/>
            <w:vAlign w:val="center"/>
          </w:tcPr>
          <w:p w14:paraId="37AF9291">
            <w:pPr>
              <w:spacing w:line="240" w:lineRule="auto"/>
              <w:contextualSpacing/>
              <w:jc w:val="center"/>
              <w:rPr>
                <w:rFonts w:hint="default" w:ascii="Arial" w:hAnsi="Arial" w:eastAsia="Times New Roman" w:cs="Arial"/>
                <w:color w:val="000000"/>
                <w:sz w:val="24"/>
                <w:szCs w:val="24"/>
                <w:lang w:val="en-US" w:eastAsia="en-GB" w:bidi="ar-SA"/>
              </w:rPr>
            </w:pPr>
            <w:r>
              <w:rPr>
                <w:rFonts w:hint="default" w:ascii="Arial" w:hAnsi="Arial" w:eastAsia="Times New Roman" w:cs="Arial"/>
                <w:color w:val="000000"/>
                <w:sz w:val="24"/>
                <w:szCs w:val="24"/>
                <w:lang w:val="en-US" w:eastAsia="en-GB" w:bidi="ar-SA"/>
              </w:rPr>
              <w:t>4.2</w:t>
            </w:r>
          </w:p>
          <w:p w14:paraId="2E8BC5EA">
            <w:pPr>
              <w:spacing w:line="240" w:lineRule="auto"/>
              <w:contextualSpacing/>
              <w:jc w:val="center"/>
              <w:rPr>
                <w:rFonts w:hint="default" w:ascii="Arial" w:hAnsi="Arial" w:eastAsia="Times New Roman" w:cs="Arial"/>
                <w:color w:val="000000"/>
                <w:sz w:val="24"/>
                <w:szCs w:val="24"/>
                <w:lang w:val="en-US" w:eastAsia="en-GB" w:bidi="ar-SA"/>
              </w:rPr>
            </w:pPr>
            <w:r>
              <w:rPr>
                <w:rFonts w:hint="default" w:ascii="Arial" w:hAnsi="Arial" w:eastAsia="Times New Roman" w:cs="Arial"/>
                <w:color w:val="000000"/>
                <w:sz w:val="24"/>
                <w:szCs w:val="24"/>
                <w:lang w:val="en-US" w:eastAsia="en-GB" w:bidi="ar-SA"/>
              </w:rPr>
              <w:t>Minutes</w:t>
            </w:r>
          </w:p>
        </w:tc>
        <w:tc>
          <w:tcPr>
            <w:tcW w:w="473" w:type="pct"/>
            <w:shd w:val="clear" w:color="auto" w:fill="auto"/>
            <w:vAlign w:val="center"/>
          </w:tcPr>
          <w:p w14:paraId="3AE934D5">
            <w:pPr>
              <w:spacing w:line="240" w:lineRule="auto"/>
              <w:contextualSpacing/>
              <w:jc w:val="center"/>
              <w:rPr>
                <w:rFonts w:ascii="Arial" w:hAnsi="Arial" w:eastAsia="Times New Roman" w:cs="Arial"/>
                <w:color w:val="000000"/>
                <w:sz w:val="24"/>
                <w:szCs w:val="24"/>
                <w:lang w:val="en-US" w:eastAsia="en-GB" w:bidi="ar-SA"/>
              </w:rPr>
            </w:pPr>
            <w:r>
              <w:rPr>
                <w:rFonts w:hint="default" w:ascii="Arial" w:hAnsi="Arial" w:eastAsia="Times New Roman" w:cs="Arial"/>
                <w:color w:val="000000"/>
                <w:sz w:val="24"/>
                <w:szCs w:val="24"/>
                <w:lang w:val="en-US" w:eastAsia="en-GB"/>
              </w:rPr>
              <w:t>5</w:t>
            </w:r>
            <w:r>
              <w:rPr>
                <w:rFonts w:ascii="Arial" w:hAnsi="Arial" w:eastAsia="Times New Roman" w:cs="Arial"/>
                <w:color w:val="000000"/>
                <w:sz w:val="24"/>
                <w:szCs w:val="24"/>
                <w:lang w:eastAsia="en-GB"/>
              </w:rPr>
              <w:t xml:space="preserve"> </w:t>
            </w:r>
            <w:r>
              <w:rPr>
                <w:rFonts w:hint="default" w:ascii="Arial" w:hAnsi="Arial" w:eastAsia="Times New Roman" w:cs="Arial"/>
                <w:color w:val="000000"/>
                <w:sz w:val="24"/>
                <w:szCs w:val="24"/>
                <w:lang w:val="en-US" w:eastAsia="en-GB"/>
              </w:rPr>
              <w:t>M</w:t>
            </w:r>
            <w:r>
              <w:rPr>
                <w:rFonts w:ascii="Arial" w:hAnsi="Arial" w:eastAsia="Times New Roman" w:cs="Arial"/>
                <w:color w:val="000000"/>
                <w:sz w:val="24"/>
                <w:szCs w:val="24"/>
                <w:lang w:eastAsia="en-GB"/>
              </w:rPr>
              <w:t>inutes</w:t>
            </w:r>
          </w:p>
        </w:tc>
        <w:tc>
          <w:tcPr>
            <w:tcW w:w="617" w:type="pct"/>
            <w:shd w:val="clear" w:color="auto" w:fill="auto"/>
            <w:vAlign w:val="center"/>
          </w:tcPr>
          <w:p w14:paraId="76BCC3DD">
            <w:pPr>
              <w:spacing w:line="240" w:lineRule="auto"/>
              <w:jc w:val="center"/>
              <w:rPr>
                <w:rFonts w:hint="default" w:ascii="Arial" w:hAnsi="Arial" w:cs="Arial" w:eastAsiaTheme="minorHAnsi"/>
                <w:sz w:val="24"/>
                <w:szCs w:val="24"/>
                <w:lang w:val="en-US" w:eastAsia="en-GB" w:bidi="ar-SA"/>
              </w:rPr>
            </w:pPr>
            <w:r>
              <w:rPr>
                <w:rFonts w:ascii="Arial" w:hAnsi="Arial" w:cs="Arial"/>
                <w:sz w:val="24"/>
                <w:szCs w:val="24"/>
              </w:rPr>
              <w:t>10 Minutes</w:t>
            </w:r>
          </w:p>
        </w:tc>
        <w:tc>
          <w:tcPr>
            <w:tcW w:w="447" w:type="pct"/>
            <w:shd w:val="clear" w:color="auto" w:fill="auto"/>
          </w:tcPr>
          <w:p w14:paraId="4A928064">
            <w:pPr>
              <w:spacing w:line="240" w:lineRule="auto"/>
              <w:contextualSpacing/>
              <w:jc w:val="center"/>
              <w:rPr>
                <w:rFonts w:hint="default" w:ascii="Arial" w:hAnsi="Arial" w:eastAsia="Times New Roman" w:cs="Arial"/>
                <w:color w:val="000000"/>
                <w:sz w:val="24"/>
                <w:szCs w:val="24"/>
                <w:highlight w:val="none"/>
                <w:lang w:val="en-US" w:eastAsia="en-GB"/>
              </w:rPr>
            </w:pPr>
            <w:r>
              <w:rPr>
                <w:rFonts w:hint="default" w:ascii="Arial" w:hAnsi="Arial" w:eastAsia="Times New Roman" w:cs="Arial"/>
                <w:color w:val="000000"/>
                <w:sz w:val="24"/>
                <w:szCs w:val="24"/>
                <w:highlight w:val="none"/>
                <w:lang w:val="en-US" w:eastAsia="en-GB"/>
              </w:rPr>
              <w:t>0.5</w:t>
            </w:r>
          </w:p>
        </w:tc>
      </w:tr>
      <w:tr w14:paraId="7358D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9" w:type="pct"/>
          </w:tcPr>
          <w:p w14:paraId="19910719">
            <w:pPr>
              <w:spacing w:line="240" w:lineRule="auto"/>
              <w:rPr>
                <w:rFonts w:ascii="Arial" w:hAnsi="Arial" w:eastAsia="Times New Roman" w:cs="Arial"/>
                <w:b/>
                <w:bCs/>
                <w:color w:val="000000"/>
                <w:sz w:val="24"/>
                <w:szCs w:val="24"/>
                <w:highlight w:val="none"/>
                <w:lang w:eastAsia="en-GB"/>
              </w:rPr>
            </w:pPr>
          </w:p>
        </w:tc>
        <w:tc>
          <w:tcPr>
            <w:tcW w:w="1481" w:type="pct"/>
            <w:tcBorders>
              <w:top w:val="nil"/>
              <w:left w:val="nil"/>
              <w:bottom w:val="single" w:color="auto" w:sz="4" w:space="0"/>
              <w:right w:val="single" w:color="auto" w:sz="4" w:space="0"/>
            </w:tcBorders>
            <w:shd w:val="clear" w:color="auto" w:fill="auto"/>
            <w:noWrap/>
            <w:vAlign w:val="center"/>
          </w:tcPr>
          <w:p w14:paraId="54D29969">
            <w:pPr>
              <w:spacing w:line="240" w:lineRule="auto"/>
              <w:contextualSpacing/>
              <w:rPr>
                <w:rFonts w:ascii="Arial" w:hAnsi="Arial" w:eastAsia="Times New Roman" w:cs="Arial"/>
                <w:b/>
                <w:bCs/>
                <w:color w:val="000000"/>
                <w:sz w:val="24"/>
                <w:szCs w:val="24"/>
                <w:highlight w:val="none"/>
                <w:lang w:eastAsia="zh-CN"/>
              </w:rPr>
            </w:pPr>
            <w:r>
              <w:rPr>
                <w:rFonts w:ascii="Arial" w:hAnsi="Arial" w:eastAsia="Times New Roman" w:cs="Arial"/>
                <w:b/>
                <w:bCs/>
                <w:color w:val="000000"/>
                <w:sz w:val="24"/>
                <w:szCs w:val="24"/>
                <w:highlight w:val="none"/>
                <w:lang w:eastAsia="zh-CN"/>
              </w:rPr>
              <w:t>TOTAL</w:t>
            </w:r>
          </w:p>
        </w:tc>
        <w:tc>
          <w:tcPr>
            <w:tcW w:w="635" w:type="pct"/>
            <w:tcBorders>
              <w:top w:val="nil"/>
              <w:left w:val="nil"/>
              <w:bottom w:val="single" w:color="auto" w:sz="4" w:space="0"/>
              <w:right w:val="single" w:color="auto" w:sz="4" w:space="0"/>
            </w:tcBorders>
            <w:shd w:val="clear" w:color="auto" w:fill="auto"/>
            <w:vAlign w:val="center"/>
          </w:tcPr>
          <w:p w14:paraId="2E544330">
            <w:pPr>
              <w:spacing w:line="240" w:lineRule="auto"/>
              <w:jc w:val="center"/>
              <w:textAlignment w:val="center"/>
              <w:rPr>
                <w:rFonts w:ascii="Arial" w:hAnsi="Arial" w:eastAsia="宋体" w:cs="Arial"/>
                <w:b/>
                <w:bCs/>
                <w:color w:val="000000"/>
                <w:sz w:val="24"/>
                <w:szCs w:val="24"/>
                <w:highlight w:val="none"/>
                <w:lang w:eastAsia="zh-CN" w:bidi="ar"/>
              </w:rPr>
            </w:pPr>
          </w:p>
        </w:tc>
        <w:tc>
          <w:tcPr>
            <w:tcW w:w="639" w:type="pct"/>
            <w:vAlign w:val="center"/>
          </w:tcPr>
          <w:p w14:paraId="71A24D72">
            <w:pPr>
              <w:spacing w:line="240" w:lineRule="auto"/>
              <w:textAlignment w:val="center"/>
              <w:rPr>
                <w:rFonts w:ascii="Arial" w:hAnsi="Arial" w:eastAsia="宋体" w:cs="Arial"/>
                <w:b/>
                <w:bCs/>
                <w:color w:val="000000"/>
                <w:sz w:val="24"/>
                <w:szCs w:val="24"/>
                <w:highlight w:val="none"/>
                <w:lang w:eastAsia="zh-CN" w:bidi="ar"/>
              </w:rPr>
            </w:pPr>
          </w:p>
        </w:tc>
        <w:tc>
          <w:tcPr>
            <w:tcW w:w="486" w:type="pct"/>
            <w:shd w:val="clear" w:color="auto" w:fill="auto"/>
          </w:tcPr>
          <w:p w14:paraId="7A81F36A">
            <w:pPr>
              <w:spacing w:line="240" w:lineRule="auto"/>
              <w:contextualSpacing/>
              <w:rPr>
                <w:rFonts w:ascii="Arial" w:hAnsi="Arial" w:eastAsia="Times New Roman" w:cs="Arial"/>
                <w:b/>
                <w:bCs/>
                <w:color w:val="000000"/>
                <w:sz w:val="24"/>
                <w:szCs w:val="24"/>
                <w:highlight w:val="none"/>
                <w:lang w:eastAsia="en-GB"/>
              </w:rPr>
            </w:pPr>
          </w:p>
        </w:tc>
        <w:tc>
          <w:tcPr>
            <w:tcW w:w="473" w:type="pct"/>
            <w:shd w:val="clear" w:color="auto" w:fill="auto"/>
          </w:tcPr>
          <w:p w14:paraId="66642403">
            <w:pPr>
              <w:spacing w:line="240" w:lineRule="auto"/>
              <w:contextualSpacing/>
              <w:rPr>
                <w:rFonts w:ascii="Arial" w:hAnsi="Arial" w:eastAsia="Times New Roman" w:cs="Arial"/>
                <w:b/>
                <w:bCs/>
                <w:color w:val="000000"/>
                <w:sz w:val="24"/>
                <w:szCs w:val="24"/>
                <w:highlight w:val="none"/>
                <w:lang w:eastAsia="en-GB"/>
              </w:rPr>
            </w:pPr>
          </w:p>
        </w:tc>
        <w:tc>
          <w:tcPr>
            <w:tcW w:w="617" w:type="pct"/>
            <w:shd w:val="clear" w:color="auto" w:fill="auto"/>
          </w:tcPr>
          <w:p w14:paraId="2AC686B2">
            <w:pPr>
              <w:spacing w:line="240" w:lineRule="auto"/>
              <w:contextualSpacing/>
              <w:rPr>
                <w:rFonts w:ascii="Arial" w:hAnsi="Arial" w:eastAsia="Times New Roman" w:cs="Arial"/>
                <w:b/>
                <w:bCs/>
                <w:color w:val="000000"/>
                <w:sz w:val="24"/>
                <w:szCs w:val="24"/>
                <w:highlight w:val="none"/>
                <w:lang w:eastAsia="en-GB"/>
              </w:rPr>
            </w:pPr>
          </w:p>
        </w:tc>
        <w:tc>
          <w:tcPr>
            <w:tcW w:w="447" w:type="pct"/>
            <w:shd w:val="clear" w:color="auto" w:fill="auto"/>
          </w:tcPr>
          <w:p w14:paraId="1D2A1AF4">
            <w:pPr>
              <w:spacing w:line="240" w:lineRule="auto"/>
              <w:contextualSpacing/>
              <w:jc w:val="center"/>
              <w:rPr>
                <w:rFonts w:ascii="Arial" w:hAnsi="Arial" w:eastAsia="Times New Roman" w:cs="Arial"/>
                <w:b/>
                <w:bCs/>
                <w:color w:val="000000"/>
                <w:sz w:val="24"/>
                <w:szCs w:val="24"/>
                <w:highlight w:val="none"/>
                <w:lang w:eastAsia="en-GB"/>
              </w:rPr>
            </w:pPr>
            <w:r>
              <w:rPr>
                <w:rFonts w:ascii="Arial" w:hAnsi="Arial" w:eastAsia="Times New Roman" w:cs="Arial"/>
                <w:b/>
                <w:bCs/>
                <w:color w:val="000000"/>
                <w:sz w:val="24"/>
                <w:szCs w:val="24"/>
                <w:highlight w:val="none"/>
                <w:lang w:eastAsia="en-GB"/>
              </w:rPr>
              <w:t>25</w:t>
            </w:r>
          </w:p>
        </w:tc>
      </w:tr>
    </w:tbl>
    <w:p w14:paraId="1601AC43">
      <w:pPr>
        <w:spacing w:after="0" w:line="240" w:lineRule="auto"/>
        <w:ind w:left="360"/>
        <w:jc w:val="both"/>
        <w:rPr>
          <w:rFonts w:ascii="Arial" w:hAnsi="Arial" w:cs="Arial"/>
          <w:b/>
          <w:sz w:val="24"/>
          <w:szCs w:val="24"/>
        </w:rPr>
      </w:pPr>
    </w:p>
    <w:p w14:paraId="61D65FBF">
      <w:pPr>
        <w:spacing w:after="0" w:line="276" w:lineRule="auto"/>
        <w:jc w:val="both"/>
        <w:rPr>
          <w:rFonts w:ascii="Arial" w:hAnsi="Arial" w:cs="Arial"/>
          <w:b/>
          <w:sz w:val="24"/>
          <w:szCs w:val="24"/>
        </w:rPr>
      </w:pPr>
    </w:p>
    <w:p w14:paraId="4F07DCC4">
      <w:pPr>
        <w:spacing w:after="0" w:line="276" w:lineRule="auto"/>
        <w:jc w:val="both"/>
        <w:rPr>
          <w:rFonts w:ascii="Arial" w:hAnsi="Arial" w:cs="Arial"/>
          <w:b/>
          <w:sz w:val="24"/>
          <w:szCs w:val="24"/>
        </w:rPr>
      </w:pPr>
    </w:p>
    <w:p w14:paraId="0BA8D5F7">
      <w:pPr>
        <w:spacing w:after="0" w:line="276" w:lineRule="auto"/>
        <w:jc w:val="both"/>
        <w:rPr>
          <w:rFonts w:ascii="Arial" w:hAnsi="Arial" w:cs="Arial"/>
          <w:b/>
          <w:sz w:val="24"/>
          <w:szCs w:val="24"/>
        </w:rPr>
      </w:pPr>
    </w:p>
    <w:p w14:paraId="2095E31F">
      <w:pPr>
        <w:pStyle w:val="11"/>
        <w:spacing w:after="0"/>
        <w:ind w:left="1080"/>
        <w:jc w:val="both"/>
        <w:rPr>
          <w:rFonts w:ascii="Arial" w:hAnsi="Arial" w:cs="Arial"/>
          <w:b/>
          <w:bCs/>
          <w:sz w:val="24"/>
          <w:szCs w:val="24"/>
          <w:lang w:val="sw-KE"/>
        </w:rPr>
      </w:pPr>
      <w:r>
        <w:rPr>
          <w:rFonts w:ascii="Arial" w:hAnsi="Arial" w:cs="Arial"/>
          <w:b/>
          <w:bCs/>
          <w:sz w:val="24"/>
          <w:szCs w:val="24"/>
          <w:lang w:val="sw-KE"/>
        </w:rPr>
        <w:t xml:space="preserve">5. FINANCIAL PERFORMANCE </w:t>
      </w:r>
      <w:r>
        <w:rPr>
          <w:rFonts w:ascii="Arial" w:hAnsi="Arial" w:cs="Arial"/>
          <w:b/>
          <w:bCs/>
          <w:sz w:val="24"/>
          <w:szCs w:val="24"/>
        </w:rPr>
        <w:t>(20%)</w:t>
      </w:r>
    </w:p>
    <w:p w14:paraId="3136DCC7">
      <w:pPr>
        <w:spacing w:after="0"/>
        <w:ind w:left="360" w:right="278"/>
        <w:jc w:val="both"/>
        <w:rPr>
          <w:rFonts w:ascii="Arial" w:hAnsi="Arial" w:cs="Arial"/>
          <w:b/>
          <w:bCs/>
          <w:sz w:val="16"/>
          <w:szCs w:val="16"/>
          <w:lang w:val="sw-KE"/>
        </w:rPr>
      </w:pPr>
    </w:p>
    <w:p w14:paraId="57A6BB99">
      <w:pPr>
        <w:spacing w:after="0" w:line="276" w:lineRule="auto"/>
        <w:jc w:val="both"/>
        <w:rPr>
          <w:rFonts w:ascii="Arial" w:hAnsi="Arial" w:cs="Arial"/>
          <w:b/>
          <w:sz w:val="24"/>
          <w:szCs w:val="24"/>
        </w:rPr>
      </w:pPr>
      <w:r>
        <w:rPr>
          <w:rFonts w:ascii="Arial" w:hAnsi="Arial" w:eastAsia="Times New Roman" w:cs="Arial"/>
          <w:sz w:val="24"/>
          <w:szCs w:val="24"/>
          <w:lang w:eastAsia="en-GB"/>
        </w:rPr>
        <w:t>The metric shall measure compliance with financial Regulations, Circulars, Standards, and Best Practices. It measures how an entity manages financial risks, ensures profitability, controls costs, attracts future investments and customers, and generates a return to shareholder</w:t>
      </w:r>
    </w:p>
    <w:p w14:paraId="355AAF54">
      <w:pPr>
        <w:spacing w:after="0" w:line="360" w:lineRule="auto"/>
        <w:jc w:val="both"/>
        <w:rPr>
          <w:rFonts w:ascii="Arial" w:hAnsi="Arial" w:eastAsia="Times New Roman" w:cs="Arial"/>
          <w:sz w:val="24"/>
          <w:szCs w:val="24"/>
          <w:lang w:eastAsia="en-GB"/>
        </w:rPr>
      </w:pPr>
      <w:r>
        <w:rPr>
          <w:rFonts w:ascii="Arial" w:hAnsi="Arial" w:eastAsia="Times New Roman" w:cs="Arial"/>
          <w:sz w:val="24"/>
          <w:szCs w:val="24"/>
          <w:lang w:eastAsia="en-GB"/>
        </w:rPr>
        <w:t>.</w:t>
      </w:r>
    </w:p>
    <w:tbl>
      <w:tblPr>
        <w:tblStyle w:val="3"/>
        <w:tblW w:w="516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3861"/>
        <w:gridCol w:w="3540"/>
        <w:gridCol w:w="1164"/>
        <w:gridCol w:w="1248"/>
        <w:gridCol w:w="1716"/>
        <w:gridCol w:w="1284"/>
      </w:tblGrid>
      <w:tr w14:paraId="35592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blHeader/>
        </w:trPr>
        <w:tc>
          <w:tcPr>
            <w:tcW w:w="296" w:type="pct"/>
            <w:vMerge w:val="restart"/>
            <w:shd w:val="clear" w:color="auto" w:fill="D8D8D8" w:themeFill="background1" w:themeFillShade="D9"/>
            <w:vAlign w:val="center"/>
          </w:tcPr>
          <w:p w14:paraId="7304F929">
            <w:pPr>
              <w:spacing w:line="240" w:lineRule="auto"/>
              <w:contextualSpacing/>
              <w:jc w:val="center"/>
              <w:rPr>
                <w:rFonts w:ascii="Arial" w:hAnsi="Arial" w:eastAsia="Times New Roman" w:cs="Arial"/>
                <w:b/>
                <w:bCs/>
                <w:color w:val="000000" w:themeColor="text1"/>
                <w:sz w:val="24"/>
                <w:szCs w:val="24"/>
                <w:lang w:eastAsia="en-GB"/>
                <w14:textFill>
                  <w14:solidFill>
                    <w14:schemeClr w14:val="tx1"/>
                  </w14:solidFill>
                </w14:textFill>
              </w:rPr>
            </w:pPr>
            <w:bookmarkStart w:id="6" w:name="_Hlk133937865"/>
            <w:r>
              <w:rPr>
                <w:rFonts w:ascii="Arial" w:hAnsi="Arial" w:eastAsia="Times New Roman" w:cs="Arial"/>
                <w:b/>
                <w:bCs/>
                <w:color w:val="000000" w:themeColor="text1"/>
                <w:sz w:val="24"/>
                <w:szCs w:val="24"/>
                <w:lang w:eastAsia="en-GB"/>
                <w14:textFill>
                  <w14:solidFill>
                    <w14:schemeClr w14:val="tx1"/>
                  </w14:solidFill>
                </w14:textFill>
              </w:rPr>
              <w:t>SN</w:t>
            </w:r>
          </w:p>
        </w:tc>
        <w:tc>
          <w:tcPr>
            <w:tcW w:w="1417" w:type="pct"/>
            <w:vMerge w:val="restart"/>
            <w:shd w:val="clear" w:color="auto" w:fill="D8D8D8" w:themeFill="background1" w:themeFillShade="D9"/>
            <w:noWrap/>
            <w:vAlign w:val="center"/>
          </w:tcPr>
          <w:p w14:paraId="20D79D52">
            <w:pPr>
              <w:spacing w:line="240" w:lineRule="auto"/>
              <w:contextualSpacing/>
              <w:jc w:val="center"/>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b/>
                <w:color w:val="000000" w:themeColor="text1"/>
                <w:sz w:val="24"/>
                <w:szCs w:val="24"/>
                <w:lang w:val="en-GB" w:eastAsia="en-GB"/>
                <w14:textFill>
                  <w14:solidFill>
                    <w14:schemeClr w14:val="tx1"/>
                  </w14:solidFill>
                </w14:textFill>
              </w:rPr>
              <w:t>Key Performance Indicators</w:t>
            </w:r>
          </w:p>
        </w:tc>
        <w:tc>
          <w:tcPr>
            <w:tcW w:w="1299" w:type="pct"/>
            <w:vMerge w:val="restart"/>
            <w:shd w:val="clear" w:color="auto" w:fill="D8D8D8" w:themeFill="background1" w:themeFillShade="D9"/>
            <w:vAlign w:val="center"/>
          </w:tcPr>
          <w:p w14:paraId="03C01298">
            <w:pPr>
              <w:spacing w:after="0" w:line="240" w:lineRule="auto"/>
              <w:contextualSpacing/>
              <w:jc w:val="center"/>
              <w:rPr>
                <w:rFonts w:ascii="Arial" w:hAnsi="Arial" w:eastAsia="Times New Roman" w:cs="Arial"/>
                <w:b/>
                <w:color w:val="000000" w:themeColor="text1"/>
                <w:sz w:val="24"/>
                <w:szCs w:val="24"/>
                <w:lang w:eastAsia="en-GB"/>
                <w14:textFill>
                  <w14:solidFill>
                    <w14:schemeClr w14:val="tx1"/>
                  </w14:solidFill>
                </w14:textFill>
              </w:rPr>
            </w:pPr>
            <w:r>
              <w:rPr>
                <w:rFonts w:ascii="Arial" w:hAnsi="Arial" w:eastAsia="Times New Roman" w:cs="Arial"/>
                <w:b/>
                <w:color w:val="000000" w:themeColor="text1"/>
                <w:sz w:val="24"/>
                <w:szCs w:val="24"/>
                <w:lang w:eastAsia="en-GB"/>
                <w14:textFill>
                  <w14:solidFill>
                    <w14:schemeClr w14:val="tx1"/>
                  </w14:solidFill>
                </w14:textFill>
              </w:rPr>
              <w:t>Benchmark</w:t>
            </w:r>
          </w:p>
        </w:tc>
        <w:tc>
          <w:tcPr>
            <w:tcW w:w="885" w:type="pct"/>
            <w:gridSpan w:val="2"/>
            <w:shd w:val="clear" w:color="auto" w:fill="D8D8D8" w:themeFill="background1" w:themeFillShade="D9"/>
            <w:vAlign w:val="center"/>
          </w:tcPr>
          <w:p w14:paraId="7A95F961">
            <w:pPr>
              <w:spacing w:line="240" w:lineRule="auto"/>
              <w:contextualSpacing/>
              <w:jc w:val="center"/>
              <w:rPr>
                <w:rFonts w:ascii="Arial" w:hAnsi="Arial" w:eastAsia="Times New Roman" w:cs="Arial"/>
                <w:b/>
                <w:color w:val="000000" w:themeColor="text1"/>
                <w:sz w:val="24"/>
                <w:szCs w:val="24"/>
                <w:lang w:eastAsia="en-GB"/>
                <w14:textFill>
                  <w14:solidFill>
                    <w14:schemeClr w14:val="tx1"/>
                  </w14:solidFill>
                </w14:textFill>
              </w:rPr>
            </w:pPr>
            <w:r>
              <w:rPr>
                <w:rFonts w:ascii="Arial" w:hAnsi="Arial" w:eastAsia="Times New Roman" w:cs="Arial"/>
                <w:b/>
                <w:color w:val="000000" w:themeColor="text1"/>
                <w:sz w:val="24"/>
                <w:szCs w:val="24"/>
                <w:lang w:val="en-GB" w:eastAsia="en-GB"/>
                <w14:textFill>
                  <w14:solidFill>
                    <w14:schemeClr w14:val="tx1"/>
                  </w14:solidFill>
                </w14:textFill>
              </w:rPr>
              <w:t>Baseline</w:t>
            </w:r>
            <w:r>
              <w:rPr>
                <w:rFonts w:ascii="Arial" w:hAnsi="Arial" w:eastAsia="Times New Roman" w:cs="Arial"/>
                <w:b/>
                <w:color w:val="000000" w:themeColor="text1"/>
                <w:sz w:val="24"/>
                <w:szCs w:val="24"/>
                <w:lang w:eastAsia="en-GB"/>
                <w14:textFill>
                  <w14:solidFill>
                    <w14:schemeClr w14:val="tx1"/>
                  </w14:solidFill>
                </w14:textFill>
              </w:rPr>
              <w:t xml:space="preserve"> Data</w:t>
            </w:r>
          </w:p>
        </w:tc>
        <w:tc>
          <w:tcPr>
            <w:tcW w:w="629" w:type="pct"/>
            <w:shd w:val="clear" w:color="auto" w:fill="D8D8D8" w:themeFill="background1" w:themeFillShade="D9"/>
            <w:vAlign w:val="center"/>
          </w:tcPr>
          <w:p w14:paraId="668CE5DD">
            <w:pPr>
              <w:spacing w:line="240" w:lineRule="auto"/>
              <w:contextualSpacing/>
              <w:jc w:val="center"/>
              <w:rPr>
                <w:rFonts w:ascii="Arial" w:hAnsi="Arial" w:eastAsia="Times New Roman" w:cs="Arial"/>
                <w:b/>
                <w:color w:val="000000" w:themeColor="text1"/>
                <w:sz w:val="24"/>
                <w:szCs w:val="24"/>
                <w:lang w:val="en-GB" w:eastAsia="en-GB"/>
                <w14:textFill>
                  <w14:solidFill>
                    <w14:schemeClr w14:val="tx1"/>
                  </w14:solidFill>
                </w14:textFill>
              </w:rPr>
            </w:pPr>
            <w:r>
              <w:rPr>
                <w:rFonts w:ascii="Arial" w:hAnsi="Arial" w:eastAsia="Times New Roman" w:cs="Arial"/>
                <w:b/>
                <w:color w:val="000000" w:themeColor="text1"/>
                <w:sz w:val="24"/>
                <w:szCs w:val="24"/>
                <w:lang w:val="en-GB" w:eastAsia="en-GB"/>
                <w14:textFill>
                  <w14:solidFill>
                    <w14:schemeClr w14:val="tx1"/>
                  </w14:solidFill>
                </w14:textFill>
              </w:rPr>
              <w:t>Indicator Target Value</w:t>
            </w:r>
          </w:p>
        </w:tc>
        <w:tc>
          <w:tcPr>
            <w:tcW w:w="471" w:type="pct"/>
            <w:vMerge w:val="restart"/>
            <w:shd w:val="clear" w:color="auto" w:fill="D8D8D8" w:themeFill="background1" w:themeFillShade="D9"/>
            <w:vAlign w:val="center"/>
          </w:tcPr>
          <w:p w14:paraId="465B3137">
            <w:pPr>
              <w:spacing w:after="0" w:line="240" w:lineRule="auto"/>
              <w:contextualSpacing/>
              <w:jc w:val="center"/>
              <w:rPr>
                <w:rFonts w:ascii="Arial" w:hAnsi="Arial" w:eastAsia="Times New Roman" w:cs="Arial"/>
                <w:b/>
                <w:color w:val="000000" w:themeColor="text1"/>
                <w:sz w:val="24"/>
                <w:szCs w:val="24"/>
                <w:lang w:val="en-GB" w:eastAsia="en-GB"/>
                <w14:textFill>
                  <w14:solidFill>
                    <w14:schemeClr w14:val="tx1"/>
                  </w14:solidFill>
                </w14:textFill>
              </w:rPr>
            </w:pPr>
            <w:r>
              <w:rPr>
                <w:rFonts w:ascii="Arial" w:hAnsi="Arial" w:eastAsia="Times New Roman" w:cs="Arial"/>
                <w:b/>
                <w:color w:val="000000" w:themeColor="text1"/>
                <w:sz w:val="24"/>
                <w:szCs w:val="24"/>
                <w:lang w:val="en-GB" w:eastAsia="en-GB"/>
                <w14:textFill>
                  <w14:solidFill>
                    <w14:schemeClr w14:val="tx1"/>
                  </w14:solidFill>
                </w14:textFill>
              </w:rPr>
              <w:t>Weight</w:t>
            </w:r>
          </w:p>
          <w:p w14:paraId="337BF455">
            <w:pPr>
              <w:spacing w:after="0" w:line="240" w:lineRule="auto"/>
              <w:contextualSpacing/>
              <w:jc w:val="center"/>
              <w:rPr>
                <w:rFonts w:ascii="Arial" w:hAnsi="Arial" w:eastAsia="Times New Roman" w:cs="Arial"/>
                <w:b/>
                <w:color w:val="000000" w:themeColor="text1"/>
                <w:sz w:val="24"/>
                <w:szCs w:val="24"/>
                <w:lang w:val="en-GB" w:eastAsia="en-GB"/>
                <w14:textFill>
                  <w14:solidFill>
                    <w14:schemeClr w14:val="tx1"/>
                  </w14:solidFill>
                </w14:textFill>
              </w:rPr>
            </w:pPr>
            <w:r>
              <w:rPr>
                <w:rFonts w:ascii="Arial" w:hAnsi="Arial" w:eastAsia="Times New Roman" w:cs="Arial"/>
                <w:b/>
                <w:color w:val="000000" w:themeColor="text1"/>
                <w:sz w:val="24"/>
                <w:szCs w:val="24"/>
                <w:lang w:val="en-GB" w:eastAsia="en-GB"/>
                <w14:textFill>
                  <w14:solidFill>
                    <w14:schemeClr w14:val="tx1"/>
                  </w14:solidFill>
                </w14:textFill>
              </w:rPr>
              <w:t>(%)</w:t>
            </w:r>
          </w:p>
        </w:tc>
      </w:tr>
      <w:tr w14:paraId="413DD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blHeader/>
        </w:trPr>
        <w:tc>
          <w:tcPr>
            <w:tcW w:w="296" w:type="pct"/>
            <w:vMerge w:val="continue"/>
            <w:shd w:val="clear" w:color="auto" w:fill="D8D8D8" w:themeFill="background1" w:themeFillShade="D9"/>
            <w:vAlign w:val="center"/>
          </w:tcPr>
          <w:p w14:paraId="37A7DF20">
            <w:pPr>
              <w:spacing w:line="240" w:lineRule="auto"/>
              <w:contextualSpacing/>
              <w:jc w:val="center"/>
              <w:rPr>
                <w:rFonts w:ascii="Arial" w:hAnsi="Arial" w:eastAsia="Times New Roman" w:cs="Arial"/>
                <w:color w:val="000000" w:themeColor="text1"/>
                <w:sz w:val="24"/>
                <w:szCs w:val="24"/>
                <w:lang w:eastAsia="en-GB"/>
                <w14:textFill>
                  <w14:solidFill>
                    <w14:schemeClr w14:val="tx1"/>
                  </w14:solidFill>
                </w14:textFill>
              </w:rPr>
            </w:pPr>
          </w:p>
        </w:tc>
        <w:tc>
          <w:tcPr>
            <w:tcW w:w="1417" w:type="pct"/>
            <w:vMerge w:val="continue"/>
            <w:shd w:val="clear" w:color="auto" w:fill="D8D8D8" w:themeFill="background1" w:themeFillShade="D9"/>
            <w:noWrap/>
            <w:vAlign w:val="center"/>
          </w:tcPr>
          <w:p w14:paraId="3E279DAD">
            <w:pPr>
              <w:spacing w:line="240" w:lineRule="auto"/>
              <w:contextualSpacing/>
              <w:jc w:val="center"/>
              <w:rPr>
                <w:rFonts w:ascii="Arial" w:hAnsi="Arial" w:eastAsia="Times New Roman" w:cs="Arial"/>
                <w:b/>
                <w:color w:val="000000" w:themeColor="text1"/>
                <w:sz w:val="24"/>
                <w:szCs w:val="24"/>
                <w:lang w:val="en-GB" w:eastAsia="en-GB"/>
                <w14:textFill>
                  <w14:solidFill>
                    <w14:schemeClr w14:val="tx1"/>
                  </w14:solidFill>
                </w14:textFill>
              </w:rPr>
            </w:pPr>
          </w:p>
        </w:tc>
        <w:tc>
          <w:tcPr>
            <w:tcW w:w="1299" w:type="pct"/>
            <w:vMerge w:val="continue"/>
            <w:shd w:val="clear" w:color="auto" w:fill="D8D8D8" w:themeFill="background1" w:themeFillShade="D9"/>
            <w:vAlign w:val="center"/>
          </w:tcPr>
          <w:p w14:paraId="1BB860BB">
            <w:pPr>
              <w:spacing w:line="240" w:lineRule="auto"/>
              <w:contextualSpacing/>
              <w:jc w:val="center"/>
              <w:rPr>
                <w:rFonts w:ascii="Arial" w:hAnsi="Arial" w:eastAsia="Times New Roman" w:cs="Arial"/>
                <w:b/>
                <w:color w:val="000000" w:themeColor="text1"/>
                <w:sz w:val="24"/>
                <w:szCs w:val="24"/>
                <w:lang w:val="en-GB" w:eastAsia="en-GB"/>
                <w14:textFill>
                  <w14:solidFill>
                    <w14:schemeClr w14:val="tx1"/>
                  </w14:solidFill>
                </w14:textFill>
              </w:rPr>
            </w:pPr>
          </w:p>
        </w:tc>
        <w:tc>
          <w:tcPr>
            <w:tcW w:w="427" w:type="pct"/>
            <w:shd w:val="clear" w:color="auto" w:fill="D8D8D8" w:themeFill="background1" w:themeFillShade="D9"/>
            <w:vAlign w:val="center"/>
          </w:tcPr>
          <w:p w14:paraId="0B6393B8">
            <w:pPr>
              <w:spacing w:line="240" w:lineRule="auto"/>
              <w:contextualSpacing/>
              <w:jc w:val="center"/>
              <w:rPr>
                <w:rFonts w:ascii="Arial" w:hAnsi="Arial" w:eastAsia="Times New Roman" w:cs="Arial"/>
                <w:b/>
                <w:color w:val="000000" w:themeColor="text1"/>
                <w:sz w:val="24"/>
                <w:szCs w:val="24"/>
                <w:lang w:val="en-GB" w:eastAsia="en-GB"/>
                <w14:textFill>
                  <w14:solidFill>
                    <w14:schemeClr w14:val="tx1"/>
                  </w14:solidFill>
                </w14:textFill>
              </w:rPr>
            </w:pPr>
            <w:r>
              <w:rPr>
                <w:rFonts w:ascii="Arial" w:hAnsi="Arial" w:eastAsia="Times New Roman" w:cs="Arial"/>
                <w:b/>
                <w:color w:val="000000" w:themeColor="text1"/>
                <w:sz w:val="24"/>
                <w:szCs w:val="24"/>
                <w:lang w:val="en-GB" w:eastAsia="en-GB"/>
                <w14:textFill>
                  <w14:solidFill>
                    <w14:schemeClr w14:val="tx1"/>
                  </w14:solidFill>
                </w14:textFill>
              </w:rPr>
              <w:t>2023/24</w:t>
            </w:r>
          </w:p>
        </w:tc>
        <w:tc>
          <w:tcPr>
            <w:tcW w:w="458" w:type="pct"/>
            <w:shd w:val="clear" w:color="auto" w:fill="D8D8D8" w:themeFill="background1" w:themeFillShade="D9"/>
            <w:vAlign w:val="center"/>
          </w:tcPr>
          <w:p w14:paraId="0626ACA6">
            <w:pPr>
              <w:spacing w:line="240" w:lineRule="auto"/>
              <w:contextualSpacing/>
              <w:jc w:val="center"/>
              <w:rPr>
                <w:rFonts w:ascii="Arial" w:hAnsi="Arial" w:eastAsia="Times New Roman" w:cs="Arial"/>
                <w:b/>
                <w:color w:val="000000" w:themeColor="text1"/>
                <w:sz w:val="24"/>
                <w:szCs w:val="24"/>
                <w:lang w:val="en-GB" w:eastAsia="en-GB"/>
                <w14:textFill>
                  <w14:solidFill>
                    <w14:schemeClr w14:val="tx1"/>
                  </w14:solidFill>
                </w14:textFill>
              </w:rPr>
            </w:pPr>
            <w:r>
              <w:rPr>
                <w:rFonts w:ascii="Arial" w:hAnsi="Arial" w:eastAsia="Times New Roman" w:cs="Arial"/>
                <w:b/>
                <w:color w:val="000000" w:themeColor="text1"/>
                <w:sz w:val="24"/>
                <w:szCs w:val="24"/>
                <w:lang w:val="en-GB" w:eastAsia="en-GB"/>
                <w14:textFill>
                  <w14:solidFill>
                    <w14:schemeClr w14:val="tx1"/>
                  </w14:solidFill>
                </w14:textFill>
              </w:rPr>
              <w:t>2024/25</w:t>
            </w:r>
          </w:p>
        </w:tc>
        <w:tc>
          <w:tcPr>
            <w:tcW w:w="629" w:type="pct"/>
            <w:shd w:val="clear" w:color="auto" w:fill="D8D8D8" w:themeFill="background1" w:themeFillShade="D9"/>
            <w:vAlign w:val="center"/>
          </w:tcPr>
          <w:p w14:paraId="14BA15A1">
            <w:pPr>
              <w:spacing w:line="240" w:lineRule="auto"/>
              <w:contextualSpacing/>
              <w:jc w:val="center"/>
              <w:rPr>
                <w:rFonts w:ascii="Arial" w:hAnsi="Arial" w:eastAsia="Times New Roman" w:cs="Arial"/>
                <w:b/>
                <w:color w:val="000000" w:themeColor="text1"/>
                <w:sz w:val="24"/>
                <w:szCs w:val="24"/>
                <w:lang w:val="en-GB" w:eastAsia="en-GB"/>
                <w14:textFill>
                  <w14:solidFill>
                    <w14:schemeClr w14:val="tx1"/>
                  </w14:solidFill>
                </w14:textFill>
              </w:rPr>
            </w:pPr>
            <w:r>
              <w:rPr>
                <w:rFonts w:ascii="Arial" w:hAnsi="Arial" w:eastAsia="Times New Roman" w:cs="Arial"/>
                <w:b/>
                <w:color w:val="000000" w:themeColor="text1"/>
                <w:sz w:val="24"/>
                <w:szCs w:val="24"/>
                <w:lang w:val="en-GB" w:eastAsia="en-GB"/>
                <w14:textFill>
                  <w14:solidFill>
                    <w14:schemeClr w14:val="tx1"/>
                  </w14:solidFill>
                </w14:textFill>
              </w:rPr>
              <w:t>2025/26</w:t>
            </w:r>
          </w:p>
        </w:tc>
        <w:tc>
          <w:tcPr>
            <w:tcW w:w="471" w:type="pct"/>
            <w:vMerge w:val="continue"/>
            <w:shd w:val="clear" w:color="auto" w:fill="D8D8D8" w:themeFill="background1" w:themeFillShade="D9"/>
            <w:vAlign w:val="center"/>
          </w:tcPr>
          <w:p w14:paraId="41DC733E">
            <w:pPr>
              <w:spacing w:line="240" w:lineRule="auto"/>
              <w:contextualSpacing/>
              <w:jc w:val="center"/>
              <w:rPr>
                <w:rFonts w:ascii="Arial" w:hAnsi="Arial" w:eastAsia="Times New Roman" w:cs="Arial"/>
                <w:b/>
                <w:color w:val="000000" w:themeColor="text1"/>
                <w:sz w:val="24"/>
                <w:szCs w:val="24"/>
                <w:lang w:val="en-GB" w:eastAsia="en-GB"/>
                <w14:textFill>
                  <w14:solidFill>
                    <w14:schemeClr w14:val="tx1"/>
                  </w14:solidFill>
                </w14:textFill>
              </w:rPr>
            </w:pPr>
          </w:p>
        </w:tc>
      </w:tr>
      <w:tr w14:paraId="513D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96" w:type="pct"/>
          </w:tcPr>
          <w:p w14:paraId="7D3C3A52">
            <w:pPr>
              <w:pStyle w:val="11"/>
              <w:numPr>
                <w:ilvl w:val="0"/>
                <w:numId w:val="9"/>
              </w:numPr>
              <w:tabs>
                <w:tab w:val="clear" w:pos="425"/>
              </w:tabs>
              <w:spacing w:line="240" w:lineRule="auto"/>
              <w:ind w:left="645" w:leftChars="0" w:firstLineChars="0"/>
              <w:jc w:val="both"/>
              <w:rPr>
                <w:rFonts w:ascii="Arial" w:hAnsi="Arial" w:eastAsia="Times New Roman" w:cs="Arial"/>
                <w:color w:val="000000" w:themeColor="text1"/>
                <w:sz w:val="24"/>
                <w:szCs w:val="24"/>
                <w:lang w:eastAsia="en-GB"/>
                <w14:textFill>
                  <w14:solidFill>
                    <w14:schemeClr w14:val="tx1"/>
                  </w14:solidFill>
                </w14:textFill>
              </w:rPr>
            </w:pPr>
          </w:p>
        </w:tc>
        <w:tc>
          <w:tcPr>
            <w:tcW w:w="1417" w:type="pct"/>
            <w:shd w:val="clear" w:color="auto" w:fill="auto"/>
            <w:noWrap/>
            <w:vAlign w:val="center"/>
          </w:tcPr>
          <w:p w14:paraId="0A9647C4">
            <w:pPr>
              <w:spacing w:line="240" w:lineRule="auto"/>
              <w:contextualSpacing/>
              <w:jc w:val="both"/>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Gross Profit Margin</w:t>
            </w:r>
          </w:p>
        </w:tc>
        <w:tc>
          <w:tcPr>
            <w:tcW w:w="1299" w:type="pct"/>
          </w:tcPr>
          <w:p w14:paraId="311F4AB5">
            <w:pPr>
              <w:spacing w:line="240" w:lineRule="auto"/>
              <w:contextualSpacing/>
              <w:jc w:val="center"/>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Min 50%</w:t>
            </w:r>
          </w:p>
        </w:tc>
        <w:tc>
          <w:tcPr>
            <w:tcW w:w="427" w:type="pct"/>
            <w:shd w:val="clear" w:color="auto" w:fill="auto"/>
            <w:vAlign w:val="top"/>
          </w:tcPr>
          <w:p w14:paraId="1881C5B7">
            <w:pPr>
              <w:spacing w:line="240" w:lineRule="auto"/>
              <w:contextualSpacing/>
              <w:jc w:val="center"/>
              <w:rPr>
                <w:rFonts w:ascii="Arial" w:hAnsi="Arial" w:eastAsia="Times New Roman" w:cs="Arial"/>
                <w:color w:val="000000"/>
                <w:sz w:val="24"/>
                <w:szCs w:val="24"/>
                <w:lang w:val="en-US" w:eastAsia="en-GB" w:bidi="ar-SA"/>
              </w:rPr>
            </w:pPr>
            <w:r>
              <w:rPr>
                <w:rFonts w:ascii="Arial" w:hAnsi="Arial" w:eastAsia="Times New Roman" w:cs="Arial"/>
                <w:color w:val="000000"/>
                <w:sz w:val="24"/>
                <w:szCs w:val="24"/>
                <w:lang w:eastAsia="en-GB"/>
              </w:rPr>
              <w:t>-3%</w:t>
            </w:r>
          </w:p>
        </w:tc>
        <w:tc>
          <w:tcPr>
            <w:tcW w:w="458" w:type="pct"/>
          </w:tcPr>
          <w:p w14:paraId="458ACDA7">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-12%</w:t>
            </w:r>
          </w:p>
        </w:tc>
        <w:tc>
          <w:tcPr>
            <w:tcW w:w="629" w:type="pct"/>
          </w:tcPr>
          <w:p w14:paraId="79006724">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25%</w:t>
            </w:r>
          </w:p>
        </w:tc>
        <w:tc>
          <w:tcPr>
            <w:tcW w:w="471" w:type="pct"/>
          </w:tcPr>
          <w:p w14:paraId="1F81CA5D">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1</w:t>
            </w:r>
          </w:p>
        </w:tc>
      </w:tr>
      <w:tr w14:paraId="367CF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96" w:type="pct"/>
          </w:tcPr>
          <w:p w14:paraId="2F83900B">
            <w:pPr>
              <w:pStyle w:val="11"/>
              <w:numPr>
                <w:ilvl w:val="0"/>
                <w:numId w:val="9"/>
              </w:numPr>
              <w:tabs>
                <w:tab w:val="clear" w:pos="425"/>
              </w:tabs>
              <w:spacing w:line="240" w:lineRule="auto"/>
              <w:ind w:left="645" w:leftChars="0" w:firstLineChars="0"/>
              <w:jc w:val="both"/>
              <w:rPr>
                <w:rFonts w:ascii="Arial" w:hAnsi="Arial" w:eastAsia="Times New Roman" w:cs="Arial"/>
                <w:color w:val="000000" w:themeColor="text1"/>
                <w:sz w:val="24"/>
                <w:szCs w:val="24"/>
                <w:lang w:eastAsia="en-GB"/>
                <w14:textFill>
                  <w14:solidFill>
                    <w14:schemeClr w14:val="tx1"/>
                  </w14:solidFill>
                </w14:textFill>
              </w:rPr>
            </w:pPr>
          </w:p>
        </w:tc>
        <w:tc>
          <w:tcPr>
            <w:tcW w:w="1417" w:type="pct"/>
            <w:shd w:val="clear" w:color="auto" w:fill="auto"/>
            <w:noWrap/>
            <w:vAlign w:val="center"/>
          </w:tcPr>
          <w:p w14:paraId="6539CCFC">
            <w:pPr>
              <w:spacing w:line="240" w:lineRule="auto"/>
              <w:contextualSpacing/>
              <w:jc w:val="both"/>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EBITDA Margin</w:t>
            </w:r>
          </w:p>
        </w:tc>
        <w:tc>
          <w:tcPr>
            <w:tcW w:w="1299" w:type="pct"/>
          </w:tcPr>
          <w:p w14:paraId="52BB9326">
            <w:pPr>
              <w:spacing w:line="240" w:lineRule="auto"/>
              <w:contextualSpacing/>
              <w:jc w:val="center"/>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Min 45%</w:t>
            </w:r>
          </w:p>
        </w:tc>
        <w:tc>
          <w:tcPr>
            <w:tcW w:w="427" w:type="pct"/>
            <w:shd w:val="clear" w:color="auto" w:fill="auto"/>
            <w:vAlign w:val="top"/>
          </w:tcPr>
          <w:p w14:paraId="0108FE43">
            <w:pPr>
              <w:spacing w:line="240" w:lineRule="auto"/>
              <w:contextualSpacing/>
              <w:jc w:val="center"/>
              <w:rPr>
                <w:rFonts w:ascii="Arial" w:hAnsi="Arial" w:eastAsia="Times New Roman" w:cs="Arial"/>
                <w:color w:val="000000"/>
                <w:sz w:val="24"/>
                <w:szCs w:val="24"/>
                <w:lang w:val="en-US" w:eastAsia="en-GB" w:bidi="ar-SA"/>
              </w:rPr>
            </w:pPr>
            <w:r>
              <w:rPr>
                <w:rFonts w:ascii="Arial" w:hAnsi="Arial" w:eastAsia="Times New Roman" w:cs="Arial"/>
                <w:color w:val="000000"/>
                <w:sz w:val="24"/>
                <w:szCs w:val="24"/>
                <w:lang w:eastAsia="en-GB"/>
              </w:rPr>
              <w:t>-45%</w:t>
            </w:r>
          </w:p>
        </w:tc>
        <w:tc>
          <w:tcPr>
            <w:tcW w:w="458" w:type="pct"/>
          </w:tcPr>
          <w:p w14:paraId="510F0191">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-65%</w:t>
            </w:r>
          </w:p>
        </w:tc>
        <w:tc>
          <w:tcPr>
            <w:tcW w:w="629" w:type="pct"/>
          </w:tcPr>
          <w:p w14:paraId="47BBFE7A">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20%</w:t>
            </w:r>
          </w:p>
        </w:tc>
        <w:tc>
          <w:tcPr>
            <w:tcW w:w="471" w:type="pct"/>
          </w:tcPr>
          <w:p w14:paraId="121E7BB8">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1</w:t>
            </w:r>
          </w:p>
        </w:tc>
      </w:tr>
      <w:tr w14:paraId="3B300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96" w:type="pct"/>
          </w:tcPr>
          <w:p w14:paraId="73FB8F87">
            <w:pPr>
              <w:pStyle w:val="11"/>
              <w:numPr>
                <w:ilvl w:val="0"/>
                <w:numId w:val="9"/>
              </w:numPr>
              <w:tabs>
                <w:tab w:val="clear" w:pos="425"/>
              </w:tabs>
              <w:spacing w:line="240" w:lineRule="auto"/>
              <w:ind w:left="645" w:leftChars="0" w:firstLineChars="0"/>
              <w:jc w:val="both"/>
              <w:rPr>
                <w:rFonts w:ascii="Arial" w:hAnsi="Arial" w:eastAsia="Times New Roman" w:cs="Arial"/>
                <w:color w:val="000000" w:themeColor="text1"/>
                <w:sz w:val="24"/>
                <w:szCs w:val="24"/>
                <w:lang w:eastAsia="en-GB"/>
                <w14:textFill>
                  <w14:solidFill>
                    <w14:schemeClr w14:val="tx1"/>
                  </w14:solidFill>
                </w14:textFill>
              </w:rPr>
            </w:pPr>
          </w:p>
        </w:tc>
        <w:tc>
          <w:tcPr>
            <w:tcW w:w="1417" w:type="pct"/>
            <w:shd w:val="clear" w:color="auto" w:fill="auto"/>
            <w:noWrap/>
            <w:vAlign w:val="center"/>
          </w:tcPr>
          <w:p w14:paraId="14BE1153">
            <w:pPr>
              <w:spacing w:line="240" w:lineRule="auto"/>
              <w:contextualSpacing/>
              <w:jc w:val="both"/>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Operating Margin</w:t>
            </w:r>
          </w:p>
        </w:tc>
        <w:tc>
          <w:tcPr>
            <w:tcW w:w="1299" w:type="pct"/>
          </w:tcPr>
          <w:p w14:paraId="5927D674">
            <w:pPr>
              <w:spacing w:line="240" w:lineRule="auto"/>
              <w:contextualSpacing/>
              <w:jc w:val="center"/>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Min 40%</w:t>
            </w:r>
          </w:p>
        </w:tc>
        <w:tc>
          <w:tcPr>
            <w:tcW w:w="427" w:type="pct"/>
            <w:shd w:val="clear" w:color="auto" w:fill="auto"/>
            <w:vAlign w:val="top"/>
          </w:tcPr>
          <w:p w14:paraId="685AFCFA">
            <w:pPr>
              <w:spacing w:line="240" w:lineRule="auto"/>
              <w:contextualSpacing/>
              <w:jc w:val="center"/>
              <w:rPr>
                <w:rFonts w:ascii="Arial" w:hAnsi="Arial" w:eastAsia="Times New Roman" w:cs="Arial"/>
                <w:color w:val="000000"/>
                <w:sz w:val="24"/>
                <w:szCs w:val="24"/>
                <w:lang w:val="en-US" w:eastAsia="en-GB" w:bidi="ar-SA"/>
              </w:rPr>
            </w:pPr>
            <w:r>
              <w:rPr>
                <w:rFonts w:ascii="Arial" w:hAnsi="Arial" w:eastAsia="Times New Roman" w:cs="Arial"/>
                <w:color w:val="000000"/>
                <w:sz w:val="24"/>
                <w:szCs w:val="24"/>
                <w:lang w:eastAsia="en-GB"/>
              </w:rPr>
              <w:t>-30%</w:t>
            </w:r>
          </w:p>
        </w:tc>
        <w:tc>
          <w:tcPr>
            <w:tcW w:w="458" w:type="pct"/>
          </w:tcPr>
          <w:p w14:paraId="05A7DEB0">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-6%</w:t>
            </w:r>
          </w:p>
        </w:tc>
        <w:tc>
          <w:tcPr>
            <w:tcW w:w="629" w:type="pct"/>
          </w:tcPr>
          <w:p w14:paraId="1416AD94">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15%</w:t>
            </w:r>
          </w:p>
        </w:tc>
        <w:tc>
          <w:tcPr>
            <w:tcW w:w="471" w:type="pct"/>
          </w:tcPr>
          <w:p w14:paraId="450DBD9D">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1</w:t>
            </w:r>
          </w:p>
        </w:tc>
      </w:tr>
      <w:tr w14:paraId="13856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296" w:type="pct"/>
          </w:tcPr>
          <w:p w14:paraId="3CBE2AA2">
            <w:pPr>
              <w:pStyle w:val="11"/>
              <w:numPr>
                <w:ilvl w:val="0"/>
                <w:numId w:val="9"/>
              </w:numPr>
              <w:tabs>
                <w:tab w:val="clear" w:pos="425"/>
              </w:tabs>
              <w:spacing w:line="240" w:lineRule="auto"/>
              <w:ind w:left="645" w:leftChars="0" w:firstLineChars="0"/>
              <w:jc w:val="both"/>
              <w:rPr>
                <w:rFonts w:ascii="Arial" w:hAnsi="Arial" w:eastAsia="Times New Roman" w:cs="Arial"/>
                <w:color w:val="000000" w:themeColor="text1"/>
                <w:sz w:val="24"/>
                <w:szCs w:val="24"/>
                <w:lang w:eastAsia="en-GB"/>
                <w14:textFill>
                  <w14:solidFill>
                    <w14:schemeClr w14:val="tx1"/>
                  </w14:solidFill>
                </w14:textFill>
              </w:rPr>
            </w:pPr>
          </w:p>
        </w:tc>
        <w:tc>
          <w:tcPr>
            <w:tcW w:w="1417" w:type="pct"/>
            <w:shd w:val="clear" w:color="auto" w:fill="auto"/>
            <w:noWrap/>
            <w:vAlign w:val="center"/>
          </w:tcPr>
          <w:p w14:paraId="667667EF">
            <w:pPr>
              <w:spacing w:line="240" w:lineRule="auto"/>
              <w:contextualSpacing/>
              <w:jc w:val="both"/>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Pretax Profit Margin</w:t>
            </w:r>
          </w:p>
        </w:tc>
        <w:tc>
          <w:tcPr>
            <w:tcW w:w="1299" w:type="pct"/>
          </w:tcPr>
          <w:p w14:paraId="5E585F40">
            <w:pPr>
              <w:spacing w:line="240" w:lineRule="auto"/>
              <w:contextualSpacing/>
              <w:jc w:val="center"/>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Min 35%</w:t>
            </w:r>
          </w:p>
        </w:tc>
        <w:tc>
          <w:tcPr>
            <w:tcW w:w="427" w:type="pct"/>
            <w:shd w:val="clear" w:color="auto" w:fill="auto"/>
            <w:vAlign w:val="top"/>
          </w:tcPr>
          <w:p w14:paraId="7F4AFC2E">
            <w:pPr>
              <w:spacing w:line="240" w:lineRule="auto"/>
              <w:contextualSpacing/>
              <w:jc w:val="center"/>
              <w:rPr>
                <w:rFonts w:ascii="Arial" w:hAnsi="Arial" w:eastAsia="Times New Roman" w:cs="Arial"/>
                <w:color w:val="000000"/>
                <w:sz w:val="24"/>
                <w:szCs w:val="24"/>
                <w:lang w:val="en-US" w:eastAsia="en-GB" w:bidi="ar-SA"/>
              </w:rPr>
            </w:pPr>
            <w:r>
              <w:rPr>
                <w:rFonts w:ascii="Arial" w:hAnsi="Arial" w:eastAsia="Times New Roman" w:cs="Arial"/>
                <w:color w:val="000000"/>
                <w:sz w:val="24"/>
                <w:szCs w:val="24"/>
                <w:lang w:eastAsia="en-GB"/>
              </w:rPr>
              <w:t>-38%</w:t>
            </w:r>
          </w:p>
        </w:tc>
        <w:tc>
          <w:tcPr>
            <w:tcW w:w="458" w:type="pct"/>
          </w:tcPr>
          <w:p w14:paraId="7AB95A0F">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-90%</w:t>
            </w:r>
          </w:p>
        </w:tc>
        <w:tc>
          <w:tcPr>
            <w:tcW w:w="629" w:type="pct"/>
          </w:tcPr>
          <w:p w14:paraId="33C0DA46">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15%</w:t>
            </w:r>
          </w:p>
        </w:tc>
        <w:tc>
          <w:tcPr>
            <w:tcW w:w="471" w:type="pct"/>
          </w:tcPr>
          <w:p w14:paraId="08828DC5">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1</w:t>
            </w:r>
          </w:p>
        </w:tc>
      </w:tr>
      <w:tr w14:paraId="75DC8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96" w:type="pct"/>
          </w:tcPr>
          <w:p w14:paraId="7FA6167C">
            <w:pPr>
              <w:pStyle w:val="11"/>
              <w:numPr>
                <w:ilvl w:val="0"/>
                <w:numId w:val="9"/>
              </w:numPr>
              <w:tabs>
                <w:tab w:val="clear" w:pos="425"/>
              </w:tabs>
              <w:spacing w:line="240" w:lineRule="auto"/>
              <w:ind w:left="645" w:leftChars="0" w:firstLineChars="0"/>
              <w:jc w:val="both"/>
              <w:rPr>
                <w:rFonts w:ascii="Arial" w:hAnsi="Arial" w:eastAsia="Times New Roman" w:cs="Arial"/>
                <w:color w:val="000000" w:themeColor="text1"/>
                <w:sz w:val="24"/>
                <w:szCs w:val="24"/>
                <w:lang w:eastAsia="en-GB"/>
                <w14:textFill>
                  <w14:solidFill>
                    <w14:schemeClr w14:val="tx1"/>
                  </w14:solidFill>
                </w14:textFill>
              </w:rPr>
            </w:pPr>
          </w:p>
        </w:tc>
        <w:tc>
          <w:tcPr>
            <w:tcW w:w="1417" w:type="pct"/>
            <w:shd w:val="clear" w:color="auto" w:fill="auto"/>
            <w:noWrap/>
            <w:vAlign w:val="center"/>
          </w:tcPr>
          <w:p w14:paraId="21B99E1E">
            <w:pPr>
              <w:spacing w:line="240" w:lineRule="auto"/>
              <w:contextualSpacing/>
              <w:jc w:val="both"/>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Net Profit Margin</w:t>
            </w:r>
          </w:p>
        </w:tc>
        <w:tc>
          <w:tcPr>
            <w:tcW w:w="1299" w:type="pct"/>
          </w:tcPr>
          <w:p w14:paraId="35D08941">
            <w:pPr>
              <w:spacing w:line="240" w:lineRule="auto"/>
              <w:contextualSpacing/>
              <w:jc w:val="center"/>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Min 15%</w:t>
            </w:r>
          </w:p>
        </w:tc>
        <w:tc>
          <w:tcPr>
            <w:tcW w:w="427" w:type="pct"/>
            <w:shd w:val="clear" w:color="auto" w:fill="auto"/>
            <w:vAlign w:val="top"/>
          </w:tcPr>
          <w:p w14:paraId="1C2E4274">
            <w:pPr>
              <w:spacing w:line="240" w:lineRule="auto"/>
              <w:contextualSpacing/>
              <w:jc w:val="center"/>
              <w:rPr>
                <w:rFonts w:ascii="Arial" w:hAnsi="Arial" w:eastAsia="Times New Roman" w:cs="Arial"/>
                <w:color w:val="000000"/>
                <w:sz w:val="24"/>
                <w:szCs w:val="24"/>
                <w:lang w:val="en-US" w:eastAsia="en-GB" w:bidi="ar-SA"/>
              </w:rPr>
            </w:pPr>
            <w:r>
              <w:rPr>
                <w:rFonts w:ascii="Arial" w:hAnsi="Arial" w:eastAsia="Times New Roman" w:cs="Arial"/>
                <w:color w:val="000000"/>
                <w:sz w:val="24"/>
                <w:szCs w:val="24"/>
                <w:lang w:eastAsia="en-GB"/>
              </w:rPr>
              <w:t>-20%</w:t>
            </w:r>
          </w:p>
        </w:tc>
        <w:tc>
          <w:tcPr>
            <w:tcW w:w="458" w:type="pct"/>
          </w:tcPr>
          <w:p w14:paraId="35B82CB1">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-73%</w:t>
            </w:r>
          </w:p>
        </w:tc>
        <w:tc>
          <w:tcPr>
            <w:tcW w:w="629" w:type="pct"/>
          </w:tcPr>
          <w:p w14:paraId="75973FE4">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10%</w:t>
            </w:r>
          </w:p>
        </w:tc>
        <w:tc>
          <w:tcPr>
            <w:tcW w:w="471" w:type="pct"/>
          </w:tcPr>
          <w:p w14:paraId="467AF381">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1</w:t>
            </w:r>
          </w:p>
        </w:tc>
      </w:tr>
      <w:tr w14:paraId="5D40D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96" w:type="pct"/>
          </w:tcPr>
          <w:p w14:paraId="286AEBBC">
            <w:pPr>
              <w:pStyle w:val="11"/>
              <w:numPr>
                <w:ilvl w:val="0"/>
                <w:numId w:val="9"/>
              </w:numPr>
              <w:tabs>
                <w:tab w:val="clear" w:pos="425"/>
              </w:tabs>
              <w:spacing w:line="240" w:lineRule="auto"/>
              <w:ind w:left="645" w:leftChars="0" w:firstLineChars="0"/>
              <w:jc w:val="both"/>
              <w:rPr>
                <w:rFonts w:ascii="Arial" w:hAnsi="Arial" w:eastAsia="Times New Roman" w:cs="Arial"/>
                <w:color w:val="000000" w:themeColor="text1"/>
                <w:sz w:val="24"/>
                <w:szCs w:val="24"/>
                <w:lang w:eastAsia="en-GB"/>
                <w14:textFill>
                  <w14:solidFill>
                    <w14:schemeClr w14:val="tx1"/>
                  </w14:solidFill>
                </w14:textFill>
              </w:rPr>
            </w:pPr>
          </w:p>
        </w:tc>
        <w:tc>
          <w:tcPr>
            <w:tcW w:w="1417" w:type="pct"/>
            <w:shd w:val="clear" w:color="auto" w:fill="auto"/>
            <w:noWrap/>
            <w:vAlign w:val="center"/>
          </w:tcPr>
          <w:p w14:paraId="28E243DF">
            <w:pPr>
              <w:spacing w:line="240" w:lineRule="auto"/>
              <w:contextualSpacing/>
              <w:jc w:val="both"/>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Return on Equity (ROE)</w:t>
            </w:r>
          </w:p>
        </w:tc>
        <w:tc>
          <w:tcPr>
            <w:tcW w:w="1299" w:type="pct"/>
          </w:tcPr>
          <w:p w14:paraId="16C46D71">
            <w:pPr>
              <w:spacing w:line="240" w:lineRule="auto"/>
              <w:contextualSpacing/>
              <w:jc w:val="both"/>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Min 1</w:t>
            </w:r>
            <w:r>
              <w:rPr>
                <w:rFonts w:hint="default" w:ascii="Arial" w:hAnsi="Arial" w:eastAsia="Times New Roman" w:cs="Arial"/>
                <w:color w:val="000000" w:themeColor="text1"/>
                <w:sz w:val="24"/>
                <w:szCs w:val="24"/>
                <w:lang w:val="en-US" w:eastAsia="en-GB"/>
                <w14:textFill>
                  <w14:solidFill>
                    <w14:schemeClr w14:val="tx1"/>
                  </w14:solidFill>
                </w14:textFill>
              </w:rPr>
              <w:t>5</w:t>
            </w:r>
            <w:r>
              <w:rPr>
                <w:rFonts w:ascii="Arial" w:hAnsi="Arial" w:eastAsia="Times New Roman" w:cs="Arial"/>
                <w:color w:val="000000" w:themeColor="text1"/>
                <w:sz w:val="24"/>
                <w:szCs w:val="24"/>
                <w:lang w:eastAsia="en-GB"/>
                <w14:textFill>
                  <w14:solidFill>
                    <w14:schemeClr w14:val="tx1"/>
                  </w14:solidFill>
                </w14:textFill>
              </w:rPr>
              <w:t xml:space="preserve">% for Utilities; Others use Avg. ROE within the specified sector </w:t>
            </w:r>
          </w:p>
        </w:tc>
        <w:tc>
          <w:tcPr>
            <w:tcW w:w="427" w:type="pct"/>
          </w:tcPr>
          <w:p w14:paraId="08A73FF3">
            <w:pPr>
              <w:spacing w:line="240" w:lineRule="auto"/>
              <w:contextualSpacing/>
              <w:jc w:val="center"/>
              <w:rPr>
                <w:rFonts w:ascii="Arial" w:hAnsi="Arial" w:eastAsia="Times New Roman" w:cs="Arial"/>
                <w:bCs/>
                <w:color w:val="000000" w:themeColor="text1"/>
                <w:sz w:val="24"/>
                <w:szCs w:val="24"/>
                <w14:textFill>
                  <w14:solidFill>
                    <w14:schemeClr w14:val="tx1"/>
                  </w14:solidFill>
                </w14:textFill>
              </w:rPr>
            </w:pPr>
            <w:r>
              <w:rPr>
                <w:rFonts w:ascii="Arial" w:hAnsi="Arial" w:eastAsia="Times New Roman" w:cs="Arial"/>
                <w:color w:val="000000"/>
                <w:sz w:val="24"/>
                <w:szCs w:val="24"/>
                <w:lang w:eastAsia="en-GB"/>
              </w:rPr>
              <w:t>-3.15%</w:t>
            </w:r>
          </w:p>
        </w:tc>
        <w:tc>
          <w:tcPr>
            <w:tcW w:w="458" w:type="pct"/>
          </w:tcPr>
          <w:p w14:paraId="134D1416">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-90%</w:t>
            </w:r>
          </w:p>
        </w:tc>
        <w:tc>
          <w:tcPr>
            <w:tcW w:w="629" w:type="pct"/>
          </w:tcPr>
          <w:p w14:paraId="0F085C6C">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15%</w:t>
            </w:r>
          </w:p>
        </w:tc>
        <w:tc>
          <w:tcPr>
            <w:tcW w:w="471" w:type="pct"/>
          </w:tcPr>
          <w:p w14:paraId="4ECE5933">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1</w:t>
            </w:r>
          </w:p>
        </w:tc>
      </w:tr>
      <w:tr w14:paraId="55EF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96" w:type="pct"/>
          </w:tcPr>
          <w:p w14:paraId="1C38A078">
            <w:pPr>
              <w:pStyle w:val="11"/>
              <w:numPr>
                <w:ilvl w:val="0"/>
                <w:numId w:val="9"/>
              </w:numPr>
              <w:tabs>
                <w:tab w:val="clear" w:pos="425"/>
              </w:tabs>
              <w:spacing w:line="240" w:lineRule="auto"/>
              <w:ind w:left="645" w:leftChars="0" w:firstLineChars="0"/>
              <w:jc w:val="both"/>
              <w:rPr>
                <w:rFonts w:ascii="Arial" w:hAnsi="Arial" w:eastAsia="Times New Roman" w:cs="Arial"/>
                <w:color w:val="000000" w:themeColor="text1"/>
                <w:sz w:val="24"/>
                <w:szCs w:val="24"/>
                <w:lang w:eastAsia="en-GB"/>
                <w14:textFill>
                  <w14:solidFill>
                    <w14:schemeClr w14:val="tx1"/>
                  </w14:solidFill>
                </w14:textFill>
              </w:rPr>
            </w:pPr>
          </w:p>
        </w:tc>
        <w:tc>
          <w:tcPr>
            <w:tcW w:w="1417" w:type="pct"/>
            <w:shd w:val="clear" w:color="auto" w:fill="auto"/>
            <w:noWrap/>
            <w:vAlign w:val="center"/>
          </w:tcPr>
          <w:p w14:paraId="4370D18B">
            <w:pPr>
              <w:spacing w:line="240" w:lineRule="auto"/>
              <w:contextualSpacing/>
              <w:jc w:val="both"/>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Return on Capital Employed (ROCE)</w:t>
            </w:r>
          </w:p>
        </w:tc>
        <w:tc>
          <w:tcPr>
            <w:tcW w:w="1299" w:type="pct"/>
          </w:tcPr>
          <w:p w14:paraId="39D3ADA5">
            <w:pPr>
              <w:spacing w:line="240" w:lineRule="auto"/>
              <w:contextualSpacing/>
              <w:jc w:val="center"/>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Min 20%</w:t>
            </w:r>
          </w:p>
        </w:tc>
        <w:tc>
          <w:tcPr>
            <w:tcW w:w="427" w:type="pct"/>
            <w:shd w:val="clear" w:color="auto" w:fill="auto"/>
            <w:vAlign w:val="top"/>
          </w:tcPr>
          <w:p w14:paraId="08B95D93">
            <w:pPr>
              <w:spacing w:line="240" w:lineRule="auto"/>
              <w:contextualSpacing/>
              <w:jc w:val="center"/>
              <w:rPr>
                <w:rFonts w:ascii="Arial" w:hAnsi="Arial" w:eastAsia="Times New Roman" w:cs="Arial"/>
                <w:color w:val="000000"/>
                <w:sz w:val="24"/>
                <w:szCs w:val="24"/>
                <w:lang w:val="en-US" w:eastAsia="en-GB" w:bidi="ar-SA"/>
              </w:rPr>
            </w:pPr>
            <w:r>
              <w:rPr>
                <w:rFonts w:ascii="Arial" w:hAnsi="Arial" w:eastAsia="Times New Roman" w:cs="Arial"/>
                <w:color w:val="000000"/>
                <w:sz w:val="24"/>
                <w:szCs w:val="24"/>
                <w:lang w:eastAsia="en-GB"/>
              </w:rPr>
              <w:t>-5.46%</w:t>
            </w:r>
          </w:p>
        </w:tc>
        <w:tc>
          <w:tcPr>
            <w:tcW w:w="458" w:type="pct"/>
          </w:tcPr>
          <w:p w14:paraId="4A478095">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-1%</w:t>
            </w:r>
          </w:p>
        </w:tc>
        <w:tc>
          <w:tcPr>
            <w:tcW w:w="629" w:type="pct"/>
          </w:tcPr>
          <w:p w14:paraId="341CA61A">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15%</w:t>
            </w:r>
          </w:p>
        </w:tc>
        <w:tc>
          <w:tcPr>
            <w:tcW w:w="471" w:type="pct"/>
          </w:tcPr>
          <w:p w14:paraId="4A1D0258">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1</w:t>
            </w:r>
          </w:p>
        </w:tc>
      </w:tr>
      <w:tr w14:paraId="7A6E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96" w:type="pct"/>
          </w:tcPr>
          <w:p w14:paraId="6BC17C27">
            <w:pPr>
              <w:pStyle w:val="11"/>
              <w:numPr>
                <w:ilvl w:val="0"/>
                <w:numId w:val="9"/>
              </w:numPr>
              <w:tabs>
                <w:tab w:val="clear" w:pos="425"/>
              </w:tabs>
              <w:spacing w:line="240" w:lineRule="auto"/>
              <w:ind w:left="645" w:leftChars="0" w:firstLineChars="0"/>
              <w:jc w:val="both"/>
              <w:rPr>
                <w:rFonts w:ascii="Arial" w:hAnsi="Arial" w:eastAsia="Times New Roman" w:cs="Arial"/>
                <w:color w:val="000000" w:themeColor="text1"/>
                <w:sz w:val="24"/>
                <w:szCs w:val="24"/>
                <w:lang w:eastAsia="en-GB"/>
                <w14:textFill>
                  <w14:solidFill>
                    <w14:schemeClr w14:val="tx1"/>
                  </w14:solidFill>
                </w14:textFill>
              </w:rPr>
            </w:pPr>
          </w:p>
        </w:tc>
        <w:tc>
          <w:tcPr>
            <w:tcW w:w="1417" w:type="pct"/>
            <w:shd w:val="clear" w:color="auto" w:fill="auto"/>
            <w:noWrap/>
            <w:vAlign w:val="center"/>
          </w:tcPr>
          <w:p w14:paraId="78C4C86B">
            <w:pPr>
              <w:spacing w:line="240" w:lineRule="auto"/>
              <w:contextualSpacing/>
              <w:jc w:val="both"/>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Return on Assets (ROA)</w:t>
            </w:r>
          </w:p>
        </w:tc>
        <w:tc>
          <w:tcPr>
            <w:tcW w:w="1299" w:type="pct"/>
          </w:tcPr>
          <w:p w14:paraId="411BC17A">
            <w:pPr>
              <w:spacing w:line="240" w:lineRule="auto"/>
              <w:contextualSpacing/>
              <w:jc w:val="center"/>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Min 20%</w:t>
            </w:r>
          </w:p>
        </w:tc>
        <w:tc>
          <w:tcPr>
            <w:tcW w:w="427" w:type="pct"/>
            <w:shd w:val="clear" w:color="auto" w:fill="auto"/>
            <w:vAlign w:val="top"/>
          </w:tcPr>
          <w:p w14:paraId="60DA36EA">
            <w:pPr>
              <w:spacing w:line="240" w:lineRule="auto"/>
              <w:contextualSpacing/>
              <w:jc w:val="center"/>
              <w:rPr>
                <w:rFonts w:ascii="Arial" w:hAnsi="Arial" w:eastAsia="Times New Roman" w:cs="Arial"/>
                <w:color w:val="000000"/>
                <w:sz w:val="24"/>
                <w:szCs w:val="24"/>
                <w:lang w:val="en-US" w:eastAsia="en-GB" w:bidi="ar-SA"/>
              </w:rPr>
            </w:pPr>
            <w:r>
              <w:rPr>
                <w:rFonts w:ascii="Arial" w:hAnsi="Arial" w:eastAsia="Times New Roman" w:cs="Arial"/>
                <w:color w:val="000000"/>
                <w:sz w:val="24"/>
                <w:szCs w:val="24"/>
                <w:lang w:eastAsia="en-GB"/>
              </w:rPr>
              <w:t>-0.05%</w:t>
            </w:r>
          </w:p>
        </w:tc>
        <w:tc>
          <w:tcPr>
            <w:tcW w:w="458" w:type="pct"/>
          </w:tcPr>
          <w:p w14:paraId="2E79A7CB">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-0.85%</w:t>
            </w:r>
          </w:p>
        </w:tc>
        <w:tc>
          <w:tcPr>
            <w:tcW w:w="629" w:type="pct"/>
          </w:tcPr>
          <w:p w14:paraId="0C26E919">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10%</w:t>
            </w:r>
          </w:p>
        </w:tc>
        <w:tc>
          <w:tcPr>
            <w:tcW w:w="471" w:type="pct"/>
          </w:tcPr>
          <w:p w14:paraId="4BC90919">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1</w:t>
            </w:r>
          </w:p>
        </w:tc>
      </w:tr>
      <w:tr w14:paraId="27355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96" w:type="pct"/>
          </w:tcPr>
          <w:p w14:paraId="08B7CA42">
            <w:pPr>
              <w:pStyle w:val="11"/>
              <w:numPr>
                <w:ilvl w:val="0"/>
                <w:numId w:val="9"/>
              </w:numPr>
              <w:tabs>
                <w:tab w:val="clear" w:pos="425"/>
              </w:tabs>
              <w:spacing w:line="240" w:lineRule="auto"/>
              <w:ind w:left="645" w:leftChars="0" w:firstLineChars="0"/>
              <w:jc w:val="both"/>
              <w:rPr>
                <w:rFonts w:ascii="Arial" w:hAnsi="Arial" w:eastAsia="Times New Roman" w:cs="Arial"/>
                <w:color w:val="000000" w:themeColor="text1"/>
                <w:sz w:val="24"/>
                <w:szCs w:val="24"/>
                <w:lang w:eastAsia="en-GB"/>
                <w14:textFill>
                  <w14:solidFill>
                    <w14:schemeClr w14:val="tx1"/>
                  </w14:solidFill>
                </w14:textFill>
              </w:rPr>
            </w:pPr>
          </w:p>
        </w:tc>
        <w:tc>
          <w:tcPr>
            <w:tcW w:w="1417" w:type="pct"/>
            <w:shd w:val="clear" w:color="auto" w:fill="auto"/>
            <w:noWrap/>
            <w:vAlign w:val="center"/>
          </w:tcPr>
          <w:p w14:paraId="0DD6F243">
            <w:pPr>
              <w:spacing w:line="240" w:lineRule="auto"/>
              <w:contextualSpacing/>
              <w:jc w:val="both"/>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Current Ratio</w:t>
            </w:r>
          </w:p>
        </w:tc>
        <w:tc>
          <w:tcPr>
            <w:tcW w:w="1299" w:type="pct"/>
          </w:tcPr>
          <w:p w14:paraId="5C40A766">
            <w:pPr>
              <w:spacing w:line="240" w:lineRule="auto"/>
              <w:contextualSpacing/>
              <w:jc w:val="center"/>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2:1</w:t>
            </w:r>
          </w:p>
        </w:tc>
        <w:tc>
          <w:tcPr>
            <w:tcW w:w="427" w:type="pct"/>
            <w:shd w:val="clear" w:color="auto" w:fill="auto"/>
            <w:vAlign w:val="top"/>
          </w:tcPr>
          <w:p w14:paraId="3762DEFA">
            <w:pPr>
              <w:spacing w:line="240" w:lineRule="auto"/>
              <w:contextualSpacing/>
              <w:jc w:val="center"/>
              <w:rPr>
                <w:rFonts w:ascii="Arial" w:hAnsi="Arial" w:eastAsia="Times New Roman" w:cs="Arial"/>
                <w:color w:val="000000"/>
                <w:sz w:val="24"/>
                <w:szCs w:val="24"/>
                <w:lang w:val="en-US" w:eastAsia="en-GB" w:bidi="ar-SA"/>
              </w:rPr>
            </w:pPr>
            <w:r>
              <w:rPr>
                <w:rFonts w:ascii="Arial" w:hAnsi="Arial" w:eastAsia="Times New Roman" w:cs="Arial"/>
                <w:color w:val="000000"/>
                <w:sz w:val="24"/>
                <w:szCs w:val="24"/>
                <w:lang w:eastAsia="en-GB"/>
              </w:rPr>
              <w:t>1.99</w:t>
            </w:r>
          </w:p>
        </w:tc>
        <w:tc>
          <w:tcPr>
            <w:tcW w:w="458" w:type="pct"/>
          </w:tcPr>
          <w:p w14:paraId="6710FE60">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0:86</w:t>
            </w:r>
          </w:p>
        </w:tc>
        <w:tc>
          <w:tcPr>
            <w:tcW w:w="629" w:type="pct"/>
          </w:tcPr>
          <w:p w14:paraId="11FB95C0">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2:1</w:t>
            </w:r>
          </w:p>
        </w:tc>
        <w:tc>
          <w:tcPr>
            <w:tcW w:w="471" w:type="pct"/>
          </w:tcPr>
          <w:p w14:paraId="7BAC974D">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0.5</w:t>
            </w:r>
          </w:p>
        </w:tc>
      </w:tr>
      <w:tr w14:paraId="66F95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96" w:type="pct"/>
          </w:tcPr>
          <w:p w14:paraId="44C254C1">
            <w:pPr>
              <w:pStyle w:val="11"/>
              <w:numPr>
                <w:ilvl w:val="0"/>
                <w:numId w:val="9"/>
              </w:numPr>
              <w:tabs>
                <w:tab w:val="clear" w:pos="425"/>
              </w:tabs>
              <w:spacing w:line="240" w:lineRule="auto"/>
              <w:ind w:left="645" w:leftChars="0" w:firstLineChars="0"/>
              <w:jc w:val="both"/>
              <w:rPr>
                <w:rFonts w:ascii="Arial" w:hAnsi="Arial" w:eastAsia="Times New Roman" w:cs="Arial"/>
                <w:color w:val="000000" w:themeColor="text1"/>
                <w:sz w:val="24"/>
                <w:szCs w:val="24"/>
                <w:lang w:eastAsia="en-GB"/>
                <w14:textFill>
                  <w14:solidFill>
                    <w14:schemeClr w14:val="tx1"/>
                  </w14:solidFill>
                </w14:textFill>
              </w:rPr>
            </w:pPr>
          </w:p>
        </w:tc>
        <w:tc>
          <w:tcPr>
            <w:tcW w:w="1417" w:type="pct"/>
            <w:shd w:val="clear" w:color="auto" w:fill="auto"/>
            <w:noWrap/>
            <w:vAlign w:val="center"/>
          </w:tcPr>
          <w:p w14:paraId="6E3A36B1">
            <w:pPr>
              <w:spacing w:line="240" w:lineRule="auto"/>
              <w:contextualSpacing/>
              <w:jc w:val="both"/>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Quick Ratio</w:t>
            </w:r>
          </w:p>
        </w:tc>
        <w:tc>
          <w:tcPr>
            <w:tcW w:w="1299" w:type="pct"/>
          </w:tcPr>
          <w:p w14:paraId="70FA0EF5">
            <w:pPr>
              <w:spacing w:line="240" w:lineRule="auto"/>
              <w:contextualSpacing/>
              <w:jc w:val="center"/>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1:1</w:t>
            </w:r>
          </w:p>
        </w:tc>
        <w:tc>
          <w:tcPr>
            <w:tcW w:w="427" w:type="pct"/>
            <w:shd w:val="clear" w:color="auto" w:fill="auto"/>
            <w:vAlign w:val="top"/>
          </w:tcPr>
          <w:p w14:paraId="441CC125">
            <w:pPr>
              <w:spacing w:line="240" w:lineRule="auto"/>
              <w:contextualSpacing/>
              <w:jc w:val="center"/>
              <w:rPr>
                <w:rFonts w:ascii="Arial" w:hAnsi="Arial" w:eastAsia="Times New Roman" w:cs="Arial"/>
                <w:color w:val="000000"/>
                <w:sz w:val="24"/>
                <w:szCs w:val="24"/>
                <w:lang w:val="en-US" w:eastAsia="en-GB" w:bidi="ar-SA"/>
              </w:rPr>
            </w:pPr>
            <w:r>
              <w:rPr>
                <w:rFonts w:ascii="Arial" w:hAnsi="Arial" w:eastAsia="Times New Roman" w:cs="Arial"/>
                <w:color w:val="000000"/>
                <w:sz w:val="24"/>
                <w:szCs w:val="24"/>
              </w:rPr>
              <w:t>1.32</w:t>
            </w:r>
          </w:p>
        </w:tc>
        <w:tc>
          <w:tcPr>
            <w:tcW w:w="458" w:type="pct"/>
          </w:tcPr>
          <w:p w14:paraId="1E2A70E6">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0:86</w:t>
            </w:r>
          </w:p>
        </w:tc>
        <w:tc>
          <w:tcPr>
            <w:tcW w:w="629" w:type="pct"/>
            <w:vAlign w:val="top"/>
          </w:tcPr>
          <w:p w14:paraId="5D39F3D5">
            <w:pPr>
              <w:spacing w:line="240" w:lineRule="auto"/>
              <w:contextualSpacing/>
              <w:jc w:val="center"/>
              <w:rPr>
                <w:rFonts w:ascii="Arial" w:hAnsi="Arial" w:eastAsia="Times New Roman" w:cs="Arial"/>
                <w:bCs/>
                <w:color w:val="000000" w:themeColor="text1"/>
                <w:sz w:val="24"/>
                <w:szCs w:val="24"/>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1:1</w:t>
            </w:r>
          </w:p>
        </w:tc>
        <w:tc>
          <w:tcPr>
            <w:tcW w:w="471" w:type="pct"/>
          </w:tcPr>
          <w:p w14:paraId="134C08C6">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0.5</w:t>
            </w:r>
          </w:p>
        </w:tc>
      </w:tr>
      <w:tr w14:paraId="123B2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96" w:type="pct"/>
          </w:tcPr>
          <w:p w14:paraId="06B075E0">
            <w:pPr>
              <w:pStyle w:val="11"/>
              <w:numPr>
                <w:ilvl w:val="0"/>
                <w:numId w:val="9"/>
              </w:numPr>
              <w:tabs>
                <w:tab w:val="clear" w:pos="425"/>
              </w:tabs>
              <w:spacing w:line="240" w:lineRule="auto"/>
              <w:ind w:left="645" w:leftChars="0" w:firstLineChars="0"/>
              <w:jc w:val="both"/>
              <w:rPr>
                <w:rFonts w:ascii="Arial" w:hAnsi="Arial" w:eastAsia="Times New Roman" w:cs="Arial"/>
                <w:color w:val="000000" w:themeColor="text1"/>
                <w:sz w:val="24"/>
                <w:szCs w:val="24"/>
                <w:lang w:eastAsia="en-GB"/>
                <w14:textFill>
                  <w14:solidFill>
                    <w14:schemeClr w14:val="tx1"/>
                  </w14:solidFill>
                </w14:textFill>
              </w:rPr>
            </w:pPr>
          </w:p>
        </w:tc>
        <w:tc>
          <w:tcPr>
            <w:tcW w:w="1417" w:type="pct"/>
            <w:shd w:val="clear" w:color="auto" w:fill="auto"/>
            <w:noWrap/>
            <w:vAlign w:val="center"/>
          </w:tcPr>
          <w:p w14:paraId="3AA6CF5E">
            <w:pPr>
              <w:spacing w:line="240" w:lineRule="auto"/>
              <w:contextualSpacing/>
              <w:jc w:val="both"/>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Operating Cash Flow Ratio</w:t>
            </w:r>
          </w:p>
        </w:tc>
        <w:tc>
          <w:tcPr>
            <w:tcW w:w="1299" w:type="pct"/>
          </w:tcPr>
          <w:p w14:paraId="7E216389">
            <w:pPr>
              <w:spacing w:line="240" w:lineRule="auto"/>
              <w:contextualSpacing/>
              <w:jc w:val="center"/>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1:1</w:t>
            </w:r>
          </w:p>
        </w:tc>
        <w:tc>
          <w:tcPr>
            <w:tcW w:w="427" w:type="pct"/>
            <w:shd w:val="clear" w:color="auto" w:fill="auto"/>
            <w:vAlign w:val="top"/>
          </w:tcPr>
          <w:p w14:paraId="61F468F1">
            <w:pPr>
              <w:spacing w:line="240" w:lineRule="auto"/>
              <w:contextualSpacing/>
              <w:jc w:val="center"/>
              <w:rPr>
                <w:rFonts w:ascii="Arial" w:hAnsi="Arial" w:eastAsia="Times New Roman" w:cs="Arial"/>
                <w:color w:val="000000"/>
                <w:sz w:val="24"/>
                <w:szCs w:val="24"/>
                <w:lang w:val="en-US" w:eastAsia="en-GB" w:bidi="ar-SA"/>
              </w:rPr>
            </w:pPr>
            <w:r>
              <w:rPr>
                <w:rFonts w:ascii="Arial" w:hAnsi="Arial" w:eastAsia="Times New Roman" w:cs="Arial"/>
                <w:color w:val="000000"/>
                <w:sz w:val="24"/>
                <w:szCs w:val="24"/>
                <w:lang w:eastAsia="en-GB"/>
              </w:rPr>
              <w:t>0.12</w:t>
            </w:r>
          </w:p>
        </w:tc>
        <w:tc>
          <w:tcPr>
            <w:tcW w:w="458" w:type="pct"/>
          </w:tcPr>
          <w:p w14:paraId="786ACE39">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0.06</w:t>
            </w:r>
          </w:p>
        </w:tc>
        <w:tc>
          <w:tcPr>
            <w:tcW w:w="629" w:type="pct"/>
            <w:vAlign w:val="top"/>
          </w:tcPr>
          <w:p w14:paraId="34765765">
            <w:pPr>
              <w:spacing w:line="240" w:lineRule="auto"/>
              <w:contextualSpacing/>
              <w:jc w:val="center"/>
              <w:rPr>
                <w:rFonts w:ascii="Arial" w:hAnsi="Arial" w:eastAsia="Times New Roman" w:cs="Arial"/>
                <w:bCs/>
                <w:color w:val="000000" w:themeColor="text1"/>
                <w:sz w:val="24"/>
                <w:szCs w:val="24"/>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1:1</w:t>
            </w:r>
          </w:p>
        </w:tc>
        <w:tc>
          <w:tcPr>
            <w:tcW w:w="471" w:type="pct"/>
          </w:tcPr>
          <w:p w14:paraId="3B038CBE">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1</w:t>
            </w:r>
          </w:p>
        </w:tc>
      </w:tr>
      <w:tr w14:paraId="75CAA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96" w:type="pct"/>
          </w:tcPr>
          <w:p w14:paraId="01625E67">
            <w:pPr>
              <w:pStyle w:val="11"/>
              <w:numPr>
                <w:ilvl w:val="0"/>
                <w:numId w:val="9"/>
              </w:numPr>
              <w:tabs>
                <w:tab w:val="clear" w:pos="425"/>
              </w:tabs>
              <w:spacing w:line="240" w:lineRule="auto"/>
              <w:ind w:left="645" w:leftChars="0" w:firstLineChars="0"/>
              <w:jc w:val="both"/>
              <w:rPr>
                <w:rFonts w:ascii="Arial" w:hAnsi="Arial" w:eastAsia="Times New Roman" w:cs="Arial"/>
                <w:color w:val="000000" w:themeColor="text1"/>
                <w:sz w:val="24"/>
                <w:szCs w:val="24"/>
                <w:lang w:eastAsia="en-GB"/>
                <w14:textFill>
                  <w14:solidFill>
                    <w14:schemeClr w14:val="tx1"/>
                  </w14:solidFill>
                </w14:textFill>
              </w:rPr>
            </w:pPr>
          </w:p>
        </w:tc>
        <w:tc>
          <w:tcPr>
            <w:tcW w:w="1417" w:type="pct"/>
            <w:shd w:val="clear" w:color="auto" w:fill="auto"/>
            <w:noWrap/>
            <w:vAlign w:val="center"/>
          </w:tcPr>
          <w:p w14:paraId="35CC540F">
            <w:pPr>
              <w:spacing w:line="240" w:lineRule="auto"/>
              <w:contextualSpacing/>
              <w:jc w:val="both"/>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Staff Cost to Total Costs</w:t>
            </w:r>
          </w:p>
        </w:tc>
        <w:tc>
          <w:tcPr>
            <w:tcW w:w="1299" w:type="pct"/>
          </w:tcPr>
          <w:p w14:paraId="084577DB">
            <w:pPr>
              <w:spacing w:line="240" w:lineRule="auto"/>
              <w:contextualSpacing/>
              <w:jc w:val="center"/>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Max 40%</w:t>
            </w:r>
          </w:p>
        </w:tc>
        <w:tc>
          <w:tcPr>
            <w:tcW w:w="427" w:type="pct"/>
            <w:shd w:val="clear" w:color="auto" w:fill="auto"/>
            <w:vAlign w:val="top"/>
          </w:tcPr>
          <w:p w14:paraId="6C13C6DA">
            <w:pPr>
              <w:spacing w:line="240" w:lineRule="auto"/>
              <w:contextualSpacing/>
              <w:jc w:val="center"/>
              <w:rPr>
                <w:rFonts w:ascii="Arial" w:hAnsi="Arial" w:eastAsia="Times New Roman" w:cs="Arial"/>
                <w:color w:val="000000"/>
                <w:sz w:val="24"/>
                <w:szCs w:val="24"/>
                <w:lang w:val="en-US" w:eastAsia="en-GB" w:bidi="ar-SA"/>
              </w:rPr>
            </w:pPr>
            <w:r>
              <w:rPr>
                <w:rFonts w:ascii="Arial" w:hAnsi="Arial" w:eastAsia="Times New Roman" w:cs="Arial"/>
                <w:color w:val="000000"/>
                <w:sz w:val="24"/>
                <w:szCs w:val="24"/>
                <w:lang w:eastAsia="en-GB"/>
              </w:rPr>
              <w:t>50%</w:t>
            </w:r>
          </w:p>
        </w:tc>
        <w:tc>
          <w:tcPr>
            <w:tcW w:w="458" w:type="pct"/>
          </w:tcPr>
          <w:p w14:paraId="4DC07F2C">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24%</w:t>
            </w:r>
          </w:p>
        </w:tc>
        <w:tc>
          <w:tcPr>
            <w:tcW w:w="629" w:type="pct"/>
          </w:tcPr>
          <w:p w14:paraId="6CDB9D10">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40%</w:t>
            </w:r>
          </w:p>
        </w:tc>
        <w:tc>
          <w:tcPr>
            <w:tcW w:w="471" w:type="pct"/>
          </w:tcPr>
          <w:p w14:paraId="40256619">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1</w:t>
            </w:r>
          </w:p>
        </w:tc>
      </w:tr>
      <w:tr w14:paraId="48ACF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296" w:type="pct"/>
          </w:tcPr>
          <w:p w14:paraId="7B6F7206">
            <w:pPr>
              <w:pStyle w:val="11"/>
              <w:numPr>
                <w:ilvl w:val="0"/>
                <w:numId w:val="9"/>
              </w:numPr>
              <w:tabs>
                <w:tab w:val="clear" w:pos="425"/>
              </w:tabs>
              <w:spacing w:line="240" w:lineRule="auto"/>
              <w:ind w:left="645" w:leftChars="0" w:firstLineChars="0"/>
              <w:jc w:val="both"/>
              <w:rPr>
                <w:rFonts w:ascii="Arial" w:hAnsi="Arial" w:eastAsia="Times New Roman" w:cs="Arial"/>
                <w:color w:val="000000" w:themeColor="text1"/>
                <w:sz w:val="24"/>
                <w:szCs w:val="24"/>
                <w:lang w:eastAsia="en-GB"/>
                <w14:textFill>
                  <w14:solidFill>
                    <w14:schemeClr w14:val="tx1"/>
                  </w14:solidFill>
                </w14:textFill>
              </w:rPr>
            </w:pPr>
          </w:p>
        </w:tc>
        <w:tc>
          <w:tcPr>
            <w:tcW w:w="1417" w:type="pct"/>
            <w:shd w:val="clear" w:color="auto" w:fill="auto"/>
            <w:noWrap/>
            <w:vAlign w:val="center"/>
          </w:tcPr>
          <w:p w14:paraId="7D763EB2">
            <w:pPr>
              <w:spacing w:line="240" w:lineRule="auto"/>
              <w:contextualSpacing/>
              <w:jc w:val="both"/>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Operating Revenue Growth Rate</w:t>
            </w:r>
          </w:p>
        </w:tc>
        <w:tc>
          <w:tcPr>
            <w:tcW w:w="1299" w:type="pct"/>
          </w:tcPr>
          <w:p w14:paraId="74FEB76B">
            <w:pPr>
              <w:spacing w:line="240" w:lineRule="auto"/>
              <w:contextualSpacing/>
              <w:jc w:val="center"/>
              <w:rPr>
                <w:rFonts w:ascii="Arial" w:hAnsi="Arial" w:eastAsia="Times New Roman" w:cs="Arial"/>
                <w:bCs/>
                <w:color w:val="000000" w:themeColor="text1"/>
                <w:sz w:val="24"/>
                <w:szCs w:val="24"/>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Min 10%</w:t>
            </w:r>
          </w:p>
        </w:tc>
        <w:tc>
          <w:tcPr>
            <w:tcW w:w="427" w:type="pct"/>
            <w:shd w:val="clear" w:color="auto" w:fill="auto"/>
            <w:vAlign w:val="top"/>
          </w:tcPr>
          <w:p w14:paraId="6ACF8BDD">
            <w:pPr>
              <w:spacing w:line="240" w:lineRule="auto"/>
              <w:contextualSpacing/>
              <w:jc w:val="center"/>
              <w:rPr>
                <w:rFonts w:ascii="Arial" w:hAnsi="Arial" w:eastAsia="Times New Roman" w:cs="Arial"/>
                <w:color w:val="000000"/>
                <w:sz w:val="24"/>
                <w:szCs w:val="24"/>
                <w:lang w:val="en-US" w:eastAsia="en-GB" w:bidi="ar-SA"/>
              </w:rPr>
            </w:pPr>
            <w:r>
              <w:rPr>
                <w:rFonts w:ascii="Arial" w:hAnsi="Arial" w:eastAsia="Times New Roman" w:cs="Arial"/>
                <w:color w:val="000000"/>
                <w:sz w:val="24"/>
                <w:szCs w:val="24"/>
                <w:lang w:eastAsia="en-GB"/>
              </w:rPr>
              <w:t>-18.68%</w:t>
            </w:r>
          </w:p>
        </w:tc>
        <w:tc>
          <w:tcPr>
            <w:tcW w:w="458" w:type="pct"/>
          </w:tcPr>
          <w:p w14:paraId="37359133">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209.65%</w:t>
            </w:r>
          </w:p>
        </w:tc>
        <w:tc>
          <w:tcPr>
            <w:tcW w:w="629" w:type="pct"/>
          </w:tcPr>
          <w:p w14:paraId="1D102B5E">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10%</w:t>
            </w:r>
          </w:p>
        </w:tc>
        <w:tc>
          <w:tcPr>
            <w:tcW w:w="471" w:type="pct"/>
          </w:tcPr>
          <w:p w14:paraId="105C86D3">
            <w:pPr>
              <w:spacing w:line="240" w:lineRule="auto"/>
              <w:contextualSpacing/>
              <w:jc w:val="center"/>
              <w:rPr>
                <w:rFonts w:hint="default" w:ascii="Arial" w:hAnsi="Arial" w:eastAsia="Times New Roman" w:cs="Arial"/>
                <w:bCs/>
                <w:color w:val="000000" w:themeColor="text1"/>
                <w:sz w:val="24"/>
                <w:szCs w:val="24"/>
                <w:lang w:val="en-US"/>
                <w14:textFill>
                  <w14:solidFill>
                    <w14:schemeClr w14:val="tx1"/>
                  </w14:solidFill>
                </w14:textFill>
              </w:rPr>
            </w:pPr>
            <w:r>
              <w:rPr>
                <w:rFonts w:hint="default" w:ascii="Arial" w:hAnsi="Arial" w:eastAsia="Times New Roman" w:cs="Arial"/>
                <w:bCs/>
                <w:color w:val="000000" w:themeColor="text1"/>
                <w:sz w:val="24"/>
                <w:szCs w:val="24"/>
                <w:lang w:val="en-US"/>
                <w14:textFill>
                  <w14:solidFill>
                    <w14:schemeClr w14:val="tx1"/>
                  </w14:solidFill>
                </w14:textFill>
              </w:rPr>
              <w:t>1</w:t>
            </w:r>
          </w:p>
        </w:tc>
      </w:tr>
      <w:tr w14:paraId="6A81D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96" w:type="pct"/>
          </w:tcPr>
          <w:p w14:paraId="2FD98470">
            <w:pPr>
              <w:pStyle w:val="11"/>
              <w:numPr>
                <w:ilvl w:val="0"/>
                <w:numId w:val="9"/>
              </w:numPr>
              <w:tabs>
                <w:tab w:val="clear" w:pos="425"/>
              </w:tabs>
              <w:spacing w:line="240" w:lineRule="auto"/>
              <w:ind w:left="645" w:leftChars="0" w:firstLineChars="0"/>
              <w:jc w:val="both"/>
              <w:rPr>
                <w:rFonts w:ascii="Arial" w:hAnsi="Arial" w:eastAsia="Times New Roman" w:cs="Arial"/>
                <w:color w:val="000000" w:themeColor="text1"/>
                <w:sz w:val="24"/>
                <w:szCs w:val="24"/>
                <w:highlight w:val="none"/>
                <w:lang w:eastAsia="en-GB"/>
                <w14:textFill>
                  <w14:solidFill>
                    <w14:schemeClr w14:val="tx1"/>
                  </w14:solidFill>
                </w14:textFill>
              </w:rPr>
            </w:pPr>
          </w:p>
        </w:tc>
        <w:tc>
          <w:tcPr>
            <w:tcW w:w="1417" w:type="pct"/>
            <w:shd w:val="clear" w:color="auto" w:fill="auto"/>
            <w:noWrap/>
            <w:vAlign w:val="center"/>
          </w:tcPr>
          <w:p w14:paraId="46BA8871">
            <w:pPr>
              <w:spacing w:line="240" w:lineRule="auto"/>
              <w:contextualSpacing/>
              <w:jc w:val="both"/>
              <w:rPr>
                <w:rFonts w:ascii="Arial" w:hAnsi="Arial" w:eastAsia="Times New Roman" w:cs="Arial"/>
                <w:color w:val="000000" w:themeColor="text1"/>
                <w:sz w:val="24"/>
                <w:szCs w:val="24"/>
                <w:highlight w:val="none"/>
                <w:lang w:eastAsia="en-GB"/>
                <w14:textFill>
                  <w14:solidFill>
                    <w14:schemeClr w14:val="tx1"/>
                  </w14:solidFill>
                </w14:textFill>
              </w:rPr>
            </w:pPr>
            <w:r>
              <w:rPr>
                <w:rFonts w:ascii="Arial" w:hAnsi="Arial" w:eastAsia="Times New Roman" w:cs="Arial"/>
                <w:color w:val="000000" w:themeColor="text1"/>
                <w:sz w:val="24"/>
                <w:szCs w:val="24"/>
                <w:highlight w:val="none"/>
                <w:lang w:eastAsia="en-GB"/>
                <w14:textFill>
                  <w14:solidFill>
                    <w14:schemeClr w14:val="tx1"/>
                  </w14:solidFill>
                </w14:textFill>
              </w:rPr>
              <w:t>Subvention Dependency Rate</w:t>
            </w:r>
          </w:p>
        </w:tc>
        <w:tc>
          <w:tcPr>
            <w:tcW w:w="1299" w:type="pct"/>
          </w:tcPr>
          <w:p w14:paraId="76A5BE30">
            <w:pPr>
              <w:spacing w:line="240" w:lineRule="auto"/>
              <w:contextualSpacing/>
              <w:jc w:val="both"/>
              <w:rPr>
                <w:rFonts w:ascii="Arial" w:hAnsi="Arial" w:eastAsia="Times New Roman" w:cs="Arial"/>
                <w:color w:val="000000" w:themeColor="text1"/>
                <w:sz w:val="24"/>
                <w:szCs w:val="24"/>
                <w:highlight w:val="none"/>
                <w:lang w:eastAsia="en-GB"/>
                <w14:textFill>
                  <w14:solidFill>
                    <w14:schemeClr w14:val="tx1"/>
                  </w14:solidFill>
                </w14:textFill>
              </w:rPr>
            </w:pPr>
            <w:r>
              <w:rPr>
                <w:rFonts w:ascii="Arial" w:hAnsi="Arial" w:eastAsia="Times New Roman" w:cs="Arial"/>
                <w:color w:val="000000" w:themeColor="text1"/>
                <w:sz w:val="24"/>
                <w:szCs w:val="24"/>
                <w:highlight w:val="none"/>
                <w:lang w:eastAsia="en-GB"/>
                <w14:textFill>
                  <w14:solidFill>
                    <w14:schemeClr w14:val="tx1"/>
                  </w14:solidFill>
                </w14:textFill>
              </w:rPr>
              <w:t xml:space="preserve">Decrease Year on Year </w:t>
            </w:r>
          </w:p>
        </w:tc>
        <w:tc>
          <w:tcPr>
            <w:tcW w:w="427" w:type="pct"/>
            <w:shd w:val="clear" w:color="auto" w:fill="auto"/>
            <w:vAlign w:val="top"/>
          </w:tcPr>
          <w:p w14:paraId="4F7E3A69">
            <w:pPr>
              <w:spacing w:line="240" w:lineRule="auto"/>
              <w:contextualSpacing/>
              <w:jc w:val="center"/>
              <w:rPr>
                <w:rFonts w:ascii="Arial" w:hAnsi="Arial" w:eastAsia="Times New Roman" w:cs="Arial"/>
                <w:color w:val="000000"/>
                <w:sz w:val="24"/>
                <w:szCs w:val="24"/>
                <w:lang w:val="en-US" w:eastAsia="en-GB" w:bidi="ar-SA"/>
              </w:rPr>
            </w:pPr>
            <w:r>
              <w:rPr>
                <w:rFonts w:ascii="Arial" w:hAnsi="Arial" w:eastAsia="Times New Roman" w:cs="Arial"/>
                <w:color w:val="000000"/>
                <w:sz w:val="24"/>
                <w:szCs w:val="24"/>
                <w:lang w:eastAsia="en-GB"/>
              </w:rPr>
              <w:t>31.97%</w:t>
            </w:r>
          </w:p>
        </w:tc>
        <w:tc>
          <w:tcPr>
            <w:tcW w:w="458" w:type="pct"/>
          </w:tcPr>
          <w:p w14:paraId="3893BB77">
            <w:pPr>
              <w:spacing w:line="240" w:lineRule="auto"/>
              <w:contextualSpacing/>
              <w:jc w:val="center"/>
              <w:rPr>
                <w:rFonts w:hint="default" w:ascii="Arial" w:hAnsi="Arial" w:cs="Arial"/>
                <w:bCs/>
                <w:color w:val="000000" w:themeColor="text1"/>
                <w:sz w:val="24"/>
                <w:szCs w:val="24"/>
                <w:highlight w:val="none"/>
                <w:lang w:val="en-US"/>
                <w14:textFill>
                  <w14:solidFill>
                    <w14:schemeClr w14:val="tx1"/>
                  </w14:solidFill>
                </w14:textFill>
              </w:rPr>
            </w:pPr>
            <w:r>
              <w:rPr>
                <w:rFonts w:hint="default" w:ascii="Arial" w:hAnsi="Arial" w:cs="Arial"/>
                <w:bCs/>
                <w:color w:val="000000" w:themeColor="text1"/>
                <w:sz w:val="24"/>
                <w:szCs w:val="24"/>
                <w:highlight w:val="none"/>
                <w:lang w:val="en-US"/>
                <w14:textFill>
                  <w14:solidFill>
                    <w14:schemeClr w14:val="tx1"/>
                  </w14:solidFill>
                </w14:textFill>
              </w:rPr>
              <w:t>9.05%</w:t>
            </w:r>
          </w:p>
        </w:tc>
        <w:tc>
          <w:tcPr>
            <w:tcW w:w="629" w:type="pct"/>
          </w:tcPr>
          <w:p w14:paraId="168B9E99">
            <w:pPr>
              <w:spacing w:line="240" w:lineRule="auto"/>
              <w:contextualSpacing/>
              <w:jc w:val="center"/>
              <w:rPr>
                <w:rFonts w:hint="default" w:ascii="Arial" w:hAnsi="Arial" w:cs="Arial"/>
                <w:bCs/>
                <w:color w:val="000000" w:themeColor="text1"/>
                <w:sz w:val="24"/>
                <w:szCs w:val="24"/>
                <w:highlight w:val="none"/>
                <w:lang w:val="en-US"/>
                <w14:textFill>
                  <w14:solidFill>
                    <w14:schemeClr w14:val="tx1"/>
                  </w14:solidFill>
                </w14:textFill>
              </w:rPr>
            </w:pPr>
            <w:r>
              <w:rPr>
                <w:rFonts w:hint="default" w:ascii="Arial" w:hAnsi="Arial" w:cs="Arial"/>
                <w:bCs/>
                <w:color w:val="000000" w:themeColor="text1"/>
                <w:sz w:val="24"/>
                <w:szCs w:val="24"/>
                <w:highlight w:val="none"/>
                <w:lang w:val="en-US"/>
                <w14:textFill>
                  <w14:solidFill>
                    <w14:schemeClr w14:val="tx1"/>
                  </w14:solidFill>
                </w14:textFill>
              </w:rPr>
              <w:t>6%</w:t>
            </w:r>
          </w:p>
        </w:tc>
        <w:tc>
          <w:tcPr>
            <w:tcW w:w="471" w:type="pct"/>
          </w:tcPr>
          <w:p w14:paraId="0550094F">
            <w:pPr>
              <w:spacing w:line="240" w:lineRule="auto"/>
              <w:contextualSpacing/>
              <w:jc w:val="center"/>
              <w:rPr>
                <w:rFonts w:hint="default" w:ascii="Arial" w:hAnsi="Arial" w:cs="Arial"/>
                <w:bCs/>
                <w:color w:val="000000" w:themeColor="text1"/>
                <w:sz w:val="24"/>
                <w:szCs w:val="24"/>
                <w:highlight w:val="none"/>
                <w:lang w:val="en-US"/>
                <w14:textFill>
                  <w14:solidFill>
                    <w14:schemeClr w14:val="tx1"/>
                  </w14:solidFill>
                </w14:textFill>
              </w:rPr>
            </w:pPr>
            <w:r>
              <w:rPr>
                <w:rFonts w:hint="default" w:ascii="Arial" w:hAnsi="Arial" w:cs="Arial"/>
                <w:bCs/>
                <w:color w:val="000000" w:themeColor="text1"/>
                <w:sz w:val="24"/>
                <w:szCs w:val="24"/>
                <w:highlight w:val="none"/>
                <w:lang w:val="en-US"/>
                <w14:textFill>
                  <w14:solidFill>
                    <w14:schemeClr w14:val="tx1"/>
                  </w14:solidFill>
                </w14:textFill>
              </w:rPr>
              <w:t>1</w:t>
            </w:r>
          </w:p>
        </w:tc>
      </w:tr>
      <w:tr w14:paraId="78860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96" w:type="pct"/>
          </w:tcPr>
          <w:p w14:paraId="12519360">
            <w:pPr>
              <w:pStyle w:val="11"/>
              <w:numPr>
                <w:ilvl w:val="0"/>
                <w:numId w:val="9"/>
              </w:numPr>
              <w:tabs>
                <w:tab w:val="clear" w:pos="425"/>
              </w:tabs>
              <w:spacing w:line="240" w:lineRule="auto"/>
              <w:ind w:left="645" w:leftChars="0" w:firstLineChars="0"/>
              <w:jc w:val="both"/>
              <w:rPr>
                <w:rFonts w:ascii="Arial" w:hAnsi="Arial" w:eastAsia="Times New Roman" w:cs="Arial"/>
                <w:color w:val="000000" w:themeColor="text1"/>
                <w:sz w:val="24"/>
                <w:szCs w:val="24"/>
                <w:highlight w:val="none"/>
                <w:lang w:eastAsia="en-GB"/>
                <w14:textFill>
                  <w14:solidFill>
                    <w14:schemeClr w14:val="tx1"/>
                  </w14:solidFill>
                </w14:textFill>
              </w:rPr>
            </w:pPr>
          </w:p>
        </w:tc>
        <w:tc>
          <w:tcPr>
            <w:tcW w:w="1417" w:type="pct"/>
            <w:shd w:val="clear" w:color="auto" w:fill="auto"/>
            <w:noWrap/>
            <w:vAlign w:val="center"/>
          </w:tcPr>
          <w:p w14:paraId="5E8F7CF9">
            <w:pPr>
              <w:spacing w:line="240" w:lineRule="auto"/>
              <w:contextualSpacing/>
              <w:jc w:val="both"/>
              <w:rPr>
                <w:rFonts w:ascii="Arial" w:hAnsi="Arial" w:eastAsia="Times New Roman" w:cs="Arial"/>
                <w:color w:val="000000" w:themeColor="text1"/>
                <w:sz w:val="24"/>
                <w:szCs w:val="24"/>
                <w:highlight w:val="none"/>
                <w:lang w:eastAsia="en-GB"/>
                <w14:textFill>
                  <w14:solidFill>
                    <w14:schemeClr w14:val="tx1"/>
                  </w14:solidFill>
                </w14:textFill>
              </w:rPr>
            </w:pPr>
            <w:r>
              <w:rPr>
                <w:rFonts w:ascii="Arial" w:hAnsi="Arial" w:eastAsia="Times New Roman" w:cs="Arial"/>
                <w:color w:val="000000" w:themeColor="text1"/>
                <w:sz w:val="24"/>
                <w:szCs w:val="24"/>
                <w:highlight w:val="none"/>
                <w:lang w:eastAsia="en-GB"/>
                <w14:textFill>
                  <w14:solidFill>
                    <w14:schemeClr w14:val="tx1"/>
                  </w14:solidFill>
                </w14:textFill>
              </w:rPr>
              <w:t>Revenue per Employee</w:t>
            </w:r>
          </w:p>
        </w:tc>
        <w:tc>
          <w:tcPr>
            <w:tcW w:w="1299" w:type="pct"/>
          </w:tcPr>
          <w:p w14:paraId="41996D58">
            <w:pPr>
              <w:spacing w:line="240" w:lineRule="auto"/>
              <w:contextualSpacing/>
              <w:jc w:val="both"/>
              <w:rPr>
                <w:rFonts w:ascii="Arial" w:hAnsi="Arial" w:eastAsia="Times New Roman" w:cs="Arial"/>
                <w:color w:val="000000" w:themeColor="text1"/>
                <w:sz w:val="24"/>
                <w:szCs w:val="24"/>
                <w:highlight w:val="none"/>
                <w:lang w:eastAsia="en-GB"/>
                <w14:textFill>
                  <w14:solidFill>
                    <w14:schemeClr w14:val="tx1"/>
                  </w14:solidFill>
                </w14:textFill>
              </w:rPr>
            </w:pPr>
            <w:r>
              <w:rPr>
                <w:rFonts w:ascii="Arial" w:hAnsi="Arial" w:eastAsia="Times New Roman" w:cs="Arial"/>
                <w:color w:val="000000" w:themeColor="text1"/>
                <w:sz w:val="24"/>
                <w:szCs w:val="24"/>
                <w:highlight w:val="none"/>
                <w:lang w:eastAsia="en-GB"/>
                <w14:textFill>
                  <w14:solidFill>
                    <w14:schemeClr w14:val="tx1"/>
                  </w14:solidFill>
                </w14:textFill>
              </w:rPr>
              <w:t>Use Sector Average as Benchmark</w:t>
            </w:r>
          </w:p>
        </w:tc>
        <w:tc>
          <w:tcPr>
            <w:tcW w:w="427" w:type="pct"/>
            <w:shd w:val="clear" w:color="auto" w:fill="auto"/>
            <w:vAlign w:val="top"/>
          </w:tcPr>
          <w:p w14:paraId="3604A655">
            <w:pPr>
              <w:spacing w:line="240" w:lineRule="auto"/>
              <w:contextualSpacing/>
              <w:jc w:val="both"/>
              <w:rPr>
                <w:rFonts w:hint="default" w:ascii="Arial" w:hAnsi="Arial" w:eastAsia="Times New Roman" w:cs="Arial"/>
                <w:color w:val="000000"/>
                <w:sz w:val="24"/>
                <w:szCs w:val="24"/>
                <w:lang w:val="en-US" w:eastAsia="en-GB" w:bidi="ar-SA"/>
              </w:rPr>
            </w:pPr>
            <w:r>
              <w:rPr>
                <w:rFonts w:hint="default" w:ascii="Arial" w:hAnsi="Arial" w:eastAsia="Times New Roman" w:cs="Arial"/>
                <w:color w:val="000000"/>
                <w:sz w:val="24"/>
                <w:szCs w:val="24"/>
                <w:lang w:eastAsia="en-GB"/>
              </w:rPr>
              <w:t>10,888,551.26</w:t>
            </w:r>
          </w:p>
        </w:tc>
        <w:tc>
          <w:tcPr>
            <w:tcW w:w="458" w:type="pct"/>
            <w:vAlign w:val="center"/>
          </w:tcPr>
          <w:p w14:paraId="6B6DCACA">
            <w:pPr>
              <w:spacing w:line="240" w:lineRule="auto"/>
              <w:contextualSpacing/>
              <w:jc w:val="both"/>
              <w:rPr>
                <w:rFonts w:hint="default" w:ascii="Arial" w:hAnsi="Arial" w:cs="Arial"/>
                <w:bCs/>
                <w:color w:val="000000" w:themeColor="text1"/>
                <w:sz w:val="24"/>
                <w:szCs w:val="24"/>
                <w:highlight w:val="none"/>
                <w14:textFill>
                  <w14:solidFill>
                    <w14:schemeClr w14:val="tx1"/>
                  </w14:solidFill>
                </w14:textFill>
              </w:rPr>
            </w:pPr>
            <w:r>
              <w:rPr>
                <w:rFonts w:hint="default" w:ascii="Arial" w:hAnsi="Arial" w:eastAsia="等线" w:cs="Arial"/>
                <w:i w:val="0"/>
                <w:iCs w:val="0"/>
                <w:color w:val="000000"/>
                <w:sz w:val="24"/>
                <w:szCs w:val="24"/>
                <w:u w:val="none"/>
                <w:lang w:val="en-US"/>
              </w:rPr>
              <w:t>35,657,161.10</w:t>
            </w:r>
            <w:r>
              <w:rPr>
                <w:rFonts w:hint="default" w:ascii="Arial" w:hAnsi="Arial" w:eastAsia="等线" w:cs="Arial"/>
                <w:i w:val="0"/>
                <w:iCs w:val="0"/>
                <w:color w:val="000000"/>
                <w:sz w:val="24"/>
                <w:szCs w:val="24"/>
                <w:u w:val="none"/>
              </w:rPr>
              <w:t xml:space="preserve"> </w:t>
            </w:r>
          </w:p>
        </w:tc>
        <w:tc>
          <w:tcPr>
            <w:tcW w:w="629" w:type="pct"/>
          </w:tcPr>
          <w:p w14:paraId="6E09A543">
            <w:pPr>
              <w:spacing w:line="240" w:lineRule="auto"/>
              <w:contextualSpacing/>
              <w:jc w:val="center"/>
              <w:rPr>
                <w:rFonts w:hint="default" w:ascii="Arial" w:hAnsi="Arial" w:cs="Arial"/>
                <w:bCs/>
                <w:color w:val="000000" w:themeColor="text1"/>
                <w:sz w:val="24"/>
                <w:szCs w:val="24"/>
                <w:highlight w:val="none"/>
                <w:lang w:val="en-US"/>
                <w14:textFill>
                  <w14:solidFill>
                    <w14:schemeClr w14:val="tx1"/>
                  </w14:solidFill>
                </w14:textFill>
              </w:rPr>
            </w:pPr>
            <w:r>
              <w:rPr>
                <w:rFonts w:hint="default" w:ascii="Arial" w:hAnsi="Arial" w:cs="Arial"/>
                <w:bCs/>
                <w:color w:val="000000" w:themeColor="text1"/>
                <w:sz w:val="24"/>
                <w:szCs w:val="24"/>
                <w:highlight w:val="none"/>
                <w:lang w:val="en-US"/>
                <w14:textFill>
                  <w14:solidFill>
                    <w14:schemeClr w14:val="tx1"/>
                  </w14:solidFill>
                </w14:textFill>
              </w:rPr>
              <w:t>62,484,801.33</w:t>
            </w:r>
          </w:p>
        </w:tc>
        <w:tc>
          <w:tcPr>
            <w:tcW w:w="471" w:type="pct"/>
          </w:tcPr>
          <w:p w14:paraId="0315DB2D">
            <w:pPr>
              <w:spacing w:line="240" w:lineRule="auto"/>
              <w:contextualSpacing/>
              <w:jc w:val="center"/>
              <w:rPr>
                <w:rFonts w:hint="default" w:ascii="Arial" w:hAnsi="Arial" w:cs="Arial"/>
                <w:bCs/>
                <w:color w:val="000000" w:themeColor="text1"/>
                <w:sz w:val="24"/>
                <w:szCs w:val="24"/>
                <w:highlight w:val="none"/>
                <w:lang w:val="en-US"/>
                <w14:textFill>
                  <w14:solidFill>
                    <w14:schemeClr w14:val="tx1"/>
                  </w14:solidFill>
                </w14:textFill>
              </w:rPr>
            </w:pPr>
            <w:r>
              <w:rPr>
                <w:rFonts w:hint="default" w:ascii="Arial" w:hAnsi="Arial" w:cs="Arial"/>
                <w:bCs/>
                <w:color w:val="000000" w:themeColor="text1"/>
                <w:sz w:val="24"/>
                <w:szCs w:val="24"/>
                <w:highlight w:val="none"/>
                <w:lang w:val="en-US"/>
                <w14:textFill>
                  <w14:solidFill>
                    <w14:schemeClr w14:val="tx1"/>
                  </w14:solidFill>
                </w14:textFill>
              </w:rPr>
              <w:t>1</w:t>
            </w:r>
          </w:p>
        </w:tc>
      </w:tr>
      <w:tr w14:paraId="3D56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96" w:type="pct"/>
          </w:tcPr>
          <w:p w14:paraId="49B1DB1E">
            <w:pPr>
              <w:pStyle w:val="11"/>
              <w:numPr>
                <w:ilvl w:val="0"/>
                <w:numId w:val="9"/>
              </w:numPr>
              <w:tabs>
                <w:tab w:val="clear" w:pos="425"/>
              </w:tabs>
              <w:spacing w:line="240" w:lineRule="auto"/>
              <w:ind w:left="645" w:leftChars="0" w:firstLineChars="0"/>
              <w:jc w:val="both"/>
              <w:rPr>
                <w:rFonts w:ascii="Arial" w:hAnsi="Arial" w:eastAsia="Times New Roman" w:cs="Arial"/>
                <w:color w:val="000000" w:themeColor="text1"/>
                <w:sz w:val="24"/>
                <w:szCs w:val="24"/>
                <w:lang w:eastAsia="en-GB"/>
                <w14:textFill>
                  <w14:solidFill>
                    <w14:schemeClr w14:val="tx1"/>
                  </w14:solidFill>
                </w14:textFill>
              </w:rPr>
            </w:pPr>
          </w:p>
        </w:tc>
        <w:tc>
          <w:tcPr>
            <w:tcW w:w="1417" w:type="pct"/>
            <w:shd w:val="clear" w:color="auto" w:fill="auto"/>
            <w:noWrap/>
            <w:vAlign w:val="center"/>
          </w:tcPr>
          <w:p w14:paraId="472FE6B0">
            <w:pPr>
              <w:spacing w:line="240" w:lineRule="auto"/>
              <w:contextualSpacing/>
              <w:jc w:val="both"/>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Cost to Income Ratio</w:t>
            </w:r>
          </w:p>
        </w:tc>
        <w:tc>
          <w:tcPr>
            <w:tcW w:w="1299" w:type="pct"/>
          </w:tcPr>
          <w:p w14:paraId="55C30774">
            <w:pPr>
              <w:spacing w:line="240" w:lineRule="auto"/>
              <w:contextualSpacing/>
              <w:jc w:val="center"/>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Max 60%</w:t>
            </w:r>
          </w:p>
        </w:tc>
        <w:tc>
          <w:tcPr>
            <w:tcW w:w="427" w:type="pct"/>
            <w:shd w:val="clear" w:color="auto" w:fill="auto"/>
            <w:vAlign w:val="top"/>
          </w:tcPr>
          <w:p w14:paraId="3601C3D5">
            <w:pPr>
              <w:spacing w:line="240" w:lineRule="auto"/>
              <w:contextualSpacing/>
              <w:jc w:val="center"/>
              <w:rPr>
                <w:rFonts w:ascii="Arial" w:hAnsi="Arial" w:eastAsia="Times New Roman" w:cs="Arial"/>
                <w:color w:val="000000"/>
                <w:sz w:val="22"/>
                <w:szCs w:val="22"/>
                <w:lang w:val="en-US" w:eastAsia="en-GB" w:bidi="ar-SA"/>
              </w:rPr>
            </w:pPr>
            <w:r>
              <w:rPr>
                <w:rFonts w:ascii="Arial" w:hAnsi="Arial" w:eastAsia="Times New Roman" w:cs="Arial"/>
                <w:sz w:val="24"/>
                <w:szCs w:val="24"/>
                <w:lang w:eastAsia="en-GB"/>
              </w:rPr>
              <w:t>230%</w:t>
            </w:r>
          </w:p>
        </w:tc>
        <w:tc>
          <w:tcPr>
            <w:tcW w:w="458" w:type="pct"/>
          </w:tcPr>
          <w:p w14:paraId="7CC2A249">
            <w:pPr>
              <w:spacing w:line="240" w:lineRule="auto"/>
              <w:contextualSpacing/>
              <w:jc w:val="center"/>
              <w:rPr>
                <w:rFonts w:hint="default" w:ascii="Arial" w:hAnsi="Arial" w:cs="Arial"/>
                <w:bCs/>
                <w:color w:val="000000" w:themeColor="text1"/>
                <w:sz w:val="24"/>
                <w:szCs w:val="24"/>
                <w:lang w:val="en-US"/>
                <w14:textFill>
                  <w14:solidFill>
                    <w14:schemeClr w14:val="tx1"/>
                  </w14:solidFill>
                </w14:textFill>
              </w:rPr>
            </w:pPr>
            <w:r>
              <w:rPr>
                <w:rFonts w:hint="default" w:ascii="Arial" w:hAnsi="Arial" w:cs="Arial"/>
                <w:bCs/>
                <w:color w:val="000000" w:themeColor="text1"/>
                <w:sz w:val="24"/>
                <w:szCs w:val="24"/>
                <w:lang w:val="en-US"/>
                <w14:textFill>
                  <w14:solidFill>
                    <w14:schemeClr w14:val="tx1"/>
                  </w14:solidFill>
                </w14:textFill>
              </w:rPr>
              <w:t>189%</w:t>
            </w:r>
          </w:p>
        </w:tc>
        <w:tc>
          <w:tcPr>
            <w:tcW w:w="629" w:type="pct"/>
          </w:tcPr>
          <w:p w14:paraId="51D8B78A">
            <w:pPr>
              <w:spacing w:line="240" w:lineRule="auto"/>
              <w:contextualSpacing/>
              <w:jc w:val="center"/>
              <w:rPr>
                <w:rFonts w:hint="default" w:ascii="Arial" w:hAnsi="Arial" w:cs="Arial"/>
                <w:bCs/>
                <w:color w:val="000000" w:themeColor="text1"/>
                <w:sz w:val="24"/>
                <w:szCs w:val="24"/>
                <w:lang w:val="en-US"/>
                <w14:textFill>
                  <w14:solidFill>
                    <w14:schemeClr w14:val="tx1"/>
                  </w14:solidFill>
                </w14:textFill>
              </w:rPr>
            </w:pPr>
            <w:r>
              <w:rPr>
                <w:rFonts w:hint="default" w:ascii="Arial" w:hAnsi="Arial" w:cs="Arial"/>
                <w:bCs/>
                <w:color w:val="000000" w:themeColor="text1"/>
                <w:sz w:val="24"/>
                <w:szCs w:val="24"/>
                <w:lang w:val="en-US"/>
                <w14:textFill>
                  <w14:solidFill>
                    <w14:schemeClr w14:val="tx1"/>
                  </w14:solidFill>
                </w14:textFill>
              </w:rPr>
              <w:t>60%</w:t>
            </w:r>
          </w:p>
        </w:tc>
        <w:tc>
          <w:tcPr>
            <w:tcW w:w="471" w:type="pct"/>
          </w:tcPr>
          <w:p w14:paraId="02060E11">
            <w:pPr>
              <w:spacing w:line="240" w:lineRule="auto"/>
              <w:contextualSpacing/>
              <w:jc w:val="center"/>
              <w:rPr>
                <w:rFonts w:hint="default" w:ascii="Arial" w:hAnsi="Arial" w:cs="Arial"/>
                <w:bCs/>
                <w:color w:val="000000" w:themeColor="text1"/>
                <w:sz w:val="24"/>
                <w:szCs w:val="24"/>
                <w:lang w:val="en-US"/>
                <w14:textFill>
                  <w14:solidFill>
                    <w14:schemeClr w14:val="tx1"/>
                  </w14:solidFill>
                </w14:textFill>
              </w:rPr>
            </w:pPr>
            <w:r>
              <w:rPr>
                <w:rFonts w:hint="default" w:ascii="Arial" w:hAnsi="Arial" w:cs="Arial"/>
                <w:bCs/>
                <w:color w:val="000000" w:themeColor="text1"/>
                <w:sz w:val="24"/>
                <w:szCs w:val="24"/>
                <w:lang w:val="en-US"/>
                <w14:textFill>
                  <w14:solidFill>
                    <w14:schemeClr w14:val="tx1"/>
                  </w14:solidFill>
                </w14:textFill>
              </w:rPr>
              <w:t>1</w:t>
            </w:r>
          </w:p>
        </w:tc>
      </w:tr>
      <w:tr w14:paraId="0B03C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96" w:type="pct"/>
          </w:tcPr>
          <w:p w14:paraId="323AEF33">
            <w:pPr>
              <w:pStyle w:val="11"/>
              <w:numPr>
                <w:ilvl w:val="0"/>
                <w:numId w:val="9"/>
              </w:numPr>
              <w:tabs>
                <w:tab w:val="clear" w:pos="425"/>
              </w:tabs>
              <w:spacing w:line="240" w:lineRule="auto"/>
              <w:ind w:left="645" w:leftChars="0" w:firstLineChars="0"/>
              <w:jc w:val="both"/>
              <w:rPr>
                <w:rFonts w:ascii="Arial" w:hAnsi="Arial" w:eastAsia="Times New Roman" w:cs="Arial"/>
                <w:color w:val="000000" w:themeColor="text1"/>
                <w:sz w:val="24"/>
                <w:szCs w:val="24"/>
                <w:lang w:eastAsia="en-GB"/>
                <w14:textFill>
                  <w14:solidFill>
                    <w14:schemeClr w14:val="tx1"/>
                  </w14:solidFill>
                </w14:textFill>
              </w:rPr>
            </w:pPr>
          </w:p>
        </w:tc>
        <w:tc>
          <w:tcPr>
            <w:tcW w:w="1417" w:type="pct"/>
            <w:shd w:val="clear" w:color="auto" w:fill="auto"/>
            <w:noWrap/>
            <w:vAlign w:val="center"/>
          </w:tcPr>
          <w:p w14:paraId="19F7477A">
            <w:pPr>
              <w:spacing w:line="240" w:lineRule="auto"/>
              <w:contextualSpacing/>
              <w:jc w:val="both"/>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Debt to Equity</w:t>
            </w:r>
          </w:p>
        </w:tc>
        <w:tc>
          <w:tcPr>
            <w:tcW w:w="1299" w:type="pct"/>
          </w:tcPr>
          <w:p w14:paraId="54B3E7AC">
            <w:pPr>
              <w:spacing w:line="240" w:lineRule="auto"/>
              <w:contextualSpacing/>
              <w:jc w:val="center"/>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Max 60%</w:t>
            </w:r>
          </w:p>
        </w:tc>
        <w:tc>
          <w:tcPr>
            <w:tcW w:w="427" w:type="pct"/>
            <w:shd w:val="clear" w:color="auto" w:fill="auto"/>
            <w:vAlign w:val="top"/>
          </w:tcPr>
          <w:p w14:paraId="14CB81BC">
            <w:pPr>
              <w:spacing w:line="240" w:lineRule="auto"/>
              <w:contextualSpacing/>
              <w:jc w:val="center"/>
              <w:rPr>
                <w:rFonts w:ascii="Arial" w:hAnsi="Arial" w:eastAsia="Times New Roman" w:cs="Arial"/>
                <w:color w:val="000000"/>
                <w:sz w:val="24"/>
                <w:szCs w:val="24"/>
                <w:lang w:val="en-US" w:eastAsia="en-GB" w:bidi="ar-SA"/>
              </w:rPr>
            </w:pPr>
            <w:r>
              <w:rPr>
                <w:rFonts w:ascii="Arial" w:hAnsi="Arial" w:eastAsia="Times New Roman" w:cs="Arial"/>
                <w:color w:val="000000"/>
                <w:sz w:val="24"/>
                <w:szCs w:val="24"/>
                <w:lang w:eastAsia="en-GB"/>
              </w:rPr>
              <w:t>6235%</w:t>
            </w:r>
          </w:p>
        </w:tc>
        <w:tc>
          <w:tcPr>
            <w:tcW w:w="458" w:type="pct"/>
          </w:tcPr>
          <w:p w14:paraId="5E3CD160">
            <w:pPr>
              <w:spacing w:line="240" w:lineRule="auto"/>
              <w:contextualSpacing/>
              <w:jc w:val="center"/>
              <w:rPr>
                <w:rFonts w:hint="default" w:ascii="Arial" w:hAnsi="Arial" w:cs="Arial"/>
                <w:bCs/>
                <w:color w:val="000000" w:themeColor="text1"/>
                <w:sz w:val="24"/>
                <w:szCs w:val="24"/>
                <w:lang w:val="en-US"/>
                <w14:textFill>
                  <w14:solidFill>
                    <w14:schemeClr w14:val="tx1"/>
                  </w14:solidFill>
                </w14:textFill>
              </w:rPr>
            </w:pPr>
            <w:r>
              <w:rPr>
                <w:rFonts w:hint="default" w:ascii="Arial" w:hAnsi="Arial" w:cs="Arial"/>
                <w:bCs/>
                <w:color w:val="000000" w:themeColor="text1"/>
                <w:sz w:val="24"/>
                <w:szCs w:val="24"/>
                <w:lang w:val="en-US"/>
                <w14:textFill>
                  <w14:solidFill>
                    <w14:schemeClr w14:val="tx1"/>
                  </w14:solidFill>
                </w14:textFill>
              </w:rPr>
              <w:t>8748%</w:t>
            </w:r>
          </w:p>
        </w:tc>
        <w:tc>
          <w:tcPr>
            <w:tcW w:w="629" w:type="pct"/>
          </w:tcPr>
          <w:p w14:paraId="5E394609">
            <w:pPr>
              <w:spacing w:line="240" w:lineRule="auto"/>
              <w:contextualSpacing/>
              <w:jc w:val="center"/>
              <w:rPr>
                <w:rFonts w:hint="default" w:ascii="Arial" w:hAnsi="Arial" w:cs="Arial"/>
                <w:bCs/>
                <w:color w:val="000000" w:themeColor="text1"/>
                <w:sz w:val="24"/>
                <w:szCs w:val="24"/>
                <w:lang w:val="en-US"/>
                <w14:textFill>
                  <w14:solidFill>
                    <w14:schemeClr w14:val="tx1"/>
                  </w14:solidFill>
                </w14:textFill>
              </w:rPr>
            </w:pPr>
            <w:r>
              <w:rPr>
                <w:rFonts w:hint="default" w:ascii="Arial" w:hAnsi="Arial" w:cs="Arial"/>
                <w:bCs/>
                <w:color w:val="000000" w:themeColor="text1"/>
                <w:sz w:val="24"/>
                <w:szCs w:val="24"/>
                <w:lang w:val="en-US"/>
                <w14:textFill>
                  <w14:solidFill>
                    <w14:schemeClr w14:val="tx1"/>
                  </w14:solidFill>
                </w14:textFill>
              </w:rPr>
              <w:t>60%</w:t>
            </w:r>
          </w:p>
        </w:tc>
        <w:tc>
          <w:tcPr>
            <w:tcW w:w="471" w:type="pct"/>
          </w:tcPr>
          <w:p w14:paraId="5640B244">
            <w:pPr>
              <w:spacing w:line="240" w:lineRule="auto"/>
              <w:contextualSpacing/>
              <w:jc w:val="center"/>
              <w:rPr>
                <w:rFonts w:hint="default" w:ascii="Arial" w:hAnsi="Arial" w:cs="Arial"/>
                <w:bCs/>
                <w:color w:val="000000" w:themeColor="text1"/>
                <w:sz w:val="24"/>
                <w:szCs w:val="24"/>
                <w:lang w:val="en-US"/>
                <w14:textFill>
                  <w14:solidFill>
                    <w14:schemeClr w14:val="tx1"/>
                  </w14:solidFill>
                </w14:textFill>
              </w:rPr>
            </w:pPr>
            <w:r>
              <w:rPr>
                <w:rFonts w:hint="default" w:ascii="Arial" w:hAnsi="Arial" w:cs="Arial"/>
                <w:bCs/>
                <w:color w:val="000000" w:themeColor="text1"/>
                <w:sz w:val="24"/>
                <w:szCs w:val="24"/>
                <w:lang w:val="en-US"/>
                <w14:textFill>
                  <w14:solidFill>
                    <w14:schemeClr w14:val="tx1"/>
                  </w14:solidFill>
                </w14:textFill>
              </w:rPr>
              <w:t>1</w:t>
            </w:r>
            <w:bookmarkStart w:id="7" w:name="_GoBack"/>
            <w:bookmarkEnd w:id="7"/>
          </w:p>
        </w:tc>
      </w:tr>
      <w:tr w14:paraId="7860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96" w:type="pct"/>
          </w:tcPr>
          <w:p w14:paraId="2A6570D2">
            <w:pPr>
              <w:pStyle w:val="11"/>
              <w:numPr>
                <w:ilvl w:val="0"/>
                <w:numId w:val="9"/>
              </w:numPr>
              <w:tabs>
                <w:tab w:val="clear" w:pos="425"/>
              </w:tabs>
              <w:spacing w:line="240" w:lineRule="auto"/>
              <w:ind w:left="645" w:leftChars="0" w:firstLineChars="0"/>
              <w:jc w:val="both"/>
              <w:rPr>
                <w:rFonts w:ascii="Arial" w:hAnsi="Arial" w:eastAsia="Times New Roman" w:cs="Arial"/>
                <w:color w:val="000000" w:themeColor="text1"/>
                <w:sz w:val="24"/>
                <w:szCs w:val="24"/>
                <w:lang w:eastAsia="en-GB"/>
                <w14:textFill>
                  <w14:solidFill>
                    <w14:schemeClr w14:val="tx1"/>
                  </w14:solidFill>
                </w14:textFill>
              </w:rPr>
            </w:pPr>
          </w:p>
        </w:tc>
        <w:tc>
          <w:tcPr>
            <w:tcW w:w="1417" w:type="pct"/>
            <w:shd w:val="clear" w:color="auto" w:fill="auto"/>
            <w:noWrap/>
            <w:vAlign w:val="center"/>
          </w:tcPr>
          <w:p w14:paraId="10A5FF95">
            <w:pPr>
              <w:spacing w:line="240" w:lineRule="auto"/>
              <w:contextualSpacing/>
              <w:jc w:val="both"/>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Debt to Assets</w:t>
            </w:r>
          </w:p>
        </w:tc>
        <w:tc>
          <w:tcPr>
            <w:tcW w:w="1299" w:type="pct"/>
          </w:tcPr>
          <w:p w14:paraId="3825675A">
            <w:pPr>
              <w:spacing w:line="240" w:lineRule="auto"/>
              <w:contextualSpacing/>
              <w:jc w:val="center"/>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Max 40%</w:t>
            </w:r>
          </w:p>
        </w:tc>
        <w:tc>
          <w:tcPr>
            <w:tcW w:w="427" w:type="pct"/>
            <w:shd w:val="clear" w:color="auto" w:fill="auto"/>
            <w:vAlign w:val="top"/>
          </w:tcPr>
          <w:p w14:paraId="0DFAB819">
            <w:pPr>
              <w:spacing w:line="240" w:lineRule="auto"/>
              <w:contextualSpacing/>
              <w:jc w:val="center"/>
              <w:rPr>
                <w:rFonts w:ascii="Arial" w:hAnsi="Arial" w:eastAsia="Times New Roman" w:cs="Arial"/>
                <w:color w:val="000000"/>
                <w:sz w:val="24"/>
                <w:szCs w:val="24"/>
                <w:lang w:val="en-US" w:eastAsia="en-GB" w:bidi="ar-SA"/>
              </w:rPr>
            </w:pPr>
            <w:r>
              <w:rPr>
                <w:rFonts w:ascii="Arial" w:hAnsi="Arial" w:eastAsia="Times New Roman" w:cs="Arial"/>
                <w:color w:val="000000"/>
                <w:sz w:val="24"/>
                <w:szCs w:val="24"/>
                <w:lang w:eastAsia="en-GB"/>
              </w:rPr>
              <w:t>98%</w:t>
            </w:r>
          </w:p>
        </w:tc>
        <w:tc>
          <w:tcPr>
            <w:tcW w:w="458" w:type="pct"/>
          </w:tcPr>
          <w:p w14:paraId="667546BC">
            <w:pPr>
              <w:spacing w:line="240" w:lineRule="auto"/>
              <w:contextualSpacing/>
              <w:jc w:val="center"/>
              <w:rPr>
                <w:rFonts w:hint="default" w:ascii="Arial" w:hAnsi="Arial" w:cs="Arial"/>
                <w:bCs/>
                <w:color w:val="000000" w:themeColor="text1"/>
                <w:sz w:val="24"/>
                <w:szCs w:val="24"/>
                <w:lang w:val="en-US"/>
                <w14:textFill>
                  <w14:solidFill>
                    <w14:schemeClr w14:val="tx1"/>
                  </w14:solidFill>
                </w14:textFill>
              </w:rPr>
            </w:pPr>
            <w:r>
              <w:rPr>
                <w:rFonts w:hint="default" w:ascii="Arial" w:hAnsi="Arial" w:cs="Arial"/>
                <w:bCs/>
                <w:color w:val="000000" w:themeColor="text1"/>
                <w:sz w:val="24"/>
                <w:szCs w:val="24"/>
                <w:lang w:val="en-US"/>
                <w14:textFill>
                  <w14:solidFill>
                    <w14:schemeClr w14:val="tx1"/>
                  </w14:solidFill>
                </w14:textFill>
              </w:rPr>
              <w:t>87%</w:t>
            </w:r>
          </w:p>
        </w:tc>
        <w:tc>
          <w:tcPr>
            <w:tcW w:w="629" w:type="pct"/>
          </w:tcPr>
          <w:p w14:paraId="3C278838">
            <w:pPr>
              <w:spacing w:line="240" w:lineRule="auto"/>
              <w:contextualSpacing/>
              <w:jc w:val="center"/>
              <w:rPr>
                <w:rFonts w:hint="default" w:ascii="Arial" w:hAnsi="Arial" w:cs="Arial"/>
                <w:bCs/>
                <w:color w:val="000000" w:themeColor="text1"/>
                <w:sz w:val="24"/>
                <w:szCs w:val="24"/>
                <w:lang w:val="en-US"/>
                <w14:textFill>
                  <w14:solidFill>
                    <w14:schemeClr w14:val="tx1"/>
                  </w14:solidFill>
                </w14:textFill>
              </w:rPr>
            </w:pPr>
            <w:r>
              <w:rPr>
                <w:rFonts w:hint="default" w:ascii="Arial" w:hAnsi="Arial" w:cs="Arial"/>
                <w:bCs/>
                <w:color w:val="000000" w:themeColor="text1"/>
                <w:sz w:val="24"/>
                <w:szCs w:val="24"/>
                <w:lang w:val="en-US"/>
                <w14:textFill>
                  <w14:solidFill>
                    <w14:schemeClr w14:val="tx1"/>
                  </w14:solidFill>
                </w14:textFill>
              </w:rPr>
              <w:t>40%</w:t>
            </w:r>
          </w:p>
        </w:tc>
        <w:tc>
          <w:tcPr>
            <w:tcW w:w="471" w:type="pct"/>
          </w:tcPr>
          <w:p w14:paraId="53A191BA">
            <w:pPr>
              <w:spacing w:line="240" w:lineRule="auto"/>
              <w:contextualSpacing/>
              <w:jc w:val="center"/>
              <w:rPr>
                <w:rFonts w:hint="default" w:ascii="Arial" w:hAnsi="Arial" w:cs="Arial"/>
                <w:bCs/>
                <w:color w:val="000000" w:themeColor="text1"/>
                <w:sz w:val="24"/>
                <w:szCs w:val="24"/>
                <w:lang w:val="en-US"/>
                <w14:textFill>
                  <w14:solidFill>
                    <w14:schemeClr w14:val="tx1"/>
                  </w14:solidFill>
                </w14:textFill>
              </w:rPr>
            </w:pPr>
            <w:r>
              <w:rPr>
                <w:rFonts w:hint="default" w:ascii="Arial" w:hAnsi="Arial" w:cs="Arial"/>
                <w:bCs/>
                <w:color w:val="000000" w:themeColor="text1"/>
                <w:sz w:val="24"/>
                <w:szCs w:val="24"/>
                <w:lang w:val="en-US"/>
                <w14:textFill>
                  <w14:solidFill>
                    <w14:schemeClr w14:val="tx1"/>
                  </w14:solidFill>
                </w14:textFill>
              </w:rPr>
              <w:t>1</w:t>
            </w:r>
          </w:p>
        </w:tc>
      </w:tr>
      <w:tr w14:paraId="39306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96" w:type="pct"/>
          </w:tcPr>
          <w:p w14:paraId="266ACEA1">
            <w:pPr>
              <w:pStyle w:val="11"/>
              <w:numPr>
                <w:ilvl w:val="0"/>
                <w:numId w:val="9"/>
              </w:numPr>
              <w:tabs>
                <w:tab w:val="clear" w:pos="425"/>
              </w:tabs>
              <w:spacing w:line="240" w:lineRule="auto"/>
              <w:ind w:left="645" w:leftChars="0" w:firstLineChars="0"/>
              <w:jc w:val="both"/>
              <w:rPr>
                <w:rFonts w:ascii="Arial" w:hAnsi="Arial" w:eastAsia="Times New Roman" w:cs="Arial"/>
                <w:color w:val="000000" w:themeColor="text1"/>
                <w:sz w:val="24"/>
                <w:szCs w:val="24"/>
                <w:highlight w:val="none"/>
                <w:lang w:eastAsia="en-GB"/>
                <w14:textFill>
                  <w14:solidFill>
                    <w14:schemeClr w14:val="tx1"/>
                  </w14:solidFill>
                </w14:textFill>
              </w:rPr>
            </w:pPr>
          </w:p>
        </w:tc>
        <w:tc>
          <w:tcPr>
            <w:tcW w:w="1417" w:type="pct"/>
            <w:shd w:val="clear" w:color="auto" w:fill="auto"/>
            <w:noWrap/>
            <w:vAlign w:val="center"/>
          </w:tcPr>
          <w:p w14:paraId="6A85AB29">
            <w:pPr>
              <w:spacing w:line="240" w:lineRule="auto"/>
              <w:contextualSpacing/>
              <w:jc w:val="both"/>
              <w:rPr>
                <w:rFonts w:ascii="Arial" w:hAnsi="Arial" w:eastAsia="Times New Roman" w:cs="Arial"/>
                <w:color w:val="000000" w:themeColor="text1"/>
                <w:sz w:val="24"/>
                <w:szCs w:val="24"/>
                <w:highlight w:val="none"/>
                <w:lang w:eastAsia="en-GB"/>
                <w14:textFill>
                  <w14:solidFill>
                    <w14:schemeClr w14:val="tx1"/>
                  </w14:solidFill>
                </w14:textFill>
              </w:rPr>
            </w:pPr>
            <w:r>
              <w:rPr>
                <w:rFonts w:ascii="Arial" w:hAnsi="Arial" w:eastAsia="Times New Roman" w:cs="Arial"/>
                <w:color w:val="000000" w:themeColor="text1"/>
                <w:sz w:val="24"/>
                <w:szCs w:val="24"/>
                <w:highlight w:val="none"/>
                <w:lang w:eastAsia="en-GB"/>
                <w14:textFill>
                  <w14:solidFill>
                    <w14:schemeClr w14:val="tx1"/>
                  </w14:solidFill>
                </w14:textFill>
              </w:rPr>
              <w:t>Debt Service Capacity</w:t>
            </w:r>
          </w:p>
        </w:tc>
        <w:tc>
          <w:tcPr>
            <w:tcW w:w="1299" w:type="pct"/>
          </w:tcPr>
          <w:p w14:paraId="36EC88AB">
            <w:pPr>
              <w:spacing w:line="240" w:lineRule="auto"/>
              <w:contextualSpacing/>
              <w:jc w:val="center"/>
              <w:rPr>
                <w:rFonts w:ascii="Arial" w:hAnsi="Arial" w:eastAsia="Times New Roman" w:cs="Arial"/>
                <w:color w:val="000000" w:themeColor="text1"/>
                <w:sz w:val="24"/>
                <w:szCs w:val="24"/>
                <w:highlight w:val="none"/>
                <w:lang w:eastAsia="en-GB"/>
                <w14:textFill>
                  <w14:solidFill>
                    <w14:schemeClr w14:val="tx1"/>
                  </w14:solidFill>
                </w14:textFill>
              </w:rPr>
            </w:pPr>
            <w:r>
              <w:rPr>
                <w:rFonts w:ascii="Arial" w:hAnsi="Arial" w:eastAsia="Times New Roman" w:cs="Arial"/>
                <w:color w:val="000000" w:themeColor="text1"/>
                <w:sz w:val="24"/>
                <w:szCs w:val="24"/>
                <w:highlight w:val="none"/>
                <w:lang w:eastAsia="en-GB"/>
                <w14:textFill>
                  <w14:solidFill>
                    <w14:schemeClr w14:val="tx1"/>
                  </w14:solidFill>
                </w14:textFill>
              </w:rPr>
              <w:t>Min 2.5 times</w:t>
            </w:r>
          </w:p>
        </w:tc>
        <w:tc>
          <w:tcPr>
            <w:tcW w:w="427" w:type="pct"/>
            <w:shd w:val="clear" w:color="auto" w:fill="auto"/>
            <w:vAlign w:val="top"/>
          </w:tcPr>
          <w:p w14:paraId="2B43E841">
            <w:pPr>
              <w:spacing w:line="240" w:lineRule="auto"/>
              <w:contextualSpacing/>
              <w:jc w:val="center"/>
              <w:rPr>
                <w:rFonts w:ascii="Arial" w:hAnsi="Arial" w:eastAsia="Times New Roman" w:cs="Arial"/>
                <w:color w:val="000000"/>
                <w:sz w:val="24"/>
                <w:szCs w:val="24"/>
                <w:lang w:val="en-US" w:eastAsia="en-GB" w:bidi="ar-SA"/>
              </w:rPr>
            </w:pPr>
            <w:r>
              <w:rPr>
                <w:rFonts w:ascii="Arial" w:hAnsi="Arial" w:eastAsia="Times New Roman" w:cs="Arial"/>
                <w:color w:val="000000"/>
                <w:sz w:val="24"/>
                <w:szCs w:val="24"/>
                <w:lang w:eastAsia="en-GB"/>
              </w:rPr>
              <w:t>0.25</w:t>
            </w:r>
          </w:p>
        </w:tc>
        <w:tc>
          <w:tcPr>
            <w:tcW w:w="458" w:type="pct"/>
          </w:tcPr>
          <w:p w14:paraId="6731E12C">
            <w:pPr>
              <w:spacing w:line="240" w:lineRule="auto"/>
              <w:contextualSpacing/>
              <w:jc w:val="center"/>
              <w:rPr>
                <w:rFonts w:hint="default" w:ascii="Arial" w:hAnsi="Arial" w:cs="Arial"/>
                <w:bCs/>
                <w:color w:val="000000" w:themeColor="text1"/>
                <w:sz w:val="24"/>
                <w:szCs w:val="24"/>
                <w:highlight w:val="yellow"/>
                <w:lang w:val="en-US"/>
                <w14:textFill>
                  <w14:solidFill>
                    <w14:schemeClr w14:val="tx1"/>
                  </w14:solidFill>
                </w14:textFill>
              </w:rPr>
            </w:pPr>
            <w:r>
              <w:rPr>
                <w:rFonts w:hint="default" w:ascii="Arial" w:hAnsi="Arial" w:cs="Arial"/>
                <w:bCs/>
                <w:color w:val="000000" w:themeColor="text1"/>
                <w:sz w:val="24"/>
                <w:szCs w:val="24"/>
                <w:highlight w:val="none"/>
                <w:lang w:val="en-US"/>
                <w14:textFill>
                  <w14:solidFill>
                    <w14:schemeClr w14:val="tx1"/>
                  </w14:solidFill>
                </w14:textFill>
              </w:rPr>
              <w:t>0.98</w:t>
            </w:r>
          </w:p>
        </w:tc>
        <w:tc>
          <w:tcPr>
            <w:tcW w:w="629" w:type="pct"/>
          </w:tcPr>
          <w:p w14:paraId="7F9853D6">
            <w:pPr>
              <w:spacing w:line="240" w:lineRule="auto"/>
              <w:contextualSpacing/>
              <w:jc w:val="center"/>
              <w:rPr>
                <w:rFonts w:hint="default" w:ascii="Arial" w:hAnsi="Arial" w:cs="Arial"/>
                <w:bCs/>
                <w:color w:val="000000" w:themeColor="text1"/>
                <w:sz w:val="24"/>
                <w:szCs w:val="24"/>
                <w:highlight w:val="none"/>
                <w:lang w:val="en-US"/>
                <w14:textFill>
                  <w14:solidFill>
                    <w14:schemeClr w14:val="tx1"/>
                  </w14:solidFill>
                </w14:textFill>
              </w:rPr>
            </w:pPr>
            <w:r>
              <w:rPr>
                <w:rFonts w:hint="default" w:ascii="Arial" w:hAnsi="Arial" w:cs="Arial"/>
                <w:bCs/>
                <w:color w:val="000000" w:themeColor="text1"/>
                <w:sz w:val="24"/>
                <w:szCs w:val="24"/>
                <w:highlight w:val="none"/>
                <w:lang w:val="en-US"/>
                <w14:textFill>
                  <w14:solidFill>
                    <w14:schemeClr w14:val="tx1"/>
                  </w14:solidFill>
                </w14:textFill>
              </w:rPr>
              <w:t>2.5</w:t>
            </w:r>
          </w:p>
        </w:tc>
        <w:tc>
          <w:tcPr>
            <w:tcW w:w="471" w:type="pct"/>
          </w:tcPr>
          <w:p w14:paraId="11D52671">
            <w:pPr>
              <w:spacing w:line="240" w:lineRule="auto"/>
              <w:contextualSpacing/>
              <w:jc w:val="center"/>
              <w:rPr>
                <w:rFonts w:hint="default" w:ascii="Arial" w:hAnsi="Arial" w:cs="Arial"/>
                <w:bCs/>
                <w:color w:val="000000" w:themeColor="text1"/>
                <w:sz w:val="24"/>
                <w:szCs w:val="24"/>
                <w:highlight w:val="yellow"/>
                <w:lang w:val="en-US"/>
                <w14:textFill>
                  <w14:solidFill>
                    <w14:schemeClr w14:val="tx1"/>
                  </w14:solidFill>
                </w14:textFill>
              </w:rPr>
            </w:pPr>
            <w:r>
              <w:rPr>
                <w:rFonts w:hint="default" w:ascii="Arial" w:hAnsi="Arial" w:cs="Arial"/>
                <w:bCs/>
                <w:color w:val="auto"/>
                <w:sz w:val="24"/>
                <w:szCs w:val="24"/>
                <w:highlight w:val="none"/>
                <w:lang w:val="en-US"/>
              </w:rPr>
              <w:t>1</w:t>
            </w:r>
          </w:p>
        </w:tc>
      </w:tr>
      <w:tr w14:paraId="7D73A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296" w:type="pct"/>
          </w:tcPr>
          <w:p w14:paraId="11E6C1E4">
            <w:pPr>
              <w:pStyle w:val="11"/>
              <w:numPr>
                <w:ilvl w:val="0"/>
                <w:numId w:val="9"/>
              </w:numPr>
              <w:tabs>
                <w:tab w:val="clear" w:pos="425"/>
              </w:tabs>
              <w:spacing w:line="240" w:lineRule="auto"/>
              <w:ind w:left="645" w:leftChars="0" w:firstLineChars="0"/>
              <w:jc w:val="both"/>
              <w:rPr>
                <w:rFonts w:ascii="Arial" w:hAnsi="Arial" w:eastAsia="Times New Roman" w:cs="Arial"/>
                <w:color w:val="000000" w:themeColor="text1"/>
                <w:sz w:val="24"/>
                <w:szCs w:val="24"/>
                <w:lang w:eastAsia="en-GB"/>
                <w14:textFill>
                  <w14:solidFill>
                    <w14:schemeClr w14:val="tx1"/>
                  </w14:solidFill>
                </w14:textFill>
              </w:rPr>
            </w:pPr>
          </w:p>
        </w:tc>
        <w:tc>
          <w:tcPr>
            <w:tcW w:w="1417" w:type="pct"/>
            <w:shd w:val="clear" w:color="auto" w:fill="auto"/>
            <w:noWrap/>
            <w:vAlign w:val="center"/>
          </w:tcPr>
          <w:p w14:paraId="5CA9063E">
            <w:pPr>
              <w:spacing w:line="240" w:lineRule="auto"/>
              <w:contextualSpacing/>
              <w:jc w:val="both"/>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Remittance to Consolidated Fund</w:t>
            </w:r>
          </w:p>
        </w:tc>
        <w:tc>
          <w:tcPr>
            <w:tcW w:w="1299" w:type="pct"/>
          </w:tcPr>
          <w:p w14:paraId="549ED1BA">
            <w:pPr>
              <w:spacing w:line="240" w:lineRule="auto"/>
              <w:contextualSpacing/>
              <w:jc w:val="both"/>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Should grow Year over Year and is associated with the Operating revenue growth</w:t>
            </w:r>
          </w:p>
        </w:tc>
        <w:tc>
          <w:tcPr>
            <w:tcW w:w="427" w:type="pct"/>
            <w:shd w:val="clear" w:color="auto" w:fill="auto"/>
            <w:vAlign w:val="top"/>
          </w:tcPr>
          <w:p w14:paraId="6BE0AF40">
            <w:pPr>
              <w:spacing w:line="240" w:lineRule="auto"/>
              <w:contextualSpacing/>
              <w:jc w:val="both"/>
              <w:rPr>
                <w:rFonts w:ascii="Arial" w:hAnsi="Arial" w:eastAsia="Times New Roman" w:cs="Arial"/>
                <w:color w:val="000000"/>
                <w:sz w:val="24"/>
                <w:szCs w:val="24"/>
                <w:lang w:val="en-US" w:eastAsia="en-GB" w:bidi="ar-SA"/>
              </w:rPr>
            </w:pPr>
            <w:r>
              <w:rPr>
                <w:rFonts w:ascii="Arial" w:hAnsi="Arial" w:eastAsia="Times New Roman" w:cs="Arial"/>
                <w:color w:val="000000"/>
                <w:sz w:val="24"/>
                <w:szCs w:val="24"/>
                <w:lang w:eastAsia="en-GB"/>
              </w:rPr>
              <w:t>500,000,000</w:t>
            </w:r>
          </w:p>
        </w:tc>
        <w:tc>
          <w:tcPr>
            <w:tcW w:w="458" w:type="pct"/>
          </w:tcPr>
          <w:p w14:paraId="25B00C8F">
            <w:pPr>
              <w:spacing w:line="240" w:lineRule="auto"/>
              <w:contextualSpacing/>
              <w:jc w:val="center"/>
              <w:rPr>
                <w:rFonts w:hint="default" w:ascii="Arial" w:hAnsi="Arial" w:cs="Arial"/>
                <w:bCs/>
                <w:color w:val="000000" w:themeColor="text1"/>
                <w:sz w:val="24"/>
                <w:szCs w:val="24"/>
                <w:lang w:val="en-US"/>
                <w14:textFill>
                  <w14:solidFill>
                    <w14:schemeClr w14:val="tx1"/>
                  </w14:solidFill>
                </w14:textFill>
              </w:rPr>
            </w:pPr>
            <w:r>
              <w:rPr>
                <w:rFonts w:hint="default" w:ascii="Arial" w:hAnsi="Arial" w:cs="Arial"/>
                <w:bCs/>
                <w:color w:val="000000" w:themeColor="text1"/>
                <w:sz w:val="24"/>
                <w:szCs w:val="24"/>
                <w:lang w:val="en-US"/>
                <w14:textFill>
                  <w14:solidFill>
                    <w14:schemeClr w14:val="tx1"/>
                  </w14:solidFill>
                </w14:textFill>
              </w:rPr>
              <w:t>1billion</w:t>
            </w:r>
          </w:p>
        </w:tc>
        <w:tc>
          <w:tcPr>
            <w:tcW w:w="629" w:type="pct"/>
          </w:tcPr>
          <w:p w14:paraId="6DDE8969">
            <w:pPr>
              <w:spacing w:line="240" w:lineRule="auto"/>
              <w:contextualSpacing/>
              <w:jc w:val="center"/>
              <w:rPr>
                <w:rFonts w:hint="default" w:ascii="Arial" w:hAnsi="Arial" w:cs="Arial"/>
                <w:bCs/>
                <w:color w:val="000000" w:themeColor="text1"/>
                <w:sz w:val="24"/>
                <w:szCs w:val="24"/>
                <w:lang w:val="en-US"/>
                <w14:textFill>
                  <w14:solidFill>
                    <w14:schemeClr w14:val="tx1"/>
                  </w14:solidFill>
                </w14:textFill>
              </w:rPr>
            </w:pPr>
            <w:r>
              <w:rPr>
                <w:rFonts w:hint="default" w:ascii="Arial" w:hAnsi="Arial" w:cs="Arial"/>
                <w:bCs/>
                <w:color w:val="000000" w:themeColor="text1"/>
                <w:sz w:val="24"/>
                <w:szCs w:val="24"/>
                <w:lang w:val="en-US"/>
                <w14:textFill>
                  <w14:solidFill>
                    <w14:schemeClr w14:val="tx1"/>
                  </w14:solidFill>
                </w14:textFill>
              </w:rPr>
              <w:t>1 billion</w:t>
            </w:r>
          </w:p>
        </w:tc>
        <w:tc>
          <w:tcPr>
            <w:tcW w:w="471" w:type="pct"/>
          </w:tcPr>
          <w:p w14:paraId="0D4A7B95">
            <w:pPr>
              <w:spacing w:line="240" w:lineRule="auto"/>
              <w:contextualSpacing/>
              <w:jc w:val="center"/>
              <w:rPr>
                <w:rFonts w:hint="default" w:ascii="Arial" w:hAnsi="Arial" w:cs="Arial"/>
                <w:bCs/>
                <w:color w:val="000000" w:themeColor="text1"/>
                <w:sz w:val="24"/>
                <w:szCs w:val="24"/>
                <w:lang w:val="en-US"/>
                <w14:textFill>
                  <w14:solidFill>
                    <w14:schemeClr w14:val="tx1"/>
                  </w14:solidFill>
                </w14:textFill>
              </w:rPr>
            </w:pPr>
            <w:r>
              <w:rPr>
                <w:rFonts w:hint="default" w:ascii="Arial" w:hAnsi="Arial" w:cs="Arial"/>
                <w:bCs/>
                <w:color w:val="000000" w:themeColor="text1"/>
                <w:sz w:val="24"/>
                <w:szCs w:val="24"/>
                <w:lang w:val="en-US"/>
                <w14:textFill>
                  <w14:solidFill>
                    <w14:schemeClr w14:val="tx1"/>
                  </w14:solidFill>
                </w14:textFill>
              </w:rPr>
              <w:t>1</w:t>
            </w:r>
          </w:p>
        </w:tc>
      </w:tr>
      <w:tr w14:paraId="64E6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96" w:type="pct"/>
          </w:tcPr>
          <w:p w14:paraId="55FF85BD">
            <w:pPr>
              <w:pStyle w:val="11"/>
              <w:numPr>
                <w:ilvl w:val="0"/>
                <w:numId w:val="9"/>
              </w:numPr>
              <w:tabs>
                <w:tab w:val="clear" w:pos="425"/>
              </w:tabs>
              <w:spacing w:line="240" w:lineRule="auto"/>
              <w:ind w:left="645" w:leftChars="0" w:firstLineChars="0"/>
              <w:jc w:val="both"/>
              <w:rPr>
                <w:rFonts w:ascii="Arial" w:hAnsi="Arial" w:eastAsia="Times New Roman" w:cs="Arial"/>
                <w:color w:val="000000" w:themeColor="text1"/>
                <w:sz w:val="24"/>
                <w:szCs w:val="24"/>
                <w:lang w:eastAsia="en-GB"/>
                <w14:textFill>
                  <w14:solidFill>
                    <w14:schemeClr w14:val="tx1"/>
                  </w14:solidFill>
                </w14:textFill>
              </w:rPr>
            </w:pPr>
          </w:p>
        </w:tc>
        <w:tc>
          <w:tcPr>
            <w:tcW w:w="1417" w:type="pct"/>
            <w:shd w:val="clear" w:color="auto" w:fill="auto"/>
            <w:noWrap/>
            <w:vAlign w:val="center"/>
          </w:tcPr>
          <w:p w14:paraId="46BA92EE">
            <w:pPr>
              <w:spacing w:line="240" w:lineRule="auto"/>
              <w:contextualSpacing/>
              <w:jc w:val="both"/>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Direct Employment Created</w:t>
            </w:r>
          </w:p>
        </w:tc>
        <w:tc>
          <w:tcPr>
            <w:tcW w:w="1299" w:type="pct"/>
          </w:tcPr>
          <w:p w14:paraId="099F492B">
            <w:pPr>
              <w:spacing w:line="240" w:lineRule="auto"/>
              <w:contextualSpacing/>
              <w:jc w:val="both"/>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Grow Year over Year as a function of increase in activity</w:t>
            </w:r>
          </w:p>
        </w:tc>
        <w:tc>
          <w:tcPr>
            <w:tcW w:w="427" w:type="pct"/>
          </w:tcPr>
          <w:p w14:paraId="3EC6BF9A">
            <w:pPr>
              <w:spacing w:line="240" w:lineRule="auto"/>
              <w:contextualSpacing/>
              <w:jc w:val="center"/>
              <w:rPr>
                <w:rFonts w:hint="default" w:ascii="Arial" w:hAnsi="Arial" w:eastAsia="Times New Roman" w:cs="Arial"/>
                <w:color w:val="000000" w:themeColor="text1"/>
                <w:sz w:val="24"/>
                <w:szCs w:val="24"/>
                <w:lang w:val="en-US" w:eastAsia="en-GB"/>
                <w14:textFill>
                  <w14:solidFill>
                    <w14:schemeClr w14:val="tx1"/>
                  </w14:solidFill>
                </w14:textFill>
              </w:rPr>
            </w:pPr>
            <w:r>
              <w:rPr>
                <w:rFonts w:hint="default" w:ascii="Arial" w:hAnsi="Arial" w:eastAsia="Times New Roman" w:cs="Arial"/>
                <w:color w:val="000000" w:themeColor="text1"/>
                <w:sz w:val="24"/>
                <w:szCs w:val="24"/>
                <w:lang w:val="en-US" w:eastAsia="en-GB"/>
                <w14:textFill>
                  <w14:solidFill>
                    <w14:schemeClr w14:val="tx1"/>
                  </w14:solidFill>
                </w14:textFill>
              </w:rPr>
              <w:t>216</w:t>
            </w:r>
          </w:p>
        </w:tc>
        <w:tc>
          <w:tcPr>
            <w:tcW w:w="458" w:type="pct"/>
          </w:tcPr>
          <w:p w14:paraId="69B14DA3">
            <w:pPr>
              <w:spacing w:line="240" w:lineRule="auto"/>
              <w:contextualSpacing/>
              <w:jc w:val="center"/>
              <w:rPr>
                <w:rFonts w:hint="default" w:ascii="Arial" w:hAnsi="Arial" w:cs="Arial"/>
                <w:bCs/>
                <w:color w:val="000000" w:themeColor="text1"/>
                <w:sz w:val="24"/>
                <w:szCs w:val="24"/>
                <w:lang w:val="en-US"/>
                <w14:textFill>
                  <w14:solidFill>
                    <w14:schemeClr w14:val="tx1"/>
                  </w14:solidFill>
                </w14:textFill>
              </w:rPr>
            </w:pPr>
            <w:r>
              <w:rPr>
                <w:rFonts w:hint="default" w:ascii="Arial" w:hAnsi="Arial" w:cs="Arial"/>
                <w:bCs/>
                <w:color w:val="000000" w:themeColor="text1"/>
                <w:sz w:val="24"/>
                <w:szCs w:val="24"/>
                <w:lang w:val="en-US"/>
                <w14:textFill>
                  <w14:solidFill>
                    <w14:schemeClr w14:val="tx1"/>
                  </w14:solidFill>
                </w14:textFill>
              </w:rPr>
              <w:t>250</w:t>
            </w:r>
          </w:p>
        </w:tc>
        <w:tc>
          <w:tcPr>
            <w:tcW w:w="629" w:type="pct"/>
          </w:tcPr>
          <w:p w14:paraId="51FC461F">
            <w:pPr>
              <w:spacing w:line="240" w:lineRule="auto"/>
              <w:contextualSpacing/>
              <w:jc w:val="center"/>
              <w:rPr>
                <w:rFonts w:hint="default" w:ascii="Arial" w:hAnsi="Arial" w:cs="Arial"/>
                <w:bCs/>
                <w:color w:val="000000" w:themeColor="text1"/>
                <w:sz w:val="24"/>
                <w:szCs w:val="24"/>
                <w:lang w:val="en-US"/>
                <w14:textFill>
                  <w14:solidFill>
                    <w14:schemeClr w14:val="tx1"/>
                  </w14:solidFill>
                </w14:textFill>
              </w:rPr>
            </w:pPr>
            <w:r>
              <w:rPr>
                <w:rFonts w:hint="default" w:ascii="Arial" w:hAnsi="Arial" w:cs="Arial"/>
                <w:bCs/>
                <w:color w:val="000000" w:themeColor="text1"/>
                <w:sz w:val="24"/>
                <w:szCs w:val="24"/>
                <w:lang w:val="en-US"/>
                <w14:textFill>
                  <w14:solidFill>
                    <w14:schemeClr w14:val="tx1"/>
                  </w14:solidFill>
                </w14:textFill>
              </w:rPr>
              <w:t>279</w:t>
            </w:r>
          </w:p>
        </w:tc>
        <w:tc>
          <w:tcPr>
            <w:tcW w:w="471" w:type="pct"/>
          </w:tcPr>
          <w:p w14:paraId="561B0048">
            <w:pPr>
              <w:spacing w:line="240" w:lineRule="auto"/>
              <w:contextualSpacing/>
              <w:jc w:val="center"/>
              <w:rPr>
                <w:rFonts w:hint="default" w:ascii="Arial" w:hAnsi="Arial" w:cs="Arial"/>
                <w:bCs/>
                <w:color w:val="000000" w:themeColor="text1"/>
                <w:sz w:val="24"/>
                <w:szCs w:val="24"/>
                <w:lang w:val="en-US"/>
                <w14:textFill>
                  <w14:solidFill>
                    <w14:schemeClr w14:val="tx1"/>
                  </w14:solidFill>
                </w14:textFill>
              </w:rPr>
            </w:pPr>
            <w:r>
              <w:rPr>
                <w:rFonts w:hint="default" w:ascii="Arial" w:hAnsi="Arial" w:cs="Arial"/>
                <w:bCs/>
                <w:color w:val="000000" w:themeColor="text1"/>
                <w:sz w:val="24"/>
                <w:szCs w:val="24"/>
                <w:lang w:val="en-US"/>
                <w14:textFill>
                  <w14:solidFill>
                    <w14:schemeClr w14:val="tx1"/>
                  </w14:solidFill>
                </w14:textFill>
              </w:rPr>
              <w:t>0.5</w:t>
            </w:r>
          </w:p>
        </w:tc>
      </w:tr>
      <w:tr w14:paraId="6DCE9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296" w:type="pct"/>
          </w:tcPr>
          <w:p w14:paraId="00D4CC4D">
            <w:pPr>
              <w:pStyle w:val="11"/>
              <w:numPr>
                <w:ilvl w:val="0"/>
                <w:numId w:val="9"/>
              </w:numPr>
              <w:tabs>
                <w:tab w:val="clear" w:pos="425"/>
              </w:tabs>
              <w:spacing w:line="240" w:lineRule="auto"/>
              <w:ind w:left="645" w:leftChars="0" w:firstLineChars="0"/>
              <w:jc w:val="both"/>
              <w:rPr>
                <w:rFonts w:ascii="Arial" w:hAnsi="Arial" w:eastAsia="Times New Roman" w:cs="Arial"/>
                <w:color w:val="000000" w:themeColor="text1"/>
                <w:sz w:val="24"/>
                <w:szCs w:val="24"/>
                <w:lang w:eastAsia="en-GB"/>
                <w14:textFill>
                  <w14:solidFill>
                    <w14:schemeClr w14:val="tx1"/>
                  </w14:solidFill>
                </w14:textFill>
              </w:rPr>
            </w:pPr>
          </w:p>
        </w:tc>
        <w:tc>
          <w:tcPr>
            <w:tcW w:w="1417" w:type="pct"/>
            <w:shd w:val="clear" w:color="auto" w:fill="auto"/>
            <w:noWrap/>
            <w:vAlign w:val="center"/>
          </w:tcPr>
          <w:p w14:paraId="7EAE6103">
            <w:pPr>
              <w:spacing w:line="240" w:lineRule="auto"/>
              <w:contextualSpacing/>
              <w:jc w:val="both"/>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Indirect Employment Created</w:t>
            </w:r>
          </w:p>
        </w:tc>
        <w:tc>
          <w:tcPr>
            <w:tcW w:w="1299" w:type="pct"/>
          </w:tcPr>
          <w:p w14:paraId="72190348">
            <w:pPr>
              <w:spacing w:line="240" w:lineRule="auto"/>
              <w:contextualSpacing/>
              <w:jc w:val="both"/>
              <w:rPr>
                <w:rFonts w:ascii="Arial" w:hAnsi="Arial" w:eastAsia="Times New Roman" w:cs="Arial"/>
                <w:color w:val="000000" w:themeColor="text1"/>
                <w:sz w:val="24"/>
                <w:szCs w:val="24"/>
                <w:lang w:eastAsia="en-GB"/>
                <w14:textFill>
                  <w14:solidFill>
                    <w14:schemeClr w14:val="tx1"/>
                  </w14:solidFill>
                </w14:textFill>
              </w:rPr>
            </w:pPr>
            <w:r>
              <w:rPr>
                <w:rFonts w:ascii="Arial" w:hAnsi="Arial" w:eastAsia="Times New Roman" w:cs="Arial"/>
                <w:color w:val="000000" w:themeColor="text1"/>
                <w:sz w:val="24"/>
                <w:szCs w:val="24"/>
                <w:lang w:eastAsia="en-GB"/>
                <w14:textFill>
                  <w14:solidFill>
                    <w14:schemeClr w14:val="tx1"/>
                  </w14:solidFill>
                </w14:textFill>
              </w:rPr>
              <w:t>Grow Year over Year as a function of increase in activity</w:t>
            </w:r>
          </w:p>
        </w:tc>
        <w:tc>
          <w:tcPr>
            <w:tcW w:w="427" w:type="pct"/>
          </w:tcPr>
          <w:p w14:paraId="449FC6E7">
            <w:pPr>
              <w:spacing w:line="240" w:lineRule="auto"/>
              <w:contextualSpacing/>
              <w:jc w:val="center"/>
              <w:rPr>
                <w:rFonts w:ascii="Arial" w:hAnsi="Arial" w:eastAsia="Times New Roman" w:cs="Arial"/>
                <w:color w:val="000000" w:themeColor="text1"/>
                <w:sz w:val="24"/>
                <w:szCs w:val="24"/>
                <w:lang w:eastAsia="en-GB"/>
                <w14:textFill>
                  <w14:solidFill>
                    <w14:schemeClr w14:val="tx1"/>
                  </w14:solidFill>
                </w14:textFill>
              </w:rPr>
            </w:pPr>
            <w:r>
              <w:rPr>
                <w:rFonts w:hint="default" w:ascii="Arial" w:hAnsi="Arial" w:eastAsia="Times New Roman" w:cs="Arial"/>
                <w:sz w:val="24"/>
                <w:szCs w:val="24"/>
                <w:lang w:val="en-US" w:eastAsia="en-GB"/>
              </w:rPr>
              <w:t>5</w:t>
            </w:r>
            <w:r>
              <w:rPr>
                <w:rFonts w:ascii="Arial" w:hAnsi="Arial" w:eastAsia="Times New Roman" w:cs="Arial"/>
                <w:sz w:val="24"/>
                <w:szCs w:val="24"/>
                <w:lang w:eastAsia="en-GB"/>
              </w:rPr>
              <w:t>047</w:t>
            </w:r>
          </w:p>
        </w:tc>
        <w:tc>
          <w:tcPr>
            <w:tcW w:w="458" w:type="pct"/>
          </w:tcPr>
          <w:p w14:paraId="409E77E4">
            <w:pPr>
              <w:spacing w:line="240" w:lineRule="auto"/>
              <w:contextualSpacing/>
              <w:jc w:val="center"/>
              <w:rPr>
                <w:rFonts w:hint="default" w:ascii="Arial" w:hAnsi="Arial" w:eastAsia="Times New Roman" w:cs="Arial"/>
                <w:color w:val="000000" w:themeColor="text1"/>
                <w:sz w:val="24"/>
                <w:szCs w:val="24"/>
                <w:lang w:val="en-US" w:eastAsia="en-GB"/>
                <w14:textFill>
                  <w14:solidFill>
                    <w14:schemeClr w14:val="tx1"/>
                  </w14:solidFill>
                </w14:textFill>
              </w:rPr>
            </w:pPr>
            <w:r>
              <w:rPr>
                <w:rFonts w:hint="default" w:ascii="Arial" w:hAnsi="Arial" w:eastAsia="Times New Roman" w:cs="Arial"/>
                <w:color w:val="000000" w:themeColor="text1"/>
                <w:sz w:val="24"/>
                <w:szCs w:val="24"/>
                <w:lang w:val="en-US" w:eastAsia="en-GB"/>
                <w14:textFill>
                  <w14:solidFill>
                    <w14:schemeClr w14:val="tx1"/>
                  </w14:solidFill>
                </w14:textFill>
              </w:rPr>
              <w:t>1205</w:t>
            </w:r>
          </w:p>
        </w:tc>
        <w:tc>
          <w:tcPr>
            <w:tcW w:w="629" w:type="pct"/>
          </w:tcPr>
          <w:p w14:paraId="1A6A35DB">
            <w:pPr>
              <w:spacing w:line="240" w:lineRule="auto"/>
              <w:contextualSpacing/>
              <w:jc w:val="center"/>
              <w:rPr>
                <w:rFonts w:hint="default" w:ascii="Arial" w:hAnsi="Arial" w:cs="Arial"/>
                <w:color w:val="000000" w:themeColor="text1"/>
                <w:sz w:val="24"/>
                <w:szCs w:val="24"/>
                <w:lang w:val="en-US"/>
                <w14:textFill>
                  <w14:solidFill>
                    <w14:schemeClr w14:val="tx1"/>
                  </w14:solidFill>
                </w14:textFill>
              </w:rPr>
            </w:pPr>
            <w:r>
              <w:rPr>
                <w:rFonts w:hint="default" w:ascii="Arial" w:hAnsi="Arial" w:cs="Arial"/>
                <w:color w:val="000000" w:themeColor="text1"/>
                <w:sz w:val="24"/>
                <w:szCs w:val="24"/>
                <w:lang w:val="en-US"/>
                <w14:textFill>
                  <w14:solidFill>
                    <w14:schemeClr w14:val="tx1"/>
                  </w14:solidFill>
                </w14:textFill>
              </w:rPr>
              <w:t>808</w:t>
            </w:r>
          </w:p>
        </w:tc>
        <w:tc>
          <w:tcPr>
            <w:tcW w:w="471" w:type="pct"/>
          </w:tcPr>
          <w:p w14:paraId="77A0C5BB">
            <w:pPr>
              <w:spacing w:line="240" w:lineRule="auto"/>
              <w:contextualSpacing/>
              <w:jc w:val="center"/>
              <w:rPr>
                <w:rFonts w:hint="default" w:ascii="Arial" w:hAnsi="Arial" w:cs="Arial"/>
                <w:color w:val="000000" w:themeColor="text1"/>
                <w:sz w:val="24"/>
                <w:szCs w:val="24"/>
                <w:lang w:val="en-US"/>
                <w14:textFill>
                  <w14:solidFill>
                    <w14:schemeClr w14:val="tx1"/>
                  </w14:solidFill>
                </w14:textFill>
              </w:rPr>
            </w:pPr>
            <w:r>
              <w:rPr>
                <w:rFonts w:hint="default" w:ascii="Arial" w:hAnsi="Arial" w:cs="Arial"/>
                <w:color w:val="000000" w:themeColor="text1"/>
                <w:sz w:val="24"/>
                <w:szCs w:val="24"/>
                <w:lang w:val="en-US"/>
                <w14:textFill>
                  <w14:solidFill>
                    <w14:schemeClr w14:val="tx1"/>
                  </w14:solidFill>
                </w14:textFill>
              </w:rPr>
              <w:t>0.5</w:t>
            </w:r>
          </w:p>
        </w:tc>
      </w:tr>
      <w:tr w14:paraId="5A148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296" w:type="pct"/>
          </w:tcPr>
          <w:p w14:paraId="612950E8">
            <w:pPr>
              <w:pStyle w:val="11"/>
              <w:numPr>
                <w:ilvl w:val="0"/>
                <w:numId w:val="0"/>
              </w:numPr>
              <w:spacing w:line="240" w:lineRule="auto"/>
              <w:ind w:left="220" w:leftChars="0"/>
              <w:jc w:val="both"/>
              <w:rPr>
                <w:rFonts w:ascii="Arial" w:hAnsi="Arial" w:eastAsia="Times New Roman" w:cs="Arial"/>
                <w:b/>
                <w:bCs/>
                <w:color w:val="000000" w:themeColor="text1"/>
                <w:sz w:val="24"/>
                <w:szCs w:val="24"/>
                <w:lang w:eastAsia="en-GB"/>
                <w14:textFill>
                  <w14:solidFill>
                    <w14:schemeClr w14:val="tx1"/>
                  </w14:solidFill>
                </w14:textFill>
              </w:rPr>
            </w:pPr>
          </w:p>
        </w:tc>
        <w:tc>
          <w:tcPr>
            <w:tcW w:w="1417" w:type="pct"/>
            <w:shd w:val="clear" w:color="auto" w:fill="auto"/>
            <w:noWrap/>
            <w:vAlign w:val="center"/>
          </w:tcPr>
          <w:p w14:paraId="0911D1DD">
            <w:pPr>
              <w:spacing w:line="240" w:lineRule="auto"/>
              <w:contextualSpacing/>
              <w:jc w:val="both"/>
              <w:rPr>
                <w:rFonts w:ascii="Arial" w:hAnsi="Arial" w:eastAsia="Times New Roman" w:cs="Arial"/>
                <w:b/>
                <w:bCs/>
                <w:color w:val="000000" w:themeColor="text1"/>
                <w:sz w:val="24"/>
                <w:szCs w:val="24"/>
                <w:lang w:eastAsia="en-GB"/>
                <w14:textFill>
                  <w14:solidFill>
                    <w14:schemeClr w14:val="tx1"/>
                  </w14:solidFill>
                </w14:textFill>
              </w:rPr>
            </w:pPr>
            <w:r>
              <w:rPr>
                <w:rFonts w:ascii="Arial" w:hAnsi="Arial" w:eastAsia="Times New Roman" w:cs="Arial"/>
                <w:b/>
                <w:bCs/>
                <w:color w:val="000000" w:themeColor="text1"/>
                <w:sz w:val="24"/>
                <w:szCs w:val="24"/>
                <w:lang w:eastAsia="en-GB"/>
                <w14:textFill>
                  <w14:solidFill>
                    <w14:schemeClr w14:val="tx1"/>
                  </w14:solidFill>
                </w14:textFill>
              </w:rPr>
              <w:t>TOTAL</w:t>
            </w:r>
          </w:p>
        </w:tc>
        <w:tc>
          <w:tcPr>
            <w:tcW w:w="1299" w:type="pct"/>
          </w:tcPr>
          <w:p w14:paraId="0BACCF40">
            <w:pPr>
              <w:spacing w:line="240" w:lineRule="auto"/>
              <w:contextualSpacing/>
              <w:jc w:val="both"/>
              <w:rPr>
                <w:rFonts w:ascii="Arial" w:hAnsi="Arial" w:eastAsia="Times New Roman" w:cs="Arial"/>
                <w:b/>
                <w:bCs/>
                <w:color w:val="000000" w:themeColor="text1"/>
                <w:sz w:val="24"/>
                <w:szCs w:val="24"/>
                <w:lang w:eastAsia="en-GB"/>
                <w14:textFill>
                  <w14:solidFill>
                    <w14:schemeClr w14:val="tx1"/>
                  </w14:solidFill>
                </w14:textFill>
              </w:rPr>
            </w:pPr>
          </w:p>
        </w:tc>
        <w:tc>
          <w:tcPr>
            <w:tcW w:w="427" w:type="pct"/>
          </w:tcPr>
          <w:p w14:paraId="7F97740E">
            <w:pPr>
              <w:spacing w:line="240" w:lineRule="auto"/>
              <w:contextualSpacing/>
              <w:jc w:val="both"/>
              <w:rPr>
                <w:rFonts w:ascii="Arial" w:hAnsi="Arial" w:eastAsia="Times New Roman" w:cs="Arial"/>
                <w:b/>
                <w:bCs/>
                <w:color w:val="000000" w:themeColor="text1"/>
                <w:sz w:val="24"/>
                <w:szCs w:val="24"/>
                <w:lang w:eastAsia="en-GB"/>
                <w14:textFill>
                  <w14:solidFill>
                    <w14:schemeClr w14:val="tx1"/>
                  </w14:solidFill>
                </w14:textFill>
              </w:rPr>
            </w:pPr>
          </w:p>
        </w:tc>
        <w:tc>
          <w:tcPr>
            <w:tcW w:w="458" w:type="pct"/>
          </w:tcPr>
          <w:p w14:paraId="704C4AEC">
            <w:pPr>
              <w:spacing w:line="240" w:lineRule="auto"/>
              <w:contextualSpacing/>
              <w:jc w:val="both"/>
              <w:rPr>
                <w:rFonts w:ascii="Arial" w:hAnsi="Arial" w:eastAsia="Times New Roman" w:cs="Arial"/>
                <w:b/>
                <w:bCs/>
                <w:color w:val="000000" w:themeColor="text1"/>
                <w:sz w:val="24"/>
                <w:szCs w:val="24"/>
                <w:lang w:eastAsia="en-GB"/>
                <w14:textFill>
                  <w14:solidFill>
                    <w14:schemeClr w14:val="tx1"/>
                  </w14:solidFill>
                </w14:textFill>
              </w:rPr>
            </w:pPr>
          </w:p>
        </w:tc>
        <w:tc>
          <w:tcPr>
            <w:tcW w:w="629" w:type="pct"/>
          </w:tcPr>
          <w:p w14:paraId="39E33A18">
            <w:pPr>
              <w:spacing w:line="240" w:lineRule="auto"/>
              <w:contextualSpacing/>
              <w:jc w:val="both"/>
              <w:rPr>
                <w:rFonts w:ascii="Arial" w:hAnsi="Arial" w:cs="Arial"/>
                <w:b/>
                <w:bCs/>
                <w:color w:val="000000" w:themeColor="text1"/>
                <w:sz w:val="24"/>
                <w:szCs w:val="24"/>
                <w14:textFill>
                  <w14:solidFill>
                    <w14:schemeClr w14:val="tx1"/>
                  </w14:solidFill>
                </w14:textFill>
              </w:rPr>
            </w:pPr>
          </w:p>
        </w:tc>
        <w:tc>
          <w:tcPr>
            <w:tcW w:w="471" w:type="pct"/>
          </w:tcPr>
          <w:p w14:paraId="5D387605">
            <w:pPr>
              <w:spacing w:line="240" w:lineRule="auto"/>
              <w:contextualSpacing/>
              <w:jc w:val="center"/>
              <w:rPr>
                <w:rFonts w:hint="default" w:ascii="Arial" w:hAnsi="Arial" w:cs="Arial"/>
                <w:b/>
                <w:bCs/>
                <w:color w:val="000000" w:themeColor="text1"/>
                <w:sz w:val="24"/>
                <w:szCs w:val="24"/>
                <w:lang w:val="en-US"/>
                <w14:textFill>
                  <w14:solidFill>
                    <w14:schemeClr w14:val="tx1"/>
                  </w14:solidFill>
                </w14:textFill>
              </w:rPr>
            </w:pPr>
            <w:r>
              <w:rPr>
                <w:rFonts w:hint="default" w:ascii="Arial" w:hAnsi="Arial" w:cs="Arial"/>
                <w:b/>
                <w:bCs/>
                <w:color w:val="000000" w:themeColor="text1"/>
                <w:sz w:val="24"/>
                <w:szCs w:val="24"/>
                <w:lang w:val="en-US"/>
                <w14:textFill>
                  <w14:solidFill>
                    <w14:schemeClr w14:val="tx1"/>
                  </w14:solidFill>
                </w14:textFill>
              </w:rPr>
              <w:t>20</w:t>
            </w:r>
          </w:p>
        </w:tc>
      </w:tr>
      <w:bookmarkEnd w:id="6"/>
    </w:tbl>
    <w:p w14:paraId="453199C1">
      <w:pPr>
        <w:autoSpaceDE w:val="0"/>
        <w:autoSpaceDN w:val="0"/>
        <w:adjustRightInd w:val="0"/>
        <w:spacing w:after="0"/>
        <w:jc w:val="both"/>
        <w:rPr>
          <w:rFonts w:ascii="Arial" w:hAnsi="Arial" w:cs="Arial"/>
          <w:sz w:val="24"/>
          <w:szCs w:val="24"/>
        </w:rPr>
      </w:pPr>
    </w:p>
    <w:p w14:paraId="4427533A">
      <w:pPr>
        <w:autoSpaceDE w:val="0"/>
        <w:autoSpaceDN w:val="0"/>
        <w:adjustRightInd w:val="0"/>
        <w:spacing w:after="0"/>
        <w:jc w:val="both"/>
        <w:rPr>
          <w:rFonts w:ascii="Arial" w:hAnsi="Arial" w:cs="Arial"/>
          <w:sz w:val="24"/>
          <w:szCs w:val="24"/>
        </w:rPr>
      </w:pPr>
      <w:r>
        <w:rPr>
          <w:rFonts w:ascii="Arial" w:hAnsi="Arial" w:cs="Arial"/>
          <w:sz w:val="24"/>
          <w:szCs w:val="24"/>
        </w:rPr>
        <w:t>NB: See description of key terms below</w:t>
      </w:r>
    </w:p>
    <w:p w14:paraId="33B0B5E2">
      <w:pPr>
        <w:autoSpaceDE w:val="0"/>
        <w:autoSpaceDN w:val="0"/>
        <w:adjustRightInd w:val="0"/>
        <w:spacing w:after="0"/>
        <w:jc w:val="both"/>
        <w:rPr>
          <w:rFonts w:ascii="Arial" w:hAnsi="Arial" w:cs="Arial"/>
          <w:sz w:val="24"/>
          <w:szCs w:val="24"/>
        </w:rPr>
        <w:sectPr>
          <w:pgSz w:w="15840" w:h="12240" w:orient="landscape"/>
          <w:pgMar w:top="560" w:right="1440" w:bottom="1440" w:left="1440" w:header="720" w:footer="720" w:gutter="0"/>
          <w:cols w:space="720" w:num="1"/>
          <w:docGrid w:linePitch="360" w:charSpace="0"/>
        </w:sectPr>
      </w:pPr>
    </w:p>
    <w:p w14:paraId="1D3E6277">
      <w:pPr>
        <w:numPr>
          <w:ilvl w:val="0"/>
          <w:numId w:val="2"/>
        </w:numPr>
        <w:spacing w:after="0" w:line="360" w:lineRule="auto"/>
        <w:jc w:val="both"/>
        <w:rPr>
          <w:rFonts w:ascii="Arial" w:hAnsi="Arial" w:eastAsia="Times New Roman" w:cs="Arial"/>
          <w:b/>
          <w:color w:val="000000"/>
          <w:sz w:val="24"/>
          <w:szCs w:val="24"/>
        </w:rPr>
      </w:pPr>
      <w:r>
        <w:rPr>
          <w:rFonts w:ascii="Arial" w:hAnsi="Arial" w:cs="Arial"/>
          <w:b/>
          <w:sz w:val="24"/>
          <w:szCs w:val="24"/>
        </w:rPr>
        <w:t>OBLIGATIONS OF THE PARTIES</w:t>
      </w:r>
    </w:p>
    <w:p w14:paraId="7D542E04">
      <w:pPr>
        <w:autoSpaceDE w:val="0"/>
        <w:autoSpaceDN w:val="0"/>
        <w:adjustRightInd w:val="0"/>
        <w:spacing w:after="0" w:line="360" w:lineRule="auto"/>
        <w:ind w:left="360"/>
        <w:jc w:val="both"/>
        <w:rPr>
          <w:rFonts w:ascii="Arial" w:hAnsi="Arial" w:eastAsia="Times New Roman" w:cs="Arial"/>
          <w:color w:val="000000"/>
          <w:sz w:val="24"/>
          <w:szCs w:val="24"/>
        </w:rPr>
      </w:pPr>
    </w:p>
    <w:p w14:paraId="217657E6">
      <w:pPr>
        <w:numPr>
          <w:ilvl w:val="1"/>
          <w:numId w:val="2"/>
        </w:numPr>
        <w:autoSpaceDE w:val="0"/>
        <w:autoSpaceDN w:val="0"/>
        <w:adjustRightInd w:val="0"/>
        <w:spacing w:after="0" w:line="360" w:lineRule="auto"/>
        <w:ind w:right="-349" w:hanging="1080"/>
        <w:jc w:val="both"/>
        <w:rPr>
          <w:rFonts w:ascii="Arial" w:hAnsi="Arial" w:eastAsia="Times New Roman" w:cs="Arial"/>
          <w:b/>
          <w:sz w:val="24"/>
          <w:szCs w:val="24"/>
        </w:rPr>
      </w:pPr>
      <w:r>
        <w:rPr>
          <w:rFonts w:ascii="Arial" w:hAnsi="Arial" w:eastAsia="Times New Roman" w:cs="Arial"/>
          <w:b/>
          <w:sz w:val="24"/>
          <w:szCs w:val="24"/>
        </w:rPr>
        <w:t>THE TREASURY REGISTRAR:</w:t>
      </w:r>
    </w:p>
    <w:p w14:paraId="5416E38D">
      <w:pPr>
        <w:numPr>
          <w:ilvl w:val="0"/>
          <w:numId w:val="10"/>
        </w:numPr>
        <w:autoSpaceDE w:val="0"/>
        <w:autoSpaceDN w:val="0"/>
        <w:adjustRightInd w:val="0"/>
        <w:spacing w:after="0" w:line="360" w:lineRule="auto"/>
        <w:ind w:left="1418" w:right="-349" w:hanging="709"/>
        <w:jc w:val="both"/>
        <w:rPr>
          <w:rFonts w:ascii="Arial" w:hAnsi="Arial" w:eastAsia="Times New Roman" w:cs="Arial"/>
          <w:sz w:val="24"/>
          <w:szCs w:val="24"/>
        </w:rPr>
      </w:pPr>
      <w:r>
        <w:rPr>
          <w:rFonts w:ascii="Arial" w:hAnsi="Arial" w:eastAsia="Times New Roman" w:cs="Arial"/>
          <w:sz w:val="24"/>
          <w:szCs w:val="24"/>
        </w:rPr>
        <w:t>The Treasury Registrar shall approve all relevant documents as stipulated in the Act and other written laws governing public institutions and statutory corporations;</w:t>
      </w:r>
    </w:p>
    <w:p w14:paraId="0D247FA1">
      <w:pPr>
        <w:autoSpaceDE w:val="0"/>
        <w:autoSpaceDN w:val="0"/>
        <w:adjustRightInd w:val="0"/>
        <w:spacing w:after="0" w:line="360" w:lineRule="auto"/>
        <w:ind w:left="1440" w:right="-349"/>
        <w:jc w:val="both"/>
        <w:rPr>
          <w:rFonts w:ascii="Arial" w:hAnsi="Arial" w:eastAsia="Times New Roman" w:cs="Arial"/>
          <w:b/>
          <w:sz w:val="18"/>
          <w:szCs w:val="24"/>
        </w:rPr>
      </w:pPr>
    </w:p>
    <w:p w14:paraId="4C40EA13">
      <w:pPr>
        <w:numPr>
          <w:ilvl w:val="0"/>
          <w:numId w:val="10"/>
        </w:numPr>
        <w:autoSpaceDE w:val="0"/>
        <w:autoSpaceDN w:val="0"/>
        <w:adjustRightInd w:val="0"/>
        <w:spacing w:after="0" w:line="360" w:lineRule="auto"/>
        <w:ind w:left="1418" w:right="-349" w:hanging="709"/>
        <w:jc w:val="both"/>
        <w:rPr>
          <w:rFonts w:ascii="Arial" w:hAnsi="Arial" w:eastAsia="Times New Roman" w:cs="Arial"/>
          <w:b/>
          <w:sz w:val="24"/>
          <w:szCs w:val="24"/>
        </w:rPr>
      </w:pPr>
      <w:r>
        <w:rPr>
          <w:rFonts w:ascii="Arial" w:hAnsi="Arial" w:eastAsia="Times New Roman" w:cs="Arial"/>
          <w:sz w:val="24"/>
          <w:szCs w:val="24"/>
        </w:rPr>
        <w:t xml:space="preserve">Advise on the review, amendment and harmonization of laws in order to empower the </w:t>
      </w:r>
      <w:r>
        <w:rPr>
          <w:rFonts w:ascii="Arial" w:hAnsi="Arial" w:cs="Arial"/>
          <w:sz w:val="24"/>
          <w:szCs w:val="24"/>
        </w:rPr>
        <w:t>Board to</w:t>
      </w:r>
      <w:r>
        <w:rPr>
          <w:rFonts w:ascii="Arial" w:hAnsi="Arial" w:eastAsia="Times New Roman" w:cs="Arial"/>
          <w:sz w:val="24"/>
          <w:szCs w:val="24"/>
        </w:rPr>
        <w:t xml:space="preserve"> achieve its mandate;</w:t>
      </w:r>
    </w:p>
    <w:p w14:paraId="7160C9A5">
      <w:pPr>
        <w:autoSpaceDE w:val="0"/>
        <w:autoSpaceDN w:val="0"/>
        <w:adjustRightInd w:val="0"/>
        <w:spacing w:after="0" w:line="360" w:lineRule="auto"/>
        <w:ind w:left="1440" w:right="-349"/>
        <w:jc w:val="both"/>
        <w:rPr>
          <w:rFonts w:ascii="Arial" w:hAnsi="Arial" w:eastAsia="Times New Roman" w:cs="Arial"/>
          <w:color w:val="000000"/>
          <w:sz w:val="16"/>
          <w:szCs w:val="24"/>
        </w:rPr>
      </w:pPr>
    </w:p>
    <w:p w14:paraId="2924AA9D">
      <w:pPr>
        <w:numPr>
          <w:ilvl w:val="0"/>
          <w:numId w:val="10"/>
        </w:numPr>
        <w:autoSpaceDE w:val="0"/>
        <w:autoSpaceDN w:val="0"/>
        <w:adjustRightInd w:val="0"/>
        <w:spacing w:after="0" w:line="360" w:lineRule="auto"/>
        <w:ind w:left="1418" w:right="-349" w:hanging="709"/>
        <w:jc w:val="both"/>
        <w:rPr>
          <w:rFonts w:ascii="Arial" w:hAnsi="Arial" w:eastAsia="Times New Roman" w:cs="Arial"/>
          <w:b/>
          <w:sz w:val="24"/>
          <w:szCs w:val="24"/>
        </w:rPr>
      </w:pPr>
      <w:r>
        <w:rPr>
          <w:rFonts w:ascii="Arial" w:hAnsi="Arial" w:eastAsia="Times New Roman" w:cs="Arial"/>
          <w:color w:val="000000"/>
          <w:sz w:val="24"/>
          <w:szCs w:val="24"/>
        </w:rPr>
        <w:t xml:space="preserve">Promote and create an enabling environment for the </w:t>
      </w:r>
      <w:r>
        <w:rPr>
          <w:rFonts w:ascii="Arial" w:hAnsi="Arial" w:cs="Arial"/>
          <w:sz w:val="24"/>
          <w:szCs w:val="24"/>
        </w:rPr>
        <w:t xml:space="preserve">Board to </w:t>
      </w:r>
      <w:r>
        <w:rPr>
          <w:rFonts w:ascii="Arial" w:hAnsi="Arial" w:eastAsia="Times New Roman" w:cs="Arial"/>
          <w:sz w:val="24"/>
          <w:szCs w:val="24"/>
        </w:rPr>
        <w:t>meet the agreed objectives;</w:t>
      </w:r>
      <w:r>
        <w:rPr>
          <w:rFonts w:ascii="Arial" w:hAnsi="Arial" w:eastAsia="Times New Roman" w:cs="Arial"/>
          <w:color w:val="000000"/>
          <w:sz w:val="24"/>
          <w:szCs w:val="24"/>
        </w:rPr>
        <w:t xml:space="preserve"> </w:t>
      </w:r>
    </w:p>
    <w:p w14:paraId="7EB2239F">
      <w:pPr>
        <w:autoSpaceDE w:val="0"/>
        <w:autoSpaceDN w:val="0"/>
        <w:adjustRightInd w:val="0"/>
        <w:spacing w:after="0" w:line="360" w:lineRule="auto"/>
        <w:ind w:left="1440" w:right="-349" w:firstLine="720"/>
        <w:jc w:val="both"/>
        <w:rPr>
          <w:rFonts w:ascii="Arial" w:hAnsi="Arial" w:eastAsia="Times New Roman" w:cs="Arial"/>
          <w:sz w:val="18"/>
          <w:szCs w:val="24"/>
        </w:rPr>
      </w:pPr>
    </w:p>
    <w:p w14:paraId="130D7BC2">
      <w:pPr>
        <w:numPr>
          <w:ilvl w:val="0"/>
          <w:numId w:val="10"/>
        </w:numPr>
        <w:autoSpaceDE w:val="0"/>
        <w:autoSpaceDN w:val="0"/>
        <w:adjustRightInd w:val="0"/>
        <w:spacing w:after="0" w:line="360" w:lineRule="auto"/>
        <w:ind w:left="1418" w:right="-349" w:hanging="709"/>
        <w:jc w:val="both"/>
        <w:rPr>
          <w:rFonts w:ascii="Arial" w:hAnsi="Arial" w:eastAsia="Times New Roman" w:cs="Arial"/>
          <w:sz w:val="24"/>
          <w:szCs w:val="24"/>
        </w:rPr>
      </w:pPr>
      <w:r>
        <w:rPr>
          <w:rFonts w:ascii="Arial" w:hAnsi="Arial" w:eastAsia="Times New Roman" w:cs="Arial"/>
          <w:sz w:val="24"/>
          <w:szCs w:val="24"/>
        </w:rPr>
        <w:t xml:space="preserve">Propose to the appointing authority on the termination of the </w:t>
      </w:r>
      <w:r>
        <w:rPr>
          <w:rFonts w:ascii="Arial" w:hAnsi="Arial" w:cs="Arial"/>
          <w:sz w:val="24"/>
          <w:szCs w:val="24"/>
        </w:rPr>
        <w:t xml:space="preserve">Board </w:t>
      </w:r>
      <w:r>
        <w:rPr>
          <w:rFonts w:ascii="Arial" w:hAnsi="Arial" w:eastAsia="Times New Roman" w:cs="Arial"/>
          <w:sz w:val="24"/>
          <w:szCs w:val="24"/>
        </w:rPr>
        <w:t xml:space="preserve">in the event of failure to meet the agreed objectives; </w:t>
      </w:r>
    </w:p>
    <w:p w14:paraId="075171A9">
      <w:pPr>
        <w:autoSpaceDE w:val="0"/>
        <w:autoSpaceDN w:val="0"/>
        <w:adjustRightInd w:val="0"/>
        <w:spacing w:after="0" w:line="360" w:lineRule="auto"/>
        <w:ind w:left="1440" w:right="-349"/>
        <w:jc w:val="both"/>
        <w:rPr>
          <w:rFonts w:ascii="Arial" w:hAnsi="Arial" w:eastAsia="Times New Roman" w:cs="Arial"/>
          <w:sz w:val="18"/>
          <w:szCs w:val="24"/>
        </w:rPr>
      </w:pPr>
    </w:p>
    <w:p w14:paraId="5A820C00">
      <w:pPr>
        <w:numPr>
          <w:ilvl w:val="0"/>
          <w:numId w:val="10"/>
        </w:numPr>
        <w:autoSpaceDE w:val="0"/>
        <w:autoSpaceDN w:val="0"/>
        <w:adjustRightInd w:val="0"/>
        <w:spacing w:after="0" w:line="360" w:lineRule="auto"/>
        <w:ind w:left="1418" w:right="-349" w:hanging="709"/>
        <w:jc w:val="both"/>
        <w:rPr>
          <w:rFonts w:ascii="Arial" w:hAnsi="Arial" w:eastAsia="Times New Roman" w:cs="Arial"/>
          <w:sz w:val="24"/>
          <w:szCs w:val="24"/>
        </w:rPr>
      </w:pPr>
      <w:r>
        <w:rPr>
          <w:rFonts w:ascii="Arial" w:hAnsi="Arial" w:eastAsia="Times New Roman" w:cs="Arial"/>
          <w:sz w:val="24"/>
          <w:szCs w:val="24"/>
        </w:rPr>
        <w:t xml:space="preserve">To ensure that the appointed </w:t>
      </w:r>
      <w:r>
        <w:rPr>
          <w:rFonts w:ascii="Arial" w:hAnsi="Arial" w:cs="Arial"/>
          <w:sz w:val="24"/>
          <w:szCs w:val="24"/>
        </w:rPr>
        <w:t xml:space="preserve">Board </w:t>
      </w:r>
      <w:r>
        <w:rPr>
          <w:rFonts w:ascii="Arial" w:hAnsi="Arial" w:eastAsia="Times New Roman" w:cs="Arial"/>
          <w:sz w:val="24"/>
          <w:szCs w:val="24"/>
        </w:rPr>
        <w:t>Members have the relevant skills;</w:t>
      </w:r>
    </w:p>
    <w:p w14:paraId="4A135143">
      <w:pPr>
        <w:autoSpaceDE w:val="0"/>
        <w:autoSpaceDN w:val="0"/>
        <w:adjustRightInd w:val="0"/>
        <w:spacing w:after="0" w:line="360" w:lineRule="auto"/>
        <w:ind w:left="1440" w:right="-349" w:firstLine="720"/>
        <w:jc w:val="both"/>
        <w:rPr>
          <w:rFonts w:ascii="Arial" w:hAnsi="Arial" w:cs="Arial"/>
          <w:sz w:val="18"/>
          <w:szCs w:val="24"/>
        </w:rPr>
      </w:pPr>
    </w:p>
    <w:p w14:paraId="62215B71">
      <w:pPr>
        <w:numPr>
          <w:ilvl w:val="0"/>
          <w:numId w:val="10"/>
        </w:numPr>
        <w:autoSpaceDE w:val="0"/>
        <w:autoSpaceDN w:val="0"/>
        <w:adjustRightInd w:val="0"/>
        <w:spacing w:after="0" w:line="360" w:lineRule="auto"/>
        <w:ind w:left="1418" w:right="-349" w:hanging="709"/>
        <w:jc w:val="both"/>
        <w:rPr>
          <w:rFonts w:ascii="Arial" w:hAnsi="Arial" w:eastAsia="Times New Roman" w:cs="Arial"/>
          <w:b/>
          <w:sz w:val="24"/>
          <w:szCs w:val="24"/>
        </w:rPr>
      </w:pPr>
      <w:r>
        <w:rPr>
          <w:rFonts w:ascii="Arial" w:hAnsi="Arial" w:eastAsia="Times New Roman" w:cs="Arial"/>
          <w:color w:val="000000"/>
          <w:sz w:val="24"/>
          <w:szCs w:val="24"/>
        </w:rPr>
        <w:t>Carry out quarterly monitoring and evaluation of the agreed objectives;</w:t>
      </w:r>
    </w:p>
    <w:p w14:paraId="34BDF1AB">
      <w:pPr>
        <w:autoSpaceDE w:val="0"/>
        <w:autoSpaceDN w:val="0"/>
        <w:adjustRightInd w:val="0"/>
        <w:spacing w:after="0" w:line="360" w:lineRule="auto"/>
        <w:ind w:left="1440" w:right="-349"/>
        <w:jc w:val="both"/>
        <w:rPr>
          <w:rFonts w:ascii="Arial" w:hAnsi="Arial" w:eastAsia="Times New Roman" w:cs="Arial"/>
          <w:sz w:val="18"/>
          <w:szCs w:val="24"/>
        </w:rPr>
      </w:pPr>
    </w:p>
    <w:p w14:paraId="75ECEB02">
      <w:pPr>
        <w:numPr>
          <w:ilvl w:val="0"/>
          <w:numId w:val="10"/>
        </w:numPr>
        <w:autoSpaceDE w:val="0"/>
        <w:autoSpaceDN w:val="0"/>
        <w:adjustRightInd w:val="0"/>
        <w:spacing w:after="0" w:line="360" w:lineRule="auto"/>
        <w:ind w:left="1418" w:right="-349" w:hanging="709"/>
        <w:jc w:val="both"/>
        <w:rPr>
          <w:rFonts w:ascii="Arial" w:hAnsi="Arial" w:eastAsia="Times New Roman" w:cs="Arial"/>
          <w:sz w:val="24"/>
          <w:szCs w:val="24"/>
        </w:rPr>
      </w:pPr>
      <w:r>
        <w:rPr>
          <w:rFonts w:ascii="Arial" w:hAnsi="Arial" w:eastAsia="Times New Roman" w:cs="Arial"/>
          <w:sz w:val="24"/>
          <w:szCs w:val="24"/>
        </w:rPr>
        <w:t xml:space="preserve">To ensure that there is timely appointments of </w:t>
      </w:r>
      <w:r>
        <w:rPr>
          <w:rFonts w:ascii="Arial" w:hAnsi="Arial" w:cs="Arial"/>
          <w:sz w:val="24"/>
          <w:szCs w:val="24"/>
        </w:rPr>
        <w:t>Board and</w:t>
      </w:r>
      <w:r>
        <w:rPr>
          <w:rFonts w:ascii="Arial" w:hAnsi="Arial" w:eastAsia="Times New Roman" w:cs="Arial"/>
          <w:sz w:val="24"/>
          <w:szCs w:val="24"/>
        </w:rPr>
        <w:t xml:space="preserve"> the Chief Executive Officer upon expiry of their respective tenures; and</w:t>
      </w:r>
    </w:p>
    <w:p w14:paraId="1D00AD48">
      <w:pPr>
        <w:pStyle w:val="11"/>
        <w:spacing w:line="360" w:lineRule="auto"/>
        <w:rPr>
          <w:rFonts w:ascii="Arial" w:hAnsi="Arial" w:cs="Arial"/>
          <w:sz w:val="16"/>
          <w:szCs w:val="24"/>
        </w:rPr>
      </w:pPr>
    </w:p>
    <w:p w14:paraId="3E0458E1">
      <w:pPr>
        <w:numPr>
          <w:ilvl w:val="0"/>
          <w:numId w:val="10"/>
        </w:numPr>
        <w:autoSpaceDE w:val="0"/>
        <w:autoSpaceDN w:val="0"/>
        <w:adjustRightInd w:val="0"/>
        <w:spacing w:after="0" w:line="360" w:lineRule="auto"/>
        <w:ind w:left="1418" w:right="-349" w:hanging="709"/>
        <w:jc w:val="both"/>
        <w:rPr>
          <w:rFonts w:ascii="Arial" w:hAnsi="Arial" w:eastAsia="Times New Roman" w:cs="Arial"/>
          <w:sz w:val="24"/>
          <w:szCs w:val="24"/>
        </w:rPr>
      </w:pPr>
      <w:r>
        <w:rPr>
          <w:rFonts w:ascii="Arial" w:hAnsi="Arial" w:eastAsia="Times New Roman" w:cs="Arial"/>
          <w:sz w:val="24"/>
          <w:szCs w:val="24"/>
        </w:rPr>
        <w:t>To do any other act necessary to be done in execution of the duties of the Treasury Registrar as required by the Act or any other written law.</w:t>
      </w:r>
    </w:p>
    <w:p w14:paraId="47D292A5">
      <w:pPr>
        <w:autoSpaceDE w:val="0"/>
        <w:autoSpaceDN w:val="0"/>
        <w:adjustRightInd w:val="0"/>
        <w:spacing w:after="0" w:line="360" w:lineRule="auto"/>
        <w:ind w:right="-349"/>
        <w:jc w:val="both"/>
        <w:rPr>
          <w:rFonts w:ascii="Arial" w:hAnsi="Arial" w:eastAsia="Times New Roman" w:cs="Arial"/>
          <w:b/>
          <w:sz w:val="28"/>
          <w:szCs w:val="24"/>
        </w:rPr>
      </w:pPr>
    </w:p>
    <w:p w14:paraId="745094C9">
      <w:pPr>
        <w:numPr>
          <w:ilvl w:val="1"/>
          <w:numId w:val="2"/>
        </w:numPr>
        <w:autoSpaceDE w:val="0"/>
        <w:autoSpaceDN w:val="0"/>
        <w:adjustRightInd w:val="0"/>
        <w:spacing w:after="0" w:line="360" w:lineRule="auto"/>
        <w:ind w:right="-349" w:hanging="1080"/>
        <w:jc w:val="both"/>
        <w:rPr>
          <w:rFonts w:ascii="Arial" w:hAnsi="Arial" w:cs="Arial"/>
          <w:b/>
          <w:sz w:val="24"/>
          <w:szCs w:val="24"/>
        </w:rPr>
      </w:pPr>
      <w:r>
        <w:rPr>
          <w:rFonts w:ascii="Arial" w:hAnsi="Arial" w:eastAsia="Times New Roman" w:cs="Arial"/>
          <w:b/>
          <w:sz w:val="24"/>
          <w:szCs w:val="24"/>
        </w:rPr>
        <w:t xml:space="preserve">THE BOARD OF </w:t>
      </w:r>
      <w:r>
        <w:rPr>
          <w:rFonts w:ascii="Arial" w:hAnsi="Arial" w:cs="Arial"/>
          <w:b/>
          <w:sz w:val="24"/>
          <w:szCs w:val="24"/>
        </w:rPr>
        <w:t>TANZANIA RAILWAYS CORPORATION</w:t>
      </w:r>
    </w:p>
    <w:p w14:paraId="5268E2D9">
      <w:pPr>
        <w:autoSpaceDE w:val="0"/>
        <w:autoSpaceDN w:val="0"/>
        <w:adjustRightInd w:val="0"/>
        <w:spacing w:after="0" w:line="360" w:lineRule="auto"/>
        <w:ind w:left="720" w:right="-349"/>
        <w:jc w:val="both"/>
        <w:rPr>
          <w:rFonts w:ascii="Arial" w:hAnsi="Arial" w:eastAsia="Times New Roman" w:cs="Arial"/>
          <w:sz w:val="18"/>
          <w:szCs w:val="24"/>
        </w:rPr>
      </w:pPr>
    </w:p>
    <w:p w14:paraId="1CD3742E">
      <w:pPr>
        <w:autoSpaceDE w:val="0"/>
        <w:autoSpaceDN w:val="0"/>
        <w:adjustRightInd w:val="0"/>
        <w:spacing w:after="0" w:line="360" w:lineRule="auto"/>
        <w:ind w:left="720" w:right="-349"/>
        <w:jc w:val="both"/>
        <w:rPr>
          <w:rFonts w:ascii="Arial" w:hAnsi="Arial" w:eastAsia="Times New Roman" w:cs="Arial"/>
          <w:sz w:val="24"/>
          <w:szCs w:val="24"/>
        </w:rPr>
      </w:pPr>
      <w:r>
        <w:rPr>
          <w:rFonts w:ascii="Arial" w:hAnsi="Arial" w:eastAsia="Times New Roman" w:cs="Arial"/>
          <w:sz w:val="24"/>
          <w:szCs w:val="24"/>
        </w:rPr>
        <w:t>For the Financial Year 202</w:t>
      </w:r>
      <w:r>
        <w:rPr>
          <w:rFonts w:hint="default" w:ascii="Arial" w:hAnsi="Arial" w:eastAsia="Times New Roman" w:cs="Arial"/>
          <w:sz w:val="24"/>
          <w:szCs w:val="24"/>
          <w:lang w:val="en-US"/>
        </w:rPr>
        <w:t>5</w:t>
      </w:r>
      <w:r>
        <w:rPr>
          <w:rFonts w:ascii="Arial" w:hAnsi="Arial" w:eastAsia="Times New Roman" w:cs="Arial"/>
          <w:sz w:val="24"/>
          <w:szCs w:val="24"/>
        </w:rPr>
        <w:t>/2</w:t>
      </w:r>
      <w:r>
        <w:rPr>
          <w:rFonts w:hint="default" w:ascii="Arial" w:hAnsi="Arial" w:eastAsia="Times New Roman" w:cs="Arial"/>
          <w:sz w:val="24"/>
          <w:szCs w:val="24"/>
          <w:lang w:val="en-US"/>
        </w:rPr>
        <w:t>6</w:t>
      </w:r>
      <w:r>
        <w:rPr>
          <w:rFonts w:ascii="Arial" w:hAnsi="Arial" w:eastAsia="Times New Roman" w:cs="Arial"/>
          <w:sz w:val="24"/>
          <w:szCs w:val="24"/>
        </w:rPr>
        <w:t xml:space="preserve"> the Board will ensure that it is committed to achieve the following: -</w:t>
      </w:r>
    </w:p>
    <w:p w14:paraId="771CB7EA">
      <w:pPr>
        <w:autoSpaceDE w:val="0"/>
        <w:autoSpaceDN w:val="0"/>
        <w:adjustRightInd w:val="0"/>
        <w:spacing w:after="0" w:line="360" w:lineRule="auto"/>
        <w:ind w:left="720" w:right="-349"/>
        <w:jc w:val="both"/>
        <w:rPr>
          <w:rFonts w:ascii="Arial" w:hAnsi="Arial" w:eastAsia="Times New Roman" w:cs="Arial"/>
          <w:sz w:val="24"/>
          <w:szCs w:val="24"/>
        </w:rPr>
      </w:pPr>
    </w:p>
    <w:p w14:paraId="23C8767C">
      <w:pPr>
        <w:numPr>
          <w:ilvl w:val="0"/>
          <w:numId w:val="11"/>
        </w:numPr>
        <w:spacing w:after="0" w:line="360" w:lineRule="auto"/>
        <w:jc w:val="both"/>
        <w:rPr>
          <w:rFonts w:ascii="Arial" w:hAnsi="Arial" w:cs="Arial"/>
          <w:color w:val="000000"/>
          <w:sz w:val="24"/>
          <w:szCs w:val="24"/>
        </w:rPr>
      </w:pPr>
      <w:r>
        <w:rPr>
          <w:rFonts w:ascii="Arial" w:hAnsi="Arial" w:cs="Arial"/>
          <w:color w:val="000000"/>
          <w:sz w:val="24"/>
          <w:szCs w:val="24"/>
        </w:rPr>
        <w:t>Prioritization of the targets in line with the envisaged level of resources to be made available;</w:t>
      </w:r>
    </w:p>
    <w:p w14:paraId="5C762ADE">
      <w:pPr>
        <w:autoSpaceDE w:val="0"/>
        <w:autoSpaceDN w:val="0"/>
        <w:adjustRightInd w:val="0"/>
        <w:spacing w:after="0" w:line="360" w:lineRule="auto"/>
        <w:ind w:left="720" w:right="-349"/>
        <w:jc w:val="both"/>
        <w:rPr>
          <w:rFonts w:ascii="Arial" w:hAnsi="Arial" w:cs="Arial"/>
          <w:color w:val="000000"/>
          <w:sz w:val="24"/>
          <w:szCs w:val="24"/>
        </w:rPr>
      </w:pPr>
    </w:p>
    <w:p w14:paraId="3C576CDA">
      <w:pPr>
        <w:numPr>
          <w:ilvl w:val="0"/>
          <w:numId w:val="11"/>
        </w:numPr>
        <w:tabs>
          <w:tab w:val="left" w:pos="360"/>
        </w:tabs>
        <w:spacing w:after="0" w:line="360" w:lineRule="auto"/>
        <w:jc w:val="both"/>
        <w:rPr>
          <w:rFonts w:ascii="Arial" w:hAnsi="Arial" w:cs="Arial"/>
          <w:color w:val="000000"/>
          <w:sz w:val="24"/>
          <w:szCs w:val="24"/>
        </w:rPr>
      </w:pPr>
      <w:r>
        <w:rPr>
          <w:rFonts w:ascii="Arial" w:hAnsi="Arial" w:cs="Arial"/>
          <w:color w:val="000000"/>
          <w:sz w:val="24"/>
          <w:szCs w:val="24"/>
        </w:rPr>
        <w:t>Mobilization of adequate funding from different sources: Internal, National, Regional and International ones;</w:t>
      </w:r>
    </w:p>
    <w:p w14:paraId="00F7B7BF">
      <w:pPr>
        <w:autoSpaceDE w:val="0"/>
        <w:autoSpaceDN w:val="0"/>
        <w:adjustRightInd w:val="0"/>
        <w:spacing w:after="0" w:line="360" w:lineRule="auto"/>
        <w:ind w:left="720" w:right="-349"/>
        <w:jc w:val="both"/>
        <w:rPr>
          <w:rFonts w:ascii="Arial" w:hAnsi="Arial" w:cs="Arial"/>
          <w:color w:val="000000"/>
          <w:sz w:val="24"/>
          <w:szCs w:val="24"/>
        </w:rPr>
      </w:pPr>
    </w:p>
    <w:p w14:paraId="3A50D7FA">
      <w:pPr>
        <w:numPr>
          <w:ilvl w:val="0"/>
          <w:numId w:val="11"/>
        </w:numPr>
        <w:spacing w:after="0" w:line="360" w:lineRule="auto"/>
        <w:jc w:val="both"/>
        <w:rPr>
          <w:rFonts w:ascii="Arial" w:hAnsi="Arial" w:cs="Arial"/>
          <w:color w:val="000000"/>
          <w:sz w:val="24"/>
          <w:szCs w:val="24"/>
        </w:rPr>
      </w:pPr>
      <w:r>
        <w:rPr>
          <w:rFonts w:ascii="Arial" w:hAnsi="Arial" w:cs="Arial"/>
          <w:color w:val="000000"/>
          <w:sz w:val="24"/>
          <w:szCs w:val="24"/>
        </w:rPr>
        <w:t>Full development of each comprehensive target with its activity or activities and its cost as part of the Annual Business Plan and Budget;</w:t>
      </w:r>
    </w:p>
    <w:p w14:paraId="4A7A7780">
      <w:pPr>
        <w:autoSpaceDE w:val="0"/>
        <w:autoSpaceDN w:val="0"/>
        <w:adjustRightInd w:val="0"/>
        <w:spacing w:after="0" w:line="360" w:lineRule="auto"/>
        <w:ind w:left="720" w:right="-349"/>
        <w:jc w:val="both"/>
        <w:rPr>
          <w:rFonts w:ascii="Arial" w:hAnsi="Arial" w:cs="Arial"/>
          <w:color w:val="000000"/>
          <w:sz w:val="24"/>
          <w:szCs w:val="24"/>
        </w:rPr>
      </w:pPr>
    </w:p>
    <w:p w14:paraId="57473B19">
      <w:pPr>
        <w:numPr>
          <w:ilvl w:val="0"/>
          <w:numId w:val="11"/>
        </w:numPr>
        <w:tabs>
          <w:tab w:val="left" w:pos="360"/>
        </w:tabs>
        <w:spacing w:after="0" w:line="360" w:lineRule="auto"/>
        <w:jc w:val="both"/>
        <w:rPr>
          <w:rFonts w:ascii="Arial" w:hAnsi="Arial" w:cs="Arial"/>
          <w:color w:val="000000"/>
          <w:sz w:val="24"/>
          <w:szCs w:val="24"/>
        </w:rPr>
      </w:pPr>
      <w:r>
        <w:rPr>
          <w:rFonts w:ascii="Arial" w:hAnsi="Arial" w:cs="Arial"/>
          <w:color w:val="000000"/>
          <w:sz w:val="24"/>
          <w:szCs w:val="24"/>
        </w:rPr>
        <w:t>Getting relevant Stakeholders involved in the implementation as deemed necessary. Efforts will be made to ensure that the plan is well understood by the stakeholders, especially the Staff and potential financiers;</w:t>
      </w:r>
    </w:p>
    <w:p w14:paraId="62B30080">
      <w:pPr>
        <w:autoSpaceDE w:val="0"/>
        <w:autoSpaceDN w:val="0"/>
        <w:adjustRightInd w:val="0"/>
        <w:spacing w:after="0" w:line="360" w:lineRule="auto"/>
        <w:ind w:left="720" w:right="-349"/>
        <w:jc w:val="both"/>
        <w:rPr>
          <w:rFonts w:ascii="Arial" w:hAnsi="Arial" w:cs="Arial"/>
          <w:color w:val="000000"/>
          <w:sz w:val="24"/>
          <w:szCs w:val="24"/>
        </w:rPr>
      </w:pPr>
    </w:p>
    <w:p w14:paraId="08272737">
      <w:pPr>
        <w:numPr>
          <w:ilvl w:val="0"/>
          <w:numId w:val="11"/>
        </w:numPr>
        <w:tabs>
          <w:tab w:val="left" w:pos="360"/>
        </w:tabs>
        <w:spacing w:after="0" w:line="360" w:lineRule="auto"/>
        <w:jc w:val="both"/>
        <w:rPr>
          <w:rFonts w:ascii="Arial" w:hAnsi="Arial" w:cs="Arial"/>
          <w:color w:val="000000"/>
          <w:sz w:val="24"/>
          <w:szCs w:val="24"/>
        </w:rPr>
      </w:pPr>
      <w:r>
        <w:rPr>
          <w:rFonts w:ascii="Arial" w:hAnsi="Arial" w:cs="Arial"/>
          <w:color w:val="000000"/>
          <w:sz w:val="24"/>
          <w:szCs w:val="24"/>
        </w:rPr>
        <w:t>Taking steps to effectively cascade the strategic objectives and targets in Directorates, Units and Individual employee objectives and targets and to formulate objectively verifiable employee performance contracts;</w:t>
      </w:r>
    </w:p>
    <w:p w14:paraId="61180DFE">
      <w:pPr>
        <w:spacing w:after="0" w:line="360" w:lineRule="auto"/>
        <w:jc w:val="both"/>
        <w:rPr>
          <w:rFonts w:ascii="Arial" w:hAnsi="Arial" w:cs="Arial"/>
          <w:color w:val="000000"/>
          <w:sz w:val="24"/>
          <w:szCs w:val="24"/>
        </w:rPr>
      </w:pPr>
    </w:p>
    <w:p w14:paraId="72DDBF22">
      <w:pPr>
        <w:numPr>
          <w:ilvl w:val="0"/>
          <w:numId w:val="11"/>
        </w:numPr>
        <w:tabs>
          <w:tab w:val="left" w:pos="360"/>
        </w:tabs>
        <w:spacing w:after="0" w:line="360" w:lineRule="auto"/>
        <w:jc w:val="both"/>
        <w:rPr>
          <w:rFonts w:ascii="Arial" w:hAnsi="Arial" w:cs="Arial"/>
          <w:color w:val="000000"/>
          <w:sz w:val="24"/>
          <w:szCs w:val="24"/>
        </w:rPr>
      </w:pPr>
      <w:r>
        <w:rPr>
          <w:rFonts w:ascii="Arial" w:hAnsi="Arial" w:cs="Arial"/>
          <w:color w:val="000000"/>
          <w:sz w:val="24"/>
          <w:szCs w:val="24"/>
        </w:rPr>
        <w:t>Based on the Management by Objectives (MBO) framework, each member of management team to prepare a detailed annual action plan (Performance Objectives) for his/her performance written contract;</w:t>
      </w:r>
    </w:p>
    <w:p w14:paraId="3FFA70D7">
      <w:pPr>
        <w:autoSpaceDE w:val="0"/>
        <w:autoSpaceDN w:val="0"/>
        <w:adjustRightInd w:val="0"/>
        <w:spacing w:after="0" w:line="360" w:lineRule="auto"/>
        <w:ind w:left="720" w:right="-349"/>
        <w:jc w:val="both"/>
        <w:rPr>
          <w:rFonts w:ascii="Arial" w:hAnsi="Arial" w:cs="Arial"/>
          <w:color w:val="000000"/>
          <w:sz w:val="24"/>
          <w:szCs w:val="24"/>
        </w:rPr>
      </w:pPr>
    </w:p>
    <w:p w14:paraId="05C7BAC1">
      <w:pPr>
        <w:numPr>
          <w:ilvl w:val="0"/>
          <w:numId w:val="11"/>
        </w:numPr>
        <w:tabs>
          <w:tab w:val="left" w:pos="360"/>
        </w:tabs>
        <w:spacing w:after="0" w:line="360" w:lineRule="auto"/>
        <w:jc w:val="both"/>
        <w:rPr>
          <w:rFonts w:ascii="Arial" w:hAnsi="Arial" w:cs="Arial"/>
          <w:color w:val="000000"/>
          <w:sz w:val="24"/>
          <w:szCs w:val="24"/>
        </w:rPr>
      </w:pPr>
      <w:r>
        <w:rPr>
          <w:rFonts w:ascii="Arial" w:hAnsi="Arial" w:cs="Arial"/>
          <w:color w:val="000000"/>
          <w:sz w:val="24"/>
          <w:szCs w:val="24"/>
        </w:rPr>
        <w:t>Preparation and implementation of the M &amp; E Policy and Plan for the Corporate Strategic Plan;</w:t>
      </w:r>
    </w:p>
    <w:p w14:paraId="5A543F00">
      <w:pPr>
        <w:autoSpaceDE w:val="0"/>
        <w:autoSpaceDN w:val="0"/>
        <w:adjustRightInd w:val="0"/>
        <w:spacing w:after="0" w:line="360" w:lineRule="auto"/>
        <w:ind w:left="720" w:right="-349"/>
        <w:jc w:val="both"/>
        <w:rPr>
          <w:rFonts w:ascii="Arial" w:hAnsi="Arial" w:cs="Arial"/>
          <w:color w:val="000000"/>
          <w:sz w:val="24"/>
          <w:szCs w:val="24"/>
        </w:rPr>
      </w:pPr>
    </w:p>
    <w:p w14:paraId="6D01C860">
      <w:pPr>
        <w:numPr>
          <w:ilvl w:val="0"/>
          <w:numId w:val="11"/>
        </w:numPr>
        <w:autoSpaceDE w:val="0"/>
        <w:autoSpaceDN w:val="0"/>
        <w:adjustRightInd w:val="0"/>
        <w:spacing w:after="0" w:line="360" w:lineRule="auto"/>
        <w:ind w:right="-349"/>
        <w:jc w:val="both"/>
        <w:rPr>
          <w:rFonts w:ascii="Arial" w:hAnsi="Arial" w:eastAsia="Times New Roman" w:cs="Arial"/>
          <w:sz w:val="24"/>
          <w:szCs w:val="24"/>
        </w:rPr>
      </w:pPr>
      <w:r>
        <w:rPr>
          <w:rFonts w:ascii="Arial" w:hAnsi="Arial" w:eastAsia="Times New Roman" w:cs="Arial"/>
          <w:color w:val="000000"/>
          <w:sz w:val="24"/>
          <w:szCs w:val="24"/>
        </w:rPr>
        <w:t xml:space="preserve">To improve control on expenditure and asset management </w:t>
      </w:r>
      <w:r>
        <w:rPr>
          <w:rFonts w:ascii="Arial" w:hAnsi="Arial" w:eastAsia="Times New Roman" w:cs="Arial"/>
          <w:sz w:val="24"/>
          <w:szCs w:val="24"/>
        </w:rPr>
        <w:t>of the institution</w:t>
      </w:r>
      <w:r>
        <w:rPr>
          <w:rFonts w:ascii="Arial" w:hAnsi="Arial" w:eastAsia="Times New Roman" w:cs="Arial"/>
          <w:color w:val="000000"/>
          <w:sz w:val="24"/>
          <w:szCs w:val="24"/>
        </w:rPr>
        <w:t>;</w:t>
      </w:r>
    </w:p>
    <w:p w14:paraId="787101DC">
      <w:pPr>
        <w:autoSpaceDE w:val="0"/>
        <w:autoSpaceDN w:val="0"/>
        <w:adjustRightInd w:val="0"/>
        <w:spacing w:after="0" w:line="360" w:lineRule="auto"/>
        <w:ind w:left="720" w:right="-349"/>
        <w:jc w:val="both"/>
        <w:rPr>
          <w:rFonts w:ascii="Arial" w:hAnsi="Arial" w:cs="Arial"/>
          <w:sz w:val="24"/>
          <w:szCs w:val="24"/>
        </w:rPr>
      </w:pPr>
    </w:p>
    <w:p w14:paraId="22613FD9">
      <w:pPr>
        <w:numPr>
          <w:ilvl w:val="0"/>
          <w:numId w:val="11"/>
        </w:numPr>
        <w:autoSpaceDE w:val="0"/>
        <w:autoSpaceDN w:val="0"/>
        <w:adjustRightInd w:val="0"/>
        <w:spacing w:after="0" w:line="360" w:lineRule="auto"/>
        <w:ind w:right="-349"/>
        <w:jc w:val="both"/>
        <w:rPr>
          <w:rFonts w:ascii="Arial" w:hAnsi="Arial" w:eastAsia="Times New Roman" w:cs="Arial"/>
          <w:sz w:val="24"/>
          <w:szCs w:val="24"/>
        </w:rPr>
      </w:pPr>
      <w:r>
        <w:rPr>
          <w:rFonts w:ascii="Arial" w:hAnsi="Arial" w:eastAsia="Times New Roman" w:cs="Arial"/>
          <w:color w:val="000000"/>
          <w:sz w:val="24"/>
          <w:szCs w:val="24"/>
        </w:rPr>
        <w:t xml:space="preserve">To institute effective internal controls </w:t>
      </w:r>
      <w:r>
        <w:rPr>
          <w:rFonts w:ascii="Arial" w:hAnsi="Arial" w:eastAsia="Times New Roman" w:cs="Arial"/>
          <w:sz w:val="24"/>
          <w:szCs w:val="24"/>
        </w:rPr>
        <w:t>of the Institution Business Operations;</w:t>
      </w:r>
    </w:p>
    <w:p w14:paraId="07DB231B">
      <w:pPr>
        <w:autoSpaceDE w:val="0"/>
        <w:autoSpaceDN w:val="0"/>
        <w:adjustRightInd w:val="0"/>
        <w:spacing w:after="0" w:line="360" w:lineRule="auto"/>
        <w:ind w:left="720" w:right="-349"/>
        <w:jc w:val="both"/>
        <w:rPr>
          <w:rFonts w:ascii="Arial" w:hAnsi="Arial" w:cs="Arial"/>
          <w:sz w:val="24"/>
          <w:szCs w:val="24"/>
        </w:rPr>
      </w:pPr>
    </w:p>
    <w:p w14:paraId="7CDE69EB">
      <w:pPr>
        <w:numPr>
          <w:ilvl w:val="0"/>
          <w:numId w:val="11"/>
        </w:numPr>
        <w:autoSpaceDE w:val="0"/>
        <w:autoSpaceDN w:val="0"/>
        <w:adjustRightInd w:val="0"/>
        <w:spacing w:after="0" w:line="360" w:lineRule="auto"/>
        <w:ind w:right="-349"/>
        <w:jc w:val="both"/>
        <w:rPr>
          <w:rFonts w:ascii="Arial" w:hAnsi="Arial" w:eastAsia="Times New Roman" w:cs="Arial"/>
          <w:sz w:val="24"/>
          <w:szCs w:val="24"/>
        </w:rPr>
      </w:pPr>
      <w:r>
        <w:rPr>
          <w:rFonts w:ascii="Arial" w:hAnsi="Arial" w:eastAsia="Times New Roman" w:cs="Arial"/>
          <w:color w:val="000000"/>
          <w:sz w:val="24"/>
          <w:szCs w:val="24"/>
        </w:rPr>
        <w:t>To create conducive environment where employees can perform and contribute to organization objectives and performance target;</w:t>
      </w:r>
    </w:p>
    <w:p w14:paraId="7B925587">
      <w:pPr>
        <w:autoSpaceDE w:val="0"/>
        <w:autoSpaceDN w:val="0"/>
        <w:adjustRightInd w:val="0"/>
        <w:spacing w:after="0" w:line="360" w:lineRule="auto"/>
        <w:ind w:left="720" w:right="-349"/>
        <w:jc w:val="both"/>
        <w:rPr>
          <w:rFonts w:ascii="Arial" w:hAnsi="Arial" w:cs="Arial"/>
          <w:sz w:val="24"/>
          <w:szCs w:val="24"/>
        </w:rPr>
      </w:pPr>
    </w:p>
    <w:p w14:paraId="37E8114E">
      <w:pPr>
        <w:numPr>
          <w:ilvl w:val="0"/>
          <w:numId w:val="11"/>
        </w:numPr>
        <w:autoSpaceDE w:val="0"/>
        <w:autoSpaceDN w:val="0"/>
        <w:adjustRightInd w:val="0"/>
        <w:spacing w:after="0" w:line="360" w:lineRule="auto"/>
        <w:ind w:right="-349"/>
        <w:jc w:val="both"/>
        <w:rPr>
          <w:rFonts w:ascii="Arial" w:hAnsi="Arial" w:eastAsia="Times New Roman" w:cs="Arial"/>
          <w:sz w:val="24"/>
          <w:szCs w:val="24"/>
        </w:rPr>
      </w:pPr>
      <w:r>
        <w:rPr>
          <w:rFonts w:ascii="Arial" w:hAnsi="Arial" w:eastAsia="Times New Roman" w:cs="Arial"/>
          <w:color w:val="000000"/>
          <w:sz w:val="24"/>
          <w:szCs w:val="24"/>
        </w:rPr>
        <w:t>To enhance adherence to good corporate governance and prudent financial management practices;</w:t>
      </w:r>
    </w:p>
    <w:p w14:paraId="5CECC183">
      <w:pPr>
        <w:autoSpaceDE w:val="0"/>
        <w:autoSpaceDN w:val="0"/>
        <w:adjustRightInd w:val="0"/>
        <w:spacing w:after="0" w:line="360" w:lineRule="auto"/>
        <w:ind w:left="720" w:right="-349"/>
        <w:jc w:val="both"/>
        <w:rPr>
          <w:rFonts w:ascii="Arial" w:hAnsi="Arial" w:eastAsia="Times New Roman" w:cs="Arial"/>
          <w:sz w:val="24"/>
          <w:szCs w:val="24"/>
        </w:rPr>
      </w:pPr>
    </w:p>
    <w:p w14:paraId="01C8B92D">
      <w:pPr>
        <w:numPr>
          <w:ilvl w:val="0"/>
          <w:numId w:val="11"/>
        </w:numPr>
        <w:autoSpaceDE w:val="0"/>
        <w:autoSpaceDN w:val="0"/>
        <w:adjustRightInd w:val="0"/>
        <w:spacing w:after="0" w:line="360" w:lineRule="auto"/>
        <w:ind w:right="-349"/>
        <w:jc w:val="both"/>
        <w:rPr>
          <w:rFonts w:ascii="Arial" w:hAnsi="Arial" w:eastAsia="Times New Roman" w:cs="Arial"/>
          <w:sz w:val="24"/>
          <w:szCs w:val="24"/>
        </w:rPr>
      </w:pPr>
      <w:r>
        <w:rPr>
          <w:rFonts w:ascii="Arial" w:hAnsi="Arial" w:cs="Arial"/>
          <w:sz w:val="24"/>
          <w:szCs w:val="24"/>
        </w:rPr>
        <w:t>To ensure that the Members of the Board are trained in principles and pillars of Corporate Governance by the recognized Institute such as the Institute of Directors of Tanzania or any other regional relevant institute;</w:t>
      </w:r>
    </w:p>
    <w:p w14:paraId="0C74AD1F">
      <w:pPr>
        <w:autoSpaceDE w:val="0"/>
        <w:autoSpaceDN w:val="0"/>
        <w:adjustRightInd w:val="0"/>
        <w:spacing w:after="0" w:line="360" w:lineRule="auto"/>
        <w:ind w:left="720" w:right="-349"/>
        <w:jc w:val="both"/>
        <w:rPr>
          <w:rFonts w:ascii="Arial" w:hAnsi="Arial" w:eastAsia="Times New Roman" w:cs="Arial"/>
          <w:sz w:val="24"/>
          <w:szCs w:val="24"/>
        </w:rPr>
      </w:pPr>
    </w:p>
    <w:p w14:paraId="73223376">
      <w:pPr>
        <w:numPr>
          <w:ilvl w:val="0"/>
          <w:numId w:val="11"/>
        </w:numPr>
        <w:autoSpaceDE w:val="0"/>
        <w:autoSpaceDN w:val="0"/>
        <w:adjustRightInd w:val="0"/>
        <w:spacing w:after="0" w:line="360" w:lineRule="auto"/>
        <w:ind w:right="-349"/>
        <w:jc w:val="both"/>
        <w:rPr>
          <w:rFonts w:ascii="Arial" w:hAnsi="Arial" w:eastAsia="Times New Roman" w:cs="Arial"/>
          <w:sz w:val="24"/>
          <w:szCs w:val="24"/>
        </w:rPr>
      </w:pPr>
      <w:r>
        <w:rPr>
          <w:rFonts w:ascii="Arial" w:hAnsi="Arial" w:cs="Arial"/>
          <w:sz w:val="24"/>
          <w:szCs w:val="24"/>
        </w:rPr>
        <w:t>To ensure that, the Board conducts its activities and meetings in line with approved Board Charter;</w:t>
      </w:r>
    </w:p>
    <w:p w14:paraId="021D255B">
      <w:pPr>
        <w:autoSpaceDE w:val="0"/>
        <w:autoSpaceDN w:val="0"/>
        <w:adjustRightInd w:val="0"/>
        <w:spacing w:after="0" w:line="360" w:lineRule="auto"/>
        <w:ind w:right="-349"/>
        <w:jc w:val="both"/>
        <w:rPr>
          <w:rFonts w:ascii="Arial" w:hAnsi="Arial" w:eastAsia="Times New Roman" w:cs="Arial"/>
          <w:sz w:val="24"/>
          <w:szCs w:val="24"/>
        </w:rPr>
      </w:pPr>
    </w:p>
    <w:p w14:paraId="332EC331">
      <w:pPr>
        <w:numPr>
          <w:ilvl w:val="0"/>
          <w:numId w:val="11"/>
        </w:numPr>
        <w:autoSpaceDE w:val="0"/>
        <w:autoSpaceDN w:val="0"/>
        <w:adjustRightInd w:val="0"/>
        <w:spacing w:after="0" w:line="360" w:lineRule="auto"/>
        <w:ind w:right="-349"/>
        <w:jc w:val="both"/>
        <w:rPr>
          <w:rFonts w:ascii="Arial" w:hAnsi="Arial" w:eastAsia="Times New Roman" w:cs="Arial"/>
          <w:sz w:val="24"/>
          <w:szCs w:val="24"/>
        </w:rPr>
      </w:pPr>
      <w:r>
        <w:rPr>
          <w:rFonts w:ascii="Arial" w:hAnsi="Arial" w:cs="Arial"/>
          <w:sz w:val="24"/>
          <w:szCs w:val="24"/>
        </w:rPr>
        <w:t>To ensure that the Institution has Staff succession plan;</w:t>
      </w:r>
    </w:p>
    <w:p w14:paraId="2402EBF2">
      <w:pPr>
        <w:autoSpaceDE w:val="0"/>
        <w:autoSpaceDN w:val="0"/>
        <w:adjustRightInd w:val="0"/>
        <w:spacing w:after="0" w:line="360" w:lineRule="auto"/>
        <w:ind w:right="-349"/>
        <w:jc w:val="both"/>
        <w:rPr>
          <w:rFonts w:ascii="Arial" w:hAnsi="Arial" w:eastAsia="Times New Roman" w:cs="Arial"/>
          <w:sz w:val="24"/>
          <w:szCs w:val="24"/>
        </w:rPr>
      </w:pPr>
    </w:p>
    <w:p w14:paraId="1F2275C9">
      <w:pPr>
        <w:numPr>
          <w:ilvl w:val="0"/>
          <w:numId w:val="11"/>
        </w:numPr>
        <w:autoSpaceDE w:val="0"/>
        <w:autoSpaceDN w:val="0"/>
        <w:adjustRightInd w:val="0"/>
        <w:spacing w:after="0" w:line="360" w:lineRule="auto"/>
        <w:ind w:right="-349"/>
        <w:jc w:val="both"/>
        <w:rPr>
          <w:rFonts w:ascii="Arial" w:hAnsi="Arial" w:eastAsia="Times New Roman" w:cs="Arial"/>
          <w:sz w:val="24"/>
          <w:szCs w:val="24"/>
        </w:rPr>
      </w:pPr>
      <w:r>
        <w:rPr>
          <w:rFonts w:ascii="Arial" w:hAnsi="Arial" w:cs="Arial"/>
          <w:sz w:val="24"/>
          <w:szCs w:val="24"/>
        </w:rPr>
        <w:t>To ensure that, the Board conduct annual performance evaluation for each individual Board member, Board Chairperson and the Board;</w:t>
      </w:r>
    </w:p>
    <w:p w14:paraId="080D75D1">
      <w:pPr>
        <w:autoSpaceDE w:val="0"/>
        <w:autoSpaceDN w:val="0"/>
        <w:adjustRightInd w:val="0"/>
        <w:spacing w:after="0" w:line="360" w:lineRule="auto"/>
        <w:ind w:left="720" w:right="-349"/>
        <w:jc w:val="both"/>
        <w:rPr>
          <w:rFonts w:ascii="Arial" w:hAnsi="Arial" w:eastAsia="Times New Roman" w:cs="Arial"/>
          <w:sz w:val="24"/>
          <w:szCs w:val="24"/>
        </w:rPr>
      </w:pPr>
    </w:p>
    <w:p w14:paraId="076D8595">
      <w:pPr>
        <w:numPr>
          <w:ilvl w:val="0"/>
          <w:numId w:val="11"/>
        </w:numPr>
        <w:autoSpaceDE w:val="0"/>
        <w:autoSpaceDN w:val="0"/>
        <w:adjustRightInd w:val="0"/>
        <w:spacing w:after="0" w:line="360" w:lineRule="auto"/>
        <w:ind w:right="-349"/>
        <w:jc w:val="both"/>
        <w:rPr>
          <w:rFonts w:ascii="Arial" w:hAnsi="Arial" w:eastAsia="Times New Roman" w:cs="Arial"/>
          <w:sz w:val="24"/>
          <w:szCs w:val="24"/>
        </w:rPr>
      </w:pPr>
      <w:r>
        <w:rPr>
          <w:rFonts w:ascii="Arial" w:hAnsi="Arial" w:cs="Arial"/>
          <w:sz w:val="24"/>
          <w:szCs w:val="24"/>
        </w:rPr>
        <w:t>To establish the mechanisms for Board, enter into Performance contract with the Chief Executive Officer (CEO); and CEO with all staff and Conduct performance evaluation annually; and</w:t>
      </w:r>
    </w:p>
    <w:p w14:paraId="0FAA5084">
      <w:pPr>
        <w:autoSpaceDE w:val="0"/>
        <w:autoSpaceDN w:val="0"/>
        <w:adjustRightInd w:val="0"/>
        <w:spacing w:after="0" w:line="360" w:lineRule="auto"/>
        <w:ind w:left="720" w:right="-349"/>
        <w:jc w:val="both"/>
        <w:rPr>
          <w:rFonts w:ascii="Arial" w:hAnsi="Arial" w:eastAsia="Times New Roman" w:cs="Arial"/>
          <w:sz w:val="24"/>
          <w:szCs w:val="24"/>
        </w:rPr>
      </w:pPr>
    </w:p>
    <w:p w14:paraId="13DF91F3">
      <w:pPr>
        <w:numPr>
          <w:ilvl w:val="0"/>
          <w:numId w:val="11"/>
        </w:numPr>
        <w:autoSpaceDE w:val="0"/>
        <w:autoSpaceDN w:val="0"/>
        <w:adjustRightInd w:val="0"/>
        <w:spacing w:after="0" w:line="360" w:lineRule="auto"/>
        <w:ind w:right="-349"/>
        <w:jc w:val="both"/>
        <w:rPr>
          <w:rFonts w:ascii="Arial" w:hAnsi="Arial" w:cs="Arial"/>
          <w:sz w:val="24"/>
          <w:szCs w:val="24"/>
        </w:rPr>
      </w:pPr>
      <w:r>
        <w:rPr>
          <w:rFonts w:ascii="Arial" w:hAnsi="Arial" w:eastAsia="Times New Roman" w:cs="Arial"/>
          <w:color w:val="000000"/>
          <w:sz w:val="24"/>
          <w:szCs w:val="24"/>
        </w:rPr>
        <w:t xml:space="preserve">To provide quarterly progress reports on the Performance of </w:t>
      </w:r>
      <w:r>
        <w:rPr>
          <w:rFonts w:ascii="Arial" w:hAnsi="Arial" w:eastAsia="Times New Roman" w:cs="Arial"/>
          <w:sz w:val="24"/>
          <w:szCs w:val="24"/>
        </w:rPr>
        <w:t xml:space="preserve">the Institution’s business operations. </w:t>
      </w:r>
    </w:p>
    <w:p w14:paraId="02EEE163">
      <w:pPr>
        <w:autoSpaceDE w:val="0"/>
        <w:autoSpaceDN w:val="0"/>
        <w:adjustRightInd w:val="0"/>
        <w:spacing w:after="0" w:line="360" w:lineRule="auto"/>
        <w:ind w:left="720" w:right="-349"/>
        <w:jc w:val="both"/>
        <w:rPr>
          <w:rFonts w:ascii="Arial" w:hAnsi="Arial" w:eastAsia="Times New Roman" w:cs="Arial"/>
          <w:b/>
          <w:sz w:val="24"/>
          <w:szCs w:val="24"/>
        </w:rPr>
      </w:pPr>
    </w:p>
    <w:p w14:paraId="214938BB">
      <w:pPr>
        <w:numPr>
          <w:ilvl w:val="0"/>
          <w:numId w:val="2"/>
        </w:numPr>
        <w:spacing w:after="0" w:line="360" w:lineRule="auto"/>
        <w:jc w:val="both"/>
        <w:rPr>
          <w:rFonts w:ascii="Arial" w:hAnsi="Arial" w:eastAsia="Times New Roman" w:cs="Arial"/>
          <w:b/>
          <w:iCs/>
          <w:sz w:val="24"/>
          <w:szCs w:val="24"/>
          <w:lang w:val="en-GB"/>
        </w:rPr>
      </w:pPr>
      <w:r>
        <w:rPr>
          <w:rFonts w:ascii="Arial" w:hAnsi="Arial" w:eastAsia="Times New Roman" w:cs="Arial"/>
          <w:b/>
          <w:iCs/>
          <w:sz w:val="24"/>
          <w:szCs w:val="24"/>
          <w:lang w:val="en-GB"/>
        </w:rPr>
        <w:t xml:space="preserve">PERFOMANCE EVALUATION AND FEEDBACK </w:t>
      </w:r>
    </w:p>
    <w:p w14:paraId="11122665">
      <w:pPr>
        <w:spacing w:after="0" w:line="360" w:lineRule="auto"/>
        <w:ind w:left="720"/>
        <w:jc w:val="both"/>
        <w:rPr>
          <w:rFonts w:ascii="Arial" w:hAnsi="Arial" w:eastAsia="Times New Roman" w:cs="Arial"/>
          <w:b/>
          <w:iCs/>
          <w:sz w:val="24"/>
          <w:szCs w:val="24"/>
          <w:lang w:val="en-GB"/>
        </w:rPr>
      </w:pPr>
      <w:r>
        <w:rPr>
          <w:rFonts w:ascii="Arial" w:hAnsi="Arial" w:eastAsia="Times New Roman" w:cs="Arial"/>
          <w:iCs/>
          <w:sz w:val="24"/>
          <w:szCs w:val="24"/>
          <w:lang w:val="en-GB"/>
        </w:rPr>
        <w:t>The Office of Treasury Registrar shall make evaluation of the performance contract after the end of respective financial year. The evaluation shall base on Key Performance Indicators provided in this contract. Upon completion of evaluation, the Office of Treasury Registrar shall make formal communication to the Institution on the outcome of the evaluation made thereto</w:t>
      </w:r>
      <w:r>
        <w:rPr>
          <w:rFonts w:ascii="Arial" w:hAnsi="Arial" w:eastAsia="Times New Roman" w:cs="Arial"/>
          <w:b/>
          <w:iCs/>
          <w:sz w:val="24"/>
          <w:szCs w:val="24"/>
          <w:lang w:val="en-GB"/>
        </w:rPr>
        <w:t>.</w:t>
      </w:r>
    </w:p>
    <w:p w14:paraId="0057AD9D">
      <w:pPr>
        <w:spacing w:after="0" w:line="360" w:lineRule="auto"/>
        <w:ind w:left="720"/>
        <w:jc w:val="both"/>
        <w:rPr>
          <w:rFonts w:ascii="Arial" w:hAnsi="Arial" w:eastAsia="Times New Roman" w:cs="Arial"/>
          <w:b/>
          <w:iCs/>
          <w:sz w:val="24"/>
          <w:szCs w:val="24"/>
          <w:lang w:val="en-GB"/>
        </w:rPr>
      </w:pPr>
    </w:p>
    <w:p w14:paraId="3EAC0700">
      <w:pPr>
        <w:numPr>
          <w:ilvl w:val="0"/>
          <w:numId w:val="2"/>
        </w:numPr>
        <w:spacing w:after="0" w:line="360" w:lineRule="auto"/>
        <w:jc w:val="both"/>
        <w:rPr>
          <w:rFonts w:ascii="Arial" w:hAnsi="Arial" w:eastAsia="Times New Roman" w:cs="Arial"/>
          <w:b/>
          <w:iCs/>
          <w:sz w:val="24"/>
          <w:szCs w:val="24"/>
          <w:lang w:val="en-GB"/>
        </w:rPr>
      </w:pPr>
      <w:r>
        <w:rPr>
          <w:rFonts w:ascii="Arial" w:hAnsi="Arial" w:eastAsia="Times New Roman" w:cs="Arial"/>
          <w:b/>
          <w:iCs/>
          <w:sz w:val="24"/>
          <w:szCs w:val="24"/>
          <w:lang w:val="en-GB"/>
        </w:rPr>
        <w:t>REWARDS AND PENALTIES</w:t>
      </w:r>
    </w:p>
    <w:p w14:paraId="68954FDC">
      <w:pPr>
        <w:autoSpaceDE w:val="0"/>
        <w:autoSpaceDN w:val="0"/>
        <w:adjustRightInd w:val="0"/>
        <w:spacing w:after="0" w:line="360" w:lineRule="auto"/>
        <w:ind w:left="720"/>
        <w:jc w:val="both"/>
        <w:rPr>
          <w:rFonts w:ascii="Arial" w:hAnsi="Arial" w:eastAsia="Times New Roman" w:cs="Arial"/>
          <w:sz w:val="24"/>
          <w:szCs w:val="24"/>
        </w:rPr>
      </w:pPr>
      <w:r>
        <w:rPr>
          <w:rFonts w:ascii="Arial" w:hAnsi="Arial" w:eastAsia="Times New Roman" w:cs="Arial"/>
          <w:sz w:val="24"/>
          <w:szCs w:val="24"/>
        </w:rPr>
        <w:t xml:space="preserve">The Treasury Registrar after assessing the performance of the Board against the set out and agreed objectives may, recommend reward or sanction to the Board. </w:t>
      </w:r>
    </w:p>
    <w:p w14:paraId="43259060">
      <w:pPr>
        <w:autoSpaceDE w:val="0"/>
        <w:autoSpaceDN w:val="0"/>
        <w:adjustRightInd w:val="0"/>
        <w:spacing w:after="0" w:line="360" w:lineRule="auto"/>
        <w:jc w:val="both"/>
        <w:rPr>
          <w:rFonts w:ascii="Arial" w:hAnsi="Arial" w:eastAsia="Times New Roman" w:cs="Arial"/>
          <w:color w:val="000000"/>
          <w:sz w:val="24"/>
          <w:szCs w:val="24"/>
        </w:rPr>
      </w:pPr>
    </w:p>
    <w:p w14:paraId="13208A78">
      <w:pPr>
        <w:numPr>
          <w:ilvl w:val="0"/>
          <w:numId w:val="2"/>
        </w:numPr>
        <w:spacing w:after="0" w:line="360" w:lineRule="auto"/>
        <w:jc w:val="both"/>
        <w:rPr>
          <w:rFonts w:ascii="Arial" w:hAnsi="Arial" w:eastAsia="Times New Roman" w:cs="Arial"/>
          <w:b/>
          <w:iCs/>
          <w:sz w:val="24"/>
          <w:szCs w:val="24"/>
          <w:lang w:val="en-GB"/>
        </w:rPr>
      </w:pPr>
      <w:r>
        <w:rPr>
          <w:rFonts w:ascii="Arial" w:hAnsi="Arial" w:eastAsia="Times New Roman" w:cs="Arial"/>
          <w:b/>
          <w:iCs/>
          <w:sz w:val="24"/>
          <w:szCs w:val="24"/>
          <w:lang w:val="en-GB"/>
        </w:rPr>
        <w:t>THIRD PARTY ASSESSMENT</w:t>
      </w:r>
    </w:p>
    <w:p w14:paraId="626CDE08">
      <w:pPr>
        <w:autoSpaceDE w:val="0"/>
        <w:autoSpaceDN w:val="0"/>
        <w:adjustRightInd w:val="0"/>
        <w:spacing w:after="0" w:line="360" w:lineRule="auto"/>
        <w:ind w:left="720"/>
        <w:jc w:val="both"/>
        <w:rPr>
          <w:rFonts w:ascii="Arial" w:hAnsi="Arial" w:eastAsia="Times New Roman" w:cs="Arial"/>
          <w:sz w:val="24"/>
          <w:szCs w:val="24"/>
        </w:rPr>
      </w:pPr>
      <w:r>
        <w:rPr>
          <w:rFonts w:ascii="Arial" w:hAnsi="Arial" w:eastAsia="Times New Roman" w:cs="Arial"/>
          <w:sz w:val="24"/>
          <w:szCs w:val="24"/>
        </w:rPr>
        <w:t xml:space="preserve">Prior to the grant of reward for achievement and exceeding targets or issuing penalties there shall be a process for confirming the same. Such process shall include but not limited to queries, defense submissions, external auditor verification or any other third party assessments.  </w:t>
      </w:r>
    </w:p>
    <w:p w14:paraId="058EBAD7">
      <w:pPr>
        <w:autoSpaceDE w:val="0"/>
        <w:autoSpaceDN w:val="0"/>
        <w:adjustRightInd w:val="0"/>
        <w:spacing w:after="0" w:line="360" w:lineRule="auto"/>
        <w:ind w:left="720"/>
        <w:jc w:val="both"/>
        <w:rPr>
          <w:rFonts w:ascii="Arial" w:hAnsi="Arial" w:cs="Arial"/>
          <w:sz w:val="24"/>
          <w:szCs w:val="24"/>
        </w:rPr>
      </w:pPr>
    </w:p>
    <w:p w14:paraId="4FA28D17">
      <w:pPr>
        <w:pStyle w:val="11"/>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Areas that require third party assessment may include, but not limited to potential disputes arising from issues such as the ultra vires powers of the Treasury Registrar, submitted performance information, disagreements on meeting of targets, imposing new directives that are hindering progress.</w:t>
      </w:r>
    </w:p>
    <w:p w14:paraId="2A0B9408">
      <w:pPr>
        <w:pStyle w:val="11"/>
        <w:autoSpaceDE w:val="0"/>
        <w:autoSpaceDN w:val="0"/>
        <w:adjustRightInd w:val="0"/>
        <w:spacing w:after="0" w:line="360" w:lineRule="auto"/>
        <w:jc w:val="both"/>
        <w:rPr>
          <w:rFonts w:ascii="Arial" w:hAnsi="Arial" w:cs="Arial"/>
          <w:color w:val="000000"/>
          <w:sz w:val="24"/>
          <w:szCs w:val="24"/>
        </w:rPr>
      </w:pPr>
    </w:p>
    <w:p w14:paraId="193AC73B">
      <w:pPr>
        <w:numPr>
          <w:ilvl w:val="0"/>
          <w:numId w:val="2"/>
        </w:numPr>
        <w:spacing w:after="0" w:line="360" w:lineRule="auto"/>
        <w:jc w:val="both"/>
        <w:rPr>
          <w:rFonts w:ascii="Arial" w:hAnsi="Arial" w:eastAsia="Times New Roman" w:cs="Arial"/>
          <w:b/>
          <w:color w:val="000000"/>
          <w:sz w:val="24"/>
          <w:szCs w:val="24"/>
        </w:rPr>
      </w:pPr>
      <w:r>
        <w:rPr>
          <w:rFonts w:ascii="Arial" w:hAnsi="Arial" w:eastAsia="Times New Roman" w:cs="Arial"/>
          <w:b/>
          <w:color w:val="000000"/>
          <w:sz w:val="24"/>
          <w:szCs w:val="24"/>
        </w:rPr>
        <w:t>COMMENCEMENT AND DURATION OF PERFORMANCE CONTRACT</w:t>
      </w:r>
    </w:p>
    <w:p w14:paraId="7EF9F17B">
      <w:pPr>
        <w:adjustRightInd w:val="0"/>
        <w:spacing w:line="360" w:lineRule="auto"/>
        <w:ind w:left="720"/>
        <w:jc w:val="both"/>
        <w:rPr>
          <w:rFonts w:ascii="Arial" w:hAnsi="Arial" w:eastAsia="Times New Roman" w:cs="Arial"/>
          <w:sz w:val="24"/>
          <w:szCs w:val="24"/>
        </w:rPr>
      </w:pPr>
      <w:r>
        <w:rPr>
          <w:rFonts w:ascii="Arial" w:hAnsi="Arial" w:eastAsia="Times New Roman" w:cs="Arial"/>
          <w:sz w:val="24"/>
          <w:szCs w:val="24"/>
        </w:rPr>
        <w:t xml:space="preserve">The Contract shall commence on the </w:t>
      </w:r>
      <w:r>
        <w:rPr>
          <w:rFonts w:ascii="Arial" w:hAnsi="Arial" w:eastAsia="Times New Roman" w:cs="Arial"/>
          <w:b/>
          <w:sz w:val="24"/>
          <w:szCs w:val="24"/>
        </w:rPr>
        <w:t>1</w:t>
      </w:r>
      <w:r>
        <w:rPr>
          <w:rFonts w:ascii="Arial" w:hAnsi="Arial" w:eastAsia="Times New Roman" w:cs="Arial"/>
          <w:b/>
          <w:sz w:val="24"/>
          <w:szCs w:val="24"/>
          <w:vertAlign w:val="superscript"/>
        </w:rPr>
        <w:t>st</w:t>
      </w:r>
      <w:r>
        <w:rPr>
          <w:rFonts w:ascii="Arial" w:hAnsi="Arial" w:eastAsia="Times New Roman" w:cs="Arial"/>
          <w:b/>
          <w:sz w:val="24"/>
          <w:szCs w:val="24"/>
        </w:rPr>
        <w:t xml:space="preserve"> day of July 202</w:t>
      </w:r>
      <w:r>
        <w:rPr>
          <w:rFonts w:hint="default" w:ascii="Arial" w:hAnsi="Arial" w:eastAsia="Times New Roman" w:cs="Arial"/>
          <w:b/>
          <w:sz w:val="24"/>
          <w:szCs w:val="24"/>
          <w:lang w:val="en-US"/>
        </w:rPr>
        <w:t>5</w:t>
      </w:r>
      <w:r>
        <w:rPr>
          <w:rFonts w:ascii="Arial" w:hAnsi="Arial" w:eastAsia="Times New Roman" w:cs="Arial"/>
          <w:b/>
          <w:sz w:val="24"/>
          <w:szCs w:val="24"/>
        </w:rPr>
        <w:t xml:space="preserve"> </w:t>
      </w:r>
      <w:r>
        <w:rPr>
          <w:rFonts w:ascii="Arial" w:hAnsi="Arial" w:eastAsia="Times New Roman" w:cs="Arial"/>
          <w:sz w:val="24"/>
          <w:szCs w:val="24"/>
        </w:rPr>
        <w:t>and shall remain in force until a new performance contract entered or this performance agreement is concluded between the parties, whichever is the latter.</w:t>
      </w:r>
    </w:p>
    <w:p w14:paraId="55B1EDB9">
      <w:pPr>
        <w:spacing w:after="0" w:line="360" w:lineRule="auto"/>
        <w:ind w:left="720"/>
        <w:jc w:val="both"/>
        <w:rPr>
          <w:rFonts w:ascii="Arial" w:hAnsi="Arial" w:eastAsia="Times New Roman" w:cs="Arial"/>
          <w:b/>
          <w:color w:val="000000"/>
          <w:sz w:val="24"/>
          <w:szCs w:val="24"/>
        </w:rPr>
      </w:pPr>
    </w:p>
    <w:p w14:paraId="25F9BDBB">
      <w:pPr>
        <w:numPr>
          <w:ilvl w:val="0"/>
          <w:numId w:val="2"/>
        </w:numPr>
        <w:spacing w:after="0" w:line="360" w:lineRule="auto"/>
        <w:jc w:val="both"/>
        <w:rPr>
          <w:rFonts w:ascii="Arial" w:hAnsi="Arial" w:eastAsia="Times New Roman" w:cs="Arial"/>
          <w:b/>
          <w:color w:val="000000"/>
          <w:sz w:val="24"/>
          <w:szCs w:val="24"/>
        </w:rPr>
      </w:pPr>
      <w:r>
        <w:rPr>
          <w:rFonts w:ascii="Arial" w:hAnsi="Arial" w:eastAsia="Times New Roman" w:cs="Arial"/>
          <w:b/>
          <w:color w:val="000000"/>
          <w:sz w:val="24"/>
          <w:szCs w:val="24"/>
        </w:rPr>
        <w:t>TERMINATION</w:t>
      </w:r>
    </w:p>
    <w:p w14:paraId="78F07B82">
      <w:pPr>
        <w:autoSpaceDE w:val="0"/>
        <w:autoSpaceDN w:val="0"/>
        <w:adjustRightInd w:val="0"/>
        <w:spacing w:after="0" w:line="360" w:lineRule="auto"/>
        <w:ind w:left="720"/>
        <w:jc w:val="both"/>
        <w:rPr>
          <w:rFonts w:ascii="Arial" w:hAnsi="Arial" w:eastAsia="Times New Roman" w:cs="Arial"/>
          <w:sz w:val="24"/>
          <w:szCs w:val="24"/>
        </w:rPr>
      </w:pPr>
      <w:r>
        <w:rPr>
          <w:rFonts w:ascii="Arial" w:hAnsi="Arial" w:eastAsia="Times New Roman" w:cs="Arial"/>
          <w:sz w:val="24"/>
          <w:szCs w:val="24"/>
        </w:rPr>
        <w:t>This Contract will end upon the termination of the Board due to its failure to comply with terms and conditions of this Contract.</w:t>
      </w:r>
    </w:p>
    <w:p w14:paraId="3CBF1C7E">
      <w:pPr>
        <w:autoSpaceDE w:val="0"/>
        <w:autoSpaceDN w:val="0"/>
        <w:adjustRightInd w:val="0"/>
        <w:spacing w:after="0" w:line="360" w:lineRule="auto"/>
        <w:ind w:left="1276" w:hanging="425"/>
        <w:jc w:val="both"/>
        <w:rPr>
          <w:rFonts w:ascii="Arial" w:hAnsi="Arial" w:eastAsia="Times New Roman" w:cs="Arial"/>
          <w:sz w:val="24"/>
          <w:szCs w:val="24"/>
        </w:rPr>
      </w:pPr>
    </w:p>
    <w:p w14:paraId="0AB4E7C4">
      <w:pPr>
        <w:spacing w:after="0" w:line="360" w:lineRule="auto"/>
        <w:jc w:val="both"/>
        <w:rPr>
          <w:rFonts w:ascii="Arial" w:hAnsi="Arial" w:eastAsia="Times New Roman" w:cs="Arial"/>
          <w:b/>
          <w:sz w:val="24"/>
          <w:szCs w:val="24"/>
        </w:rPr>
        <w:sectPr>
          <w:pgSz w:w="12240" w:h="15840"/>
          <w:pgMar w:top="1440" w:right="1440" w:bottom="1440" w:left="1440" w:header="720" w:footer="720" w:gutter="0"/>
          <w:cols w:space="720" w:num="1"/>
          <w:docGrid w:linePitch="360" w:charSpace="0"/>
        </w:sectPr>
      </w:pPr>
      <w:r>
        <w:rPr>
          <w:rFonts w:ascii="Arial" w:hAnsi="Arial" w:eastAsia="Times New Roman" w:cs="Arial"/>
          <w:b/>
          <w:sz w:val="24"/>
          <w:szCs w:val="24"/>
        </w:rPr>
        <w:br w:type="page"/>
      </w:r>
    </w:p>
    <w:p w14:paraId="592C0372">
      <w:pPr>
        <w:spacing w:after="0" w:line="360" w:lineRule="auto"/>
        <w:jc w:val="both"/>
        <w:rPr>
          <w:rFonts w:ascii="Arial" w:hAnsi="Arial" w:eastAsia="Cambria" w:cs="Arial"/>
          <w:sz w:val="24"/>
          <w:szCs w:val="24"/>
        </w:rPr>
      </w:pPr>
      <w:r>
        <w:rPr>
          <w:rFonts w:ascii="Arial" w:hAnsi="Arial" w:eastAsia="Cambria" w:cs="Arial"/>
          <w:b/>
          <w:sz w:val="24"/>
          <w:szCs w:val="24"/>
        </w:rPr>
        <w:t xml:space="preserve">IN WITNESS WHEREOF THE PARTIES HEREIN </w:t>
      </w:r>
      <w:r>
        <w:rPr>
          <w:rFonts w:ascii="Arial" w:hAnsi="Arial" w:eastAsia="Cambria" w:cs="Arial"/>
          <w:sz w:val="24"/>
          <w:szCs w:val="24"/>
        </w:rPr>
        <w:t>have set their names and signatures on the dates and manner herein after appearing.</w:t>
      </w:r>
    </w:p>
    <w:p w14:paraId="088D23EE">
      <w:pPr>
        <w:spacing w:after="0" w:line="360" w:lineRule="auto"/>
        <w:jc w:val="both"/>
        <w:rPr>
          <w:rFonts w:ascii="Arial" w:hAnsi="Arial" w:eastAsia="Cambria" w:cs="Arial"/>
          <w:b/>
          <w:sz w:val="24"/>
          <w:szCs w:val="24"/>
        </w:rPr>
      </w:pPr>
    </w:p>
    <w:p w14:paraId="29A80A13">
      <w:pPr>
        <w:spacing w:after="0" w:line="360" w:lineRule="auto"/>
        <w:jc w:val="both"/>
        <w:rPr>
          <w:rFonts w:ascii="Arial" w:hAnsi="Arial" w:eastAsia="Cambria" w:cs="Arial"/>
          <w:b/>
          <w:sz w:val="24"/>
          <w:szCs w:val="24"/>
        </w:rPr>
      </w:pPr>
      <w:r>
        <w:rPr>
          <w:rFonts w:ascii="Arial" w:hAnsi="Arial" w:eastAsia="Cambria" w:cs="Arial"/>
          <w:b/>
          <w:sz w:val="24"/>
          <w:szCs w:val="24"/>
        </w:rPr>
        <w:t>SIGNED at ……………..on this ……….day of……….202</w:t>
      </w:r>
      <w:r>
        <w:rPr>
          <w:rFonts w:hint="default" w:ascii="Arial" w:hAnsi="Arial" w:eastAsia="Cambria" w:cs="Arial"/>
          <w:b/>
          <w:sz w:val="24"/>
          <w:szCs w:val="24"/>
          <w:lang w:val="en-US"/>
        </w:rPr>
        <w:t>5</w:t>
      </w:r>
      <w:r>
        <w:rPr>
          <w:rFonts w:ascii="Arial" w:hAnsi="Arial" w:eastAsia="Cambria" w:cs="Arial"/>
          <w:b/>
          <w:sz w:val="24"/>
          <w:szCs w:val="24"/>
        </w:rPr>
        <w:t xml:space="preserve"> by:</w:t>
      </w:r>
    </w:p>
    <w:p w14:paraId="2E973F9D">
      <w:pPr>
        <w:spacing w:after="0" w:line="360" w:lineRule="auto"/>
        <w:jc w:val="both"/>
        <w:rPr>
          <w:rFonts w:ascii="Arial" w:hAnsi="Arial" w:eastAsia="Cambria" w:cs="Arial"/>
          <w:sz w:val="24"/>
          <w:szCs w:val="24"/>
        </w:rPr>
      </w:pPr>
    </w:p>
    <w:p w14:paraId="7B703329">
      <w:pPr>
        <w:spacing w:after="0" w:line="360" w:lineRule="auto"/>
        <w:jc w:val="both"/>
        <w:rPr>
          <w:rFonts w:ascii="Arial" w:hAnsi="Arial" w:eastAsia="Cambria" w:cs="Arial"/>
          <w:b/>
          <w:sz w:val="24"/>
          <w:szCs w:val="24"/>
        </w:rPr>
      </w:pPr>
      <w:r>
        <w:rPr>
          <w:rFonts w:ascii="Arial" w:hAnsi="Arial" w:eastAsia="Cambria" w:cs="Arial"/>
          <w:b/>
          <w:sz w:val="24"/>
          <w:szCs w:val="24"/>
        </w:rPr>
        <w:t>Signature……………………………</w:t>
      </w:r>
    </w:p>
    <w:p w14:paraId="0056BD36">
      <w:pPr>
        <w:spacing w:after="0" w:line="360" w:lineRule="auto"/>
        <w:jc w:val="both"/>
        <w:rPr>
          <w:rFonts w:hint="default" w:ascii="Arial" w:hAnsi="Arial" w:eastAsia="Cambria" w:cs="Arial"/>
          <w:b/>
          <w:sz w:val="24"/>
          <w:szCs w:val="24"/>
          <w:lang w:val="en-US"/>
        </w:rPr>
      </w:pPr>
      <w:r>
        <w:rPr>
          <w:rFonts w:ascii="Arial" w:hAnsi="Arial" w:eastAsia="Cambria" w:cs="Arial"/>
          <w:b/>
          <w:sz w:val="24"/>
          <w:szCs w:val="24"/>
        </w:rPr>
        <w:t xml:space="preserve">Name: </w:t>
      </w:r>
      <w:r>
        <w:rPr>
          <w:rFonts w:hint="default" w:ascii="Arial" w:hAnsi="Arial" w:eastAsia="Cambria" w:cs="Arial"/>
          <w:b/>
          <w:sz w:val="24"/>
          <w:szCs w:val="24"/>
          <w:lang w:val="en-US"/>
        </w:rPr>
        <w:t>………………………………..</w:t>
      </w:r>
    </w:p>
    <w:p w14:paraId="17DFFA35">
      <w:pPr>
        <w:spacing w:after="0" w:line="360" w:lineRule="auto"/>
        <w:jc w:val="both"/>
        <w:rPr>
          <w:rFonts w:ascii="Arial" w:hAnsi="Arial" w:eastAsia="Cambria" w:cs="Arial"/>
          <w:b/>
          <w:sz w:val="24"/>
          <w:szCs w:val="24"/>
        </w:rPr>
      </w:pPr>
      <w:r>
        <w:rPr>
          <w:rFonts w:ascii="Arial" w:hAnsi="Arial" w:eastAsia="Cambria" w:cs="Arial"/>
          <w:b/>
          <w:sz w:val="24"/>
          <w:szCs w:val="24"/>
        </w:rPr>
        <w:t>Designation: TREASURY REGISTRAR</w:t>
      </w:r>
    </w:p>
    <w:p w14:paraId="068E91A2">
      <w:pPr>
        <w:spacing w:after="0" w:line="360" w:lineRule="auto"/>
        <w:jc w:val="both"/>
        <w:rPr>
          <w:rFonts w:ascii="Arial" w:hAnsi="Arial" w:eastAsia="Cambria" w:cs="Arial"/>
          <w:sz w:val="24"/>
          <w:szCs w:val="24"/>
        </w:rPr>
      </w:pPr>
    </w:p>
    <w:p w14:paraId="2675A72E">
      <w:pPr>
        <w:spacing w:after="12" w:line="270" w:lineRule="auto"/>
        <w:ind w:left="-5" w:hanging="10"/>
        <w:rPr>
          <w:rFonts w:ascii="Arial" w:hAnsi="Arial" w:eastAsia="Tahoma" w:cs="Arial"/>
          <w:b/>
          <w:color w:val="000000"/>
          <w:sz w:val="24"/>
          <w:szCs w:val="24"/>
        </w:rPr>
      </w:pPr>
    </w:p>
    <w:p w14:paraId="0A9B5373">
      <w:pPr>
        <w:spacing w:after="12" w:line="270" w:lineRule="auto"/>
        <w:ind w:left="-5" w:hanging="10"/>
        <w:rPr>
          <w:rFonts w:ascii="Arial" w:hAnsi="Arial" w:eastAsia="Tahoma" w:cs="Arial"/>
          <w:color w:val="000000"/>
          <w:sz w:val="24"/>
          <w:szCs w:val="24"/>
        </w:rPr>
      </w:pPr>
      <w:r>
        <w:rPr>
          <w:rFonts w:ascii="Arial" w:hAnsi="Arial" w:eastAsia="Tahoma" w:cs="Arial"/>
          <w:b/>
          <w:color w:val="000000"/>
          <w:sz w:val="24"/>
          <w:szCs w:val="24"/>
        </w:rPr>
        <w:t xml:space="preserve">IN THE PRESENCE OF: </w:t>
      </w:r>
    </w:p>
    <w:p w14:paraId="03DD1E0D">
      <w:pPr>
        <w:autoSpaceDE w:val="0"/>
        <w:autoSpaceDN w:val="0"/>
        <w:adjustRightInd w:val="0"/>
        <w:spacing w:after="0" w:line="360" w:lineRule="auto"/>
        <w:jc w:val="both"/>
        <w:rPr>
          <w:rFonts w:ascii="Arial" w:hAnsi="Arial" w:eastAsia="Cambria" w:cs="Arial"/>
          <w:sz w:val="24"/>
          <w:szCs w:val="24"/>
        </w:rPr>
      </w:pPr>
    </w:p>
    <w:p w14:paraId="54D67FD6">
      <w:pPr>
        <w:autoSpaceDE w:val="0"/>
        <w:autoSpaceDN w:val="0"/>
        <w:adjustRightInd w:val="0"/>
        <w:spacing w:after="0" w:line="360" w:lineRule="auto"/>
        <w:jc w:val="both"/>
        <w:rPr>
          <w:rFonts w:ascii="Arial" w:hAnsi="Arial" w:eastAsia="Cambria" w:cs="Arial"/>
          <w:b/>
          <w:sz w:val="24"/>
          <w:szCs w:val="24"/>
        </w:rPr>
      </w:pPr>
      <w:r>
        <w:rPr>
          <w:rFonts w:ascii="Arial" w:hAnsi="Arial" w:eastAsia="Cambria" w:cs="Arial"/>
          <w:b/>
          <w:sz w:val="24"/>
          <w:szCs w:val="24"/>
        </w:rPr>
        <w:t>Signature……………………………………</w:t>
      </w:r>
    </w:p>
    <w:p w14:paraId="43F3078A">
      <w:pPr>
        <w:spacing w:after="0" w:line="360" w:lineRule="auto"/>
        <w:jc w:val="both"/>
        <w:rPr>
          <w:rFonts w:ascii="Arial" w:hAnsi="Arial" w:eastAsia="Cambria" w:cs="Arial"/>
          <w:b/>
          <w:sz w:val="24"/>
          <w:szCs w:val="24"/>
        </w:rPr>
      </w:pPr>
      <w:r>
        <w:rPr>
          <w:rFonts w:ascii="Arial" w:hAnsi="Arial" w:eastAsia="Cambria" w:cs="Arial"/>
          <w:b/>
          <w:sz w:val="24"/>
          <w:szCs w:val="24"/>
        </w:rPr>
        <w:t>Name:………………………………………..</w:t>
      </w:r>
    </w:p>
    <w:p w14:paraId="5D7507F5">
      <w:pPr>
        <w:spacing w:after="0" w:line="360" w:lineRule="auto"/>
        <w:jc w:val="both"/>
        <w:rPr>
          <w:rFonts w:ascii="Arial" w:hAnsi="Arial" w:eastAsia="Cambria" w:cs="Arial"/>
          <w:b/>
          <w:sz w:val="24"/>
          <w:szCs w:val="24"/>
        </w:rPr>
      </w:pPr>
      <w:r>
        <w:rPr>
          <w:rFonts w:ascii="Arial" w:hAnsi="Arial" w:eastAsia="Cambria" w:cs="Arial"/>
          <w:b/>
          <w:sz w:val="24"/>
          <w:szCs w:val="24"/>
        </w:rPr>
        <w:t xml:space="preserve">Designation: ………………………………… </w:t>
      </w:r>
    </w:p>
    <w:p w14:paraId="6DBF1F23">
      <w:pPr>
        <w:spacing w:after="0" w:line="360" w:lineRule="auto"/>
        <w:jc w:val="both"/>
        <w:rPr>
          <w:rFonts w:ascii="Arial" w:hAnsi="Arial" w:eastAsia="Cambria" w:cs="Arial"/>
          <w:b/>
          <w:color w:val="000000"/>
          <w:sz w:val="24"/>
          <w:szCs w:val="24"/>
        </w:rPr>
      </w:pPr>
    </w:p>
    <w:p w14:paraId="581A7973">
      <w:pPr>
        <w:spacing w:after="0" w:line="360" w:lineRule="auto"/>
        <w:jc w:val="both"/>
        <w:rPr>
          <w:rFonts w:ascii="Arial" w:hAnsi="Arial" w:eastAsia="Cambria" w:cs="Arial"/>
          <w:b/>
          <w:sz w:val="24"/>
          <w:szCs w:val="24"/>
        </w:rPr>
      </w:pPr>
      <w:r>
        <w:rPr>
          <w:rFonts w:ascii="Arial" w:hAnsi="Arial" w:eastAsia="Cambria" w:cs="Arial"/>
          <w:b/>
          <w:color w:val="000000"/>
          <w:sz w:val="24"/>
          <w:szCs w:val="24"/>
        </w:rPr>
        <w:t xml:space="preserve">Signed for and on behalf of THE </w:t>
      </w:r>
      <w:r>
        <w:rPr>
          <w:rFonts w:ascii="Arial" w:hAnsi="Arial" w:cs="Arial"/>
          <w:b/>
          <w:sz w:val="24"/>
          <w:szCs w:val="24"/>
        </w:rPr>
        <w:t>BOARD OF</w:t>
      </w:r>
      <w:r>
        <w:rPr>
          <w:rFonts w:ascii="Arial" w:hAnsi="Arial" w:cs="Arial"/>
          <w:sz w:val="24"/>
          <w:szCs w:val="24"/>
        </w:rPr>
        <w:t xml:space="preserve"> </w:t>
      </w:r>
      <w:r>
        <w:rPr>
          <w:rFonts w:ascii="Arial" w:hAnsi="Arial" w:cs="Arial"/>
          <w:b/>
          <w:sz w:val="24"/>
          <w:szCs w:val="24"/>
        </w:rPr>
        <w:t>……………………………………………</w:t>
      </w:r>
      <w:r>
        <w:rPr>
          <w:rFonts w:ascii="Arial" w:hAnsi="Arial" w:eastAsia="Cambria" w:cs="Arial"/>
          <w:b/>
          <w:sz w:val="24"/>
          <w:szCs w:val="24"/>
        </w:rPr>
        <w:t xml:space="preserve"> </w:t>
      </w:r>
      <w:r>
        <w:rPr>
          <w:rFonts w:ascii="Arial" w:hAnsi="Arial" w:eastAsia="Times New Roman" w:cs="Arial"/>
          <w:b/>
          <w:color w:val="000000"/>
          <w:sz w:val="24"/>
          <w:szCs w:val="24"/>
        </w:rPr>
        <w:t>at …………………… on this ……… day of…................ 202</w:t>
      </w:r>
      <w:r>
        <w:rPr>
          <w:rFonts w:hint="default" w:ascii="Arial" w:hAnsi="Arial" w:eastAsia="Times New Roman" w:cs="Arial"/>
          <w:b/>
          <w:color w:val="000000"/>
          <w:sz w:val="24"/>
          <w:szCs w:val="24"/>
          <w:lang w:val="en-US"/>
        </w:rPr>
        <w:t>5</w:t>
      </w:r>
      <w:r>
        <w:rPr>
          <w:rFonts w:ascii="Arial" w:hAnsi="Arial" w:eastAsia="Times New Roman" w:cs="Arial"/>
          <w:b/>
          <w:color w:val="000000"/>
          <w:sz w:val="24"/>
          <w:szCs w:val="24"/>
        </w:rPr>
        <w:t xml:space="preserve"> by</w:t>
      </w:r>
      <w:r>
        <w:rPr>
          <w:rFonts w:ascii="Arial" w:hAnsi="Arial" w:eastAsia="Cambria" w:cs="Arial"/>
          <w:b/>
          <w:color w:val="000000"/>
          <w:sz w:val="24"/>
          <w:szCs w:val="24"/>
        </w:rPr>
        <w:t xml:space="preserve">: </w:t>
      </w:r>
    </w:p>
    <w:p w14:paraId="0AB214CF">
      <w:pPr>
        <w:spacing w:after="0" w:line="360" w:lineRule="auto"/>
        <w:jc w:val="both"/>
        <w:rPr>
          <w:rFonts w:ascii="Arial" w:hAnsi="Arial" w:eastAsia="Cambria" w:cs="Arial"/>
          <w:b/>
          <w:sz w:val="24"/>
          <w:szCs w:val="24"/>
        </w:rPr>
      </w:pPr>
    </w:p>
    <w:p w14:paraId="6CD50F7B">
      <w:pPr>
        <w:spacing w:after="0" w:line="360" w:lineRule="auto"/>
        <w:jc w:val="both"/>
        <w:rPr>
          <w:rFonts w:ascii="Arial" w:hAnsi="Arial" w:eastAsia="Cambria" w:cs="Arial"/>
          <w:b/>
          <w:sz w:val="24"/>
          <w:szCs w:val="24"/>
        </w:rPr>
      </w:pPr>
      <w:r>
        <w:rPr>
          <w:rFonts w:ascii="Arial" w:hAnsi="Arial" w:eastAsia="Cambria" w:cs="Arial"/>
          <w:b/>
          <w:sz w:val="24"/>
          <w:szCs w:val="24"/>
        </w:rPr>
        <w:t>Signature:......................................</w:t>
      </w:r>
    </w:p>
    <w:p w14:paraId="44BFCA0F">
      <w:pPr>
        <w:spacing w:after="0" w:line="360" w:lineRule="auto"/>
        <w:jc w:val="both"/>
        <w:rPr>
          <w:rFonts w:ascii="Arial" w:hAnsi="Arial" w:eastAsia="Cambria" w:cs="Arial"/>
          <w:b/>
          <w:sz w:val="24"/>
          <w:szCs w:val="24"/>
        </w:rPr>
      </w:pPr>
      <w:r>
        <w:rPr>
          <w:rFonts w:ascii="Arial" w:hAnsi="Arial" w:eastAsia="Cambria" w:cs="Arial"/>
          <w:b/>
          <w:sz w:val="24"/>
          <w:szCs w:val="24"/>
        </w:rPr>
        <w:t>Name:.............................................</w:t>
      </w:r>
    </w:p>
    <w:p w14:paraId="0CB77C57">
      <w:pPr>
        <w:spacing w:after="0" w:line="360" w:lineRule="auto"/>
        <w:jc w:val="both"/>
        <w:rPr>
          <w:rFonts w:ascii="Arial" w:hAnsi="Arial" w:eastAsia="Cambria" w:cs="Arial"/>
          <w:b/>
          <w:sz w:val="24"/>
          <w:szCs w:val="24"/>
        </w:rPr>
      </w:pPr>
      <w:r>
        <w:rPr>
          <w:rFonts w:ascii="Arial" w:hAnsi="Arial" w:eastAsia="Cambria" w:cs="Arial"/>
          <w:b/>
          <w:sz w:val="24"/>
          <w:szCs w:val="24"/>
        </w:rPr>
        <w:t>Designation: CHAIRPERSON</w:t>
      </w:r>
    </w:p>
    <w:p w14:paraId="7629D5BE">
      <w:pPr>
        <w:spacing w:after="0" w:line="360" w:lineRule="auto"/>
        <w:jc w:val="both"/>
        <w:rPr>
          <w:rFonts w:ascii="Arial" w:hAnsi="Arial" w:eastAsia="Cambria" w:cs="Arial"/>
          <w:b/>
          <w:sz w:val="24"/>
          <w:szCs w:val="24"/>
        </w:rPr>
      </w:pPr>
    </w:p>
    <w:p w14:paraId="3DF9C672">
      <w:pPr>
        <w:spacing w:after="0" w:line="360" w:lineRule="auto"/>
        <w:jc w:val="both"/>
        <w:rPr>
          <w:rFonts w:ascii="Arial" w:hAnsi="Arial" w:eastAsia="Cambria" w:cs="Arial"/>
          <w:b/>
          <w:sz w:val="24"/>
          <w:szCs w:val="24"/>
        </w:rPr>
      </w:pPr>
      <w:r>
        <w:rPr>
          <w:rFonts w:ascii="Arial" w:hAnsi="Arial" w:eastAsia="Cambria" w:cs="Arial"/>
          <w:b/>
          <w:sz w:val="24"/>
          <w:szCs w:val="24"/>
        </w:rPr>
        <w:t>IN THE PRESENCE OF:</w:t>
      </w:r>
    </w:p>
    <w:p w14:paraId="323ED6F6">
      <w:pPr>
        <w:spacing w:after="0" w:line="360" w:lineRule="auto"/>
        <w:jc w:val="both"/>
        <w:rPr>
          <w:rFonts w:ascii="Arial" w:hAnsi="Arial" w:eastAsia="Cambria" w:cs="Arial"/>
          <w:b/>
          <w:sz w:val="24"/>
          <w:szCs w:val="24"/>
        </w:rPr>
      </w:pPr>
    </w:p>
    <w:p w14:paraId="2FC96326">
      <w:pPr>
        <w:spacing w:after="0" w:line="360" w:lineRule="auto"/>
        <w:jc w:val="both"/>
        <w:rPr>
          <w:rFonts w:ascii="Arial" w:hAnsi="Arial" w:eastAsia="Cambria" w:cs="Arial"/>
          <w:b/>
          <w:sz w:val="24"/>
          <w:szCs w:val="24"/>
        </w:rPr>
      </w:pPr>
      <w:r>
        <w:rPr>
          <w:rFonts w:ascii="Arial" w:hAnsi="Arial" w:eastAsia="Cambria" w:cs="Arial"/>
          <w:b/>
          <w:sz w:val="24"/>
          <w:szCs w:val="24"/>
        </w:rPr>
        <w:t>Signature:............................................</w:t>
      </w:r>
    </w:p>
    <w:p w14:paraId="5BED8318">
      <w:pPr>
        <w:spacing w:after="0" w:line="360" w:lineRule="auto"/>
        <w:jc w:val="both"/>
        <w:rPr>
          <w:rFonts w:ascii="Arial" w:hAnsi="Arial" w:eastAsia="Cambria" w:cs="Arial"/>
          <w:b/>
          <w:sz w:val="24"/>
          <w:szCs w:val="24"/>
        </w:rPr>
      </w:pPr>
      <w:r>
        <w:rPr>
          <w:rFonts w:ascii="Arial" w:hAnsi="Arial" w:eastAsia="Cambria" w:cs="Arial"/>
          <w:b/>
          <w:sz w:val="24"/>
          <w:szCs w:val="24"/>
        </w:rPr>
        <w:t>Name:.....................................................</w:t>
      </w:r>
    </w:p>
    <w:p w14:paraId="41CB04D6">
      <w:pPr>
        <w:spacing w:after="0" w:line="360" w:lineRule="auto"/>
        <w:jc w:val="both"/>
        <w:rPr>
          <w:rFonts w:ascii="Arial" w:hAnsi="Arial" w:eastAsia="Cambria" w:cs="Arial"/>
          <w:b/>
          <w:sz w:val="24"/>
          <w:szCs w:val="24"/>
        </w:rPr>
      </w:pPr>
      <w:r>
        <w:rPr>
          <w:rFonts w:ascii="Arial" w:hAnsi="Arial" w:eastAsia="Cambria" w:cs="Arial"/>
          <w:b/>
          <w:sz w:val="24"/>
          <w:szCs w:val="24"/>
        </w:rPr>
        <w:t>Designation: ACCOUNTING OFFICER</w:t>
      </w:r>
    </w:p>
    <w:p w14:paraId="24856CC5">
      <w:pPr>
        <w:spacing w:after="0" w:line="360" w:lineRule="auto"/>
        <w:jc w:val="both"/>
        <w:rPr>
          <w:rFonts w:ascii="Arial" w:hAnsi="Arial" w:eastAsia="Cambria" w:cs="Arial"/>
          <w:sz w:val="24"/>
          <w:szCs w:val="24"/>
        </w:rPr>
      </w:pPr>
    </w:p>
    <w:p w14:paraId="2DAA920A">
      <w:pPr>
        <w:spacing w:after="0" w:line="360" w:lineRule="auto"/>
        <w:jc w:val="both"/>
        <w:rPr>
          <w:rFonts w:ascii="Arial" w:hAnsi="Arial" w:eastAsia="Cambria" w:cs="Arial"/>
          <w:sz w:val="24"/>
          <w:szCs w:val="24"/>
        </w:rPr>
      </w:pPr>
    </w:p>
    <w:p w14:paraId="03B1669F">
      <w:pPr>
        <w:spacing w:after="0" w:line="360" w:lineRule="auto"/>
        <w:jc w:val="both"/>
        <w:rPr>
          <w:rFonts w:ascii="Arial" w:hAnsi="Arial" w:eastAsia="Cambria" w:cs="Arial"/>
          <w:sz w:val="24"/>
          <w:szCs w:val="24"/>
        </w:rPr>
      </w:pPr>
    </w:p>
    <w:p w14:paraId="47BAA532">
      <w:pPr>
        <w:spacing w:after="0" w:line="360" w:lineRule="auto"/>
        <w:jc w:val="both"/>
        <w:rPr>
          <w:rFonts w:ascii="Arial" w:hAnsi="Arial" w:eastAsia="Cambria" w:cs="Arial"/>
          <w:sz w:val="24"/>
          <w:szCs w:val="24"/>
        </w:rPr>
      </w:pPr>
    </w:p>
    <w:p w14:paraId="68983C69">
      <w:pPr>
        <w:autoSpaceDE w:val="0"/>
        <w:autoSpaceDN w:val="0"/>
        <w:adjustRightInd w:val="0"/>
        <w:spacing w:after="0" w:line="276" w:lineRule="auto"/>
        <w:jc w:val="right"/>
        <w:rPr>
          <w:rFonts w:ascii="Arial" w:hAnsi="Arial" w:eastAsia="Calibri" w:cs="Arial"/>
          <w:b/>
          <w:sz w:val="24"/>
          <w:szCs w:val="24"/>
        </w:rPr>
      </w:pPr>
      <w:r>
        <w:rPr>
          <w:rFonts w:ascii="Arial" w:hAnsi="Arial" w:eastAsia="Calibri" w:cs="Arial"/>
          <w:b/>
          <w:sz w:val="24"/>
          <w:szCs w:val="24"/>
        </w:rPr>
        <w:t xml:space="preserve">ANNEXURE I </w:t>
      </w:r>
    </w:p>
    <w:p w14:paraId="33526714">
      <w:pPr>
        <w:autoSpaceDE w:val="0"/>
        <w:autoSpaceDN w:val="0"/>
        <w:adjustRightInd w:val="0"/>
        <w:spacing w:after="0" w:line="276" w:lineRule="auto"/>
        <w:jc w:val="right"/>
        <w:rPr>
          <w:rFonts w:ascii="Arial" w:hAnsi="Arial" w:eastAsia="Calibri" w:cs="Arial"/>
          <w:b/>
          <w:sz w:val="18"/>
          <w:szCs w:val="24"/>
        </w:rPr>
      </w:pPr>
    </w:p>
    <w:p w14:paraId="7B49496C">
      <w:pPr>
        <w:autoSpaceDE w:val="0"/>
        <w:autoSpaceDN w:val="0"/>
        <w:adjustRightInd w:val="0"/>
        <w:spacing w:after="0" w:line="276" w:lineRule="auto"/>
        <w:jc w:val="both"/>
        <w:rPr>
          <w:rFonts w:ascii="Arial" w:hAnsi="Arial" w:eastAsia="Calibri" w:cs="Arial"/>
          <w:b/>
          <w:sz w:val="24"/>
          <w:szCs w:val="24"/>
        </w:rPr>
      </w:pPr>
      <w:r>
        <w:rPr>
          <w:rFonts w:ascii="Arial" w:hAnsi="Arial" w:eastAsia="Calibri" w:cs="Arial"/>
          <w:b/>
          <w:sz w:val="24"/>
          <w:szCs w:val="24"/>
        </w:rPr>
        <w:t xml:space="preserve">DESCRIPTION OF TERMS (PEOPLE MANAGEMENT, GOOD GOVERNANCE AND CONTROL AND CUSOMER CARE CATEGORY) </w:t>
      </w:r>
    </w:p>
    <w:p w14:paraId="4592A84C">
      <w:pPr>
        <w:autoSpaceDE w:val="0"/>
        <w:autoSpaceDN w:val="0"/>
        <w:adjustRightInd w:val="0"/>
        <w:spacing w:after="0" w:line="276" w:lineRule="auto"/>
        <w:jc w:val="both"/>
        <w:rPr>
          <w:rFonts w:ascii="Arial" w:hAnsi="Arial" w:eastAsia="Calibri" w:cs="Arial"/>
          <w:b/>
          <w:sz w:val="24"/>
          <w:szCs w:val="24"/>
        </w:rPr>
      </w:pPr>
    </w:p>
    <w:p w14:paraId="264F5363">
      <w:pPr>
        <w:numPr>
          <w:ilvl w:val="1"/>
          <w:numId w:val="12"/>
        </w:numPr>
        <w:autoSpaceDE w:val="0"/>
        <w:autoSpaceDN w:val="0"/>
        <w:adjustRightInd w:val="0"/>
        <w:spacing w:after="0" w:line="276" w:lineRule="auto"/>
        <w:ind w:left="426"/>
        <w:contextualSpacing/>
        <w:jc w:val="both"/>
        <w:rPr>
          <w:rFonts w:ascii="Arial" w:hAnsi="Arial" w:eastAsia="Calibri" w:cs="Arial"/>
          <w:b/>
          <w:sz w:val="24"/>
          <w:szCs w:val="24"/>
        </w:rPr>
      </w:pPr>
      <w:r>
        <w:rPr>
          <w:rFonts w:ascii="Arial" w:hAnsi="Arial" w:eastAsia="Calibri" w:cs="Arial"/>
          <w:b/>
          <w:sz w:val="24"/>
          <w:szCs w:val="24"/>
        </w:rPr>
        <w:t xml:space="preserve">PEOPLE MANAGEMENT </w:t>
      </w:r>
    </w:p>
    <w:p w14:paraId="4C3EC665">
      <w:pPr>
        <w:numPr>
          <w:ilvl w:val="2"/>
          <w:numId w:val="12"/>
        </w:numPr>
        <w:autoSpaceDE w:val="0"/>
        <w:autoSpaceDN w:val="0"/>
        <w:adjustRightInd w:val="0"/>
        <w:spacing w:after="0" w:line="276" w:lineRule="auto"/>
        <w:ind w:left="1276" w:hanging="425"/>
        <w:contextualSpacing/>
        <w:jc w:val="both"/>
        <w:rPr>
          <w:rFonts w:ascii="Arial" w:hAnsi="Arial" w:eastAsia="Calibri" w:cs="Arial"/>
          <w:b/>
          <w:sz w:val="24"/>
          <w:szCs w:val="24"/>
        </w:rPr>
      </w:pPr>
      <w:r>
        <w:rPr>
          <w:rFonts w:ascii="Arial" w:hAnsi="Arial" w:eastAsia="Calibri" w:cs="Arial"/>
          <w:b/>
          <w:sz w:val="24"/>
          <w:szCs w:val="24"/>
        </w:rPr>
        <w:t>Employee Productivity Rate</w:t>
      </w:r>
      <w:r>
        <w:rPr>
          <w:rFonts w:ascii="Arial" w:hAnsi="Arial" w:eastAsia="Calibri" w:cs="Arial"/>
          <w:sz w:val="24"/>
          <w:szCs w:val="24"/>
        </w:rPr>
        <w:t xml:space="preserve"> - Total revenue divided by the total number of employees. (May consider own source revenue divided by the number of staff directly related with generation of this source).</w:t>
      </w:r>
    </w:p>
    <w:p w14:paraId="1F4DEAD5">
      <w:pPr>
        <w:autoSpaceDE w:val="0"/>
        <w:autoSpaceDN w:val="0"/>
        <w:adjustRightInd w:val="0"/>
        <w:spacing w:after="0" w:line="276" w:lineRule="auto"/>
        <w:jc w:val="both"/>
        <w:rPr>
          <w:rFonts w:ascii="Arial" w:hAnsi="Arial" w:eastAsia="Calibri" w:cs="Arial"/>
          <w:sz w:val="24"/>
          <w:szCs w:val="24"/>
        </w:rPr>
      </w:pPr>
    </w:p>
    <w:p w14:paraId="0B36B490">
      <w:pPr>
        <w:numPr>
          <w:ilvl w:val="2"/>
          <w:numId w:val="12"/>
        </w:numPr>
        <w:autoSpaceDE w:val="0"/>
        <w:autoSpaceDN w:val="0"/>
        <w:adjustRightInd w:val="0"/>
        <w:spacing w:after="0" w:line="276" w:lineRule="auto"/>
        <w:ind w:left="1276" w:hanging="425"/>
        <w:contextualSpacing/>
        <w:jc w:val="both"/>
        <w:rPr>
          <w:rFonts w:ascii="Arial" w:hAnsi="Arial" w:eastAsia="Calibri" w:cs="Arial"/>
          <w:sz w:val="24"/>
          <w:szCs w:val="24"/>
        </w:rPr>
      </w:pPr>
      <w:r>
        <w:rPr>
          <w:rFonts w:ascii="Arial" w:hAnsi="Arial" w:eastAsia="Calibri" w:cs="Arial"/>
          <w:b/>
          <w:sz w:val="24"/>
          <w:szCs w:val="24"/>
        </w:rPr>
        <w:t>Employee Satisfaction Rate</w:t>
      </w:r>
      <w:r>
        <w:rPr>
          <w:rFonts w:ascii="Arial" w:hAnsi="Arial" w:eastAsia="Calibri" w:cs="Arial"/>
          <w:sz w:val="24"/>
          <w:szCs w:val="24"/>
        </w:rPr>
        <w:t xml:space="preserve"> - This indicator is derived from the annual employee satisfaction survey conducted by the specific organization. The survey can measure both overall satisfaction level and satisfaction with different facets of the job and organization.  The parameter of interest shall be the overall satisfaction level measured by the percentage of employee extremely satisfied with their jobs (depending on the measurement scale).</w:t>
      </w:r>
    </w:p>
    <w:p w14:paraId="4CB9C138">
      <w:pPr>
        <w:autoSpaceDE w:val="0"/>
        <w:autoSpaceDN w:val="0"/>
        <w:adjustRightInd w:val="0"/>
        <w:spacing w:after="0" w:line="276" w:lineRule="auto"/>
        <w:jc w:val="both"/>
        <w:rPr>
          <w:rFonts w:ascii="Arial" w:hAnsi="Arial" w:eastAsia="Calibri" w:cs="Arial"/>
          <w:sz w:val="24"/>
          <w:szCs w:val="24"/>
        </w:rPr>
      </w:pPr>
    </w:p>
    <w:p w14:paraId="0D365112">
      <w:pPr>
        <w:numPr>
          <w:ilvl w:val="2"/>
          <w:numId w:val="12"/>
        </w:numPr>
        <w:autoSpaceDE w:val="0"/>
        <w:autoSpaceDN w:val="0"/>
        <w:adjustRightInd w:val="0"/>
        <w:spacing w:after="0" w:line="276" w:lineRule="auto"/>
        <w:ind w:left="1276" w:hanging="425"/>
        <w:contextualSpacing/>
        <w:jc w:val="both"/>
        <w:rPr>
          <w:rFonts w:ascii="Arial" w:hAnsi="Arial" w:eastAsia="Calibri" w:cs="Arial"/>
          <w:sz w:val="24"/>
          <w:szCs w:val="24"/>
        </w:rPr>
      </w:pPr>
      <w:r>
        <w:rPr>
          <w:rFonts w:ascii="Arial" w:hAnsi="Arial" w:eastAsia="Calibri" w:cs="Arial"/>
          <w:b/>
          <w:sz w:val="24"/>
          <w:szCs w:val="24"/>
        </w:rPr>
        <w:t>Number of Employees participating in Training</w:t>
      </w:r>
      <w:r>
        <w:rPr>
          <w:rFonts w:ascii="Arial" w:hAnsi="Arial" w:eastAsia="Calibri" w:cs="Arial"/>
          <w:sz w:val="24"/>
          <w:szCs w:val="24"/>
        </w:rPr>
        <w:t xml:space="preserve"> – This is obtained by taking the total number of employees trained during the year as per training Program.</w:t>
      </w:r>
    </w:p>
    <w:p w14:paraId="77D0DD34">
      <w:pPr>
        <w:autoSpaceDE w:val="0"/>
        <w:autoSpaceDN w:val="0"/>
        <w:adjustRightInd w:val="0"/>
        <w:spacing w:after="0" w:line="276" w:lineRule="auto"/>
        <w:ind w:left="1440"/>
        <w:contextualSpacing/>
        <w:jc w:val="both"/>
        <w:rPr>
          <w:rFonts w:ascii="Arial" w:hAnsi="Arial" w:eastAsia="Calibri" w:cs="Arial"/>
          <w:sz w:val="24"/>
          <w:szCs w:val="24"/>
        </w:rPr>
      </w:pPr>
    </w:p>
    <w:p w14:paraId="22C3008A">
      <w:pPr>
        <w:numPr>
          <w:ilvl w:val="2"/>
          <w:numId w:val="12"/>
        </w:numPr>
        <w:autoSpaceDE w:val="0"/>
        <w:autoSpaceDN w:val="0"/>
        <w:adjustRightInd w:val="0"/>
        <w:spacing w:after="0" w:line="276" w:lineRule="auto"/>
        <w:ind w:left="1276" w:hanging="425"/>
        <w:contextualSpacing/>
        <w:jc w:val="both"/>
        <w:rPr>
          <w:rFonts w:ascii="Arial" w:hAnsi="Arial" w:eastAsia="Calibri" w:cs="Arial"/>
          <w:sz w:val="24"/>
          <w:szCs w:val="24"/>
        </w:rPr>
      </w:pPr>
      <w:r>
        <w:rPr>
          <w:rFonts w:ascii="Arial" w:hAnsi="Arial" w:eastAsia="Calibri" w:cs="Arial"/>
          <w:b/>
          <w:sz w:val="24"/>
          <w:szCs w:val="24"/>
        </w:rPr>
        <w:t>Percentage of employees receiving regular performance feedback</w:t>
      </w:r>
      <w:r>
        <w:rPr>
          <w:rFonts w:ascii="Arial" w:hAnsi="Arial" w:eastAsia="Calibri" w:cs="Arial"/>
          <w:sz w:val="24"/>
          <w:szCs w:val="24"/>
        </w:rPr>
        <w:t xml:space="preserve"> – This is calculated by the total number of employees receiving performance feedback / the total number of employees in an organization eligible for receiving performance feedback</w:t>
      </w:r>
    </w:p>
    <w:p w14:paraId="2DF8704C">
      <w:pPr>
        <w:ind w:left="720"/>
        <w:contextualSpacing/>
        <w:rPr>
          <w:rFonts w:ascii="Arial" w:hAnsi="Arial" w:eastAsia="Calibri" w:cs="Arial"/>
          <w:sz w:val="24"/>
          <w:szCs w:val="24"/>
        </w:rPr>
      </w:pPr>
    </w:p>
    <w:p w14:paraId="2EF8D5FF">
      <w:pPr>
        <w:numPr>
          <w:ilvl w:val="2"/>
          <w:numId w:val="12"/>
        </w:numPr>
        <w:autoSpaceDE w:val="0"/>
        <w:autoSpaceDN w:val="0"/>
        <w:adjustRightInd w:val="0"/>
        <w:spacing w:after="0" w:line="276" w:lineRule="auto"/>
        <w:ind w:left="1276" w:hanging="425"/>
        <w:contextualSpacing/>
        <w:jc w:val="both"/>
        <w:rPr>
          <w:rFonts w:ascii="Arial" w:hAnsi="Arial" w:eastAsia="Calibri" w:cs="Arial"/>
          <w:sz w:val="24"/>
          <w:szCs w:val="24"/>
        </w:rPr>
      </w:pPr>
      <w:r>
        <w:rPr>
          <w:rFonts w:ascii="Arial" w:hAnsi="Arial" w:eastAsia="Calibri" w:cs="Arial"/>
          <w:b/>
          <w:sz w:val="24"/>
          <w:szCs w:val="24"/>
        </w:rPr>
        <w:t>Percentage</w:t>
      </w:r>
      <w:r>
        <w:rPr>
          <w:rFonts w:ascii="Arial" w:hAnsi="Arial" w:eastAsia="Calibri" w:cs="Arial"/>
          <w:sz w:val="24"/>
          <w:szCs w:val="24"/>
        </w:rPr>
        <w:t xml:space="preserve"> </w:t>
      </w:r>
      <w:r>
        <w:rPr>
          <w:rFonts w:ascii="Arial" w:hAnsi="Arial" w:eastAsia="Calibri" w:cs="Arial"/>
          <w:b/>
          <w:sz w:val="24"/>
          <w:szCs w:val="24"/>
        </w:rPr>
        <w:t>of HR functions automated</w:t>
      </w:r>
      <w:r>
        <w:rPr>
          <w:rFonts w:ascii="Arial" w:hAnsi="Arial" w:eastAsia="Calibri" w:cs="Arial"/>
          <w:sz w:val="24"/>
          <w:szCs w:val="24"/>
        </w:rPr>
        <w:t xml:space="preserve"> – This is calculated by the number of HR functions and processes automated / total HR functions in an organization </w:t>
      </w:r>
    </w:p>
    <w:p w14:paraId="1B366EEE">
      <w:pPr>
        <w:autoSpaceDE w:val="0"/>
        <w:autoSpaceDN w:val="0"/>
        <w:adjustRightInd w:val="0"/>
        <w:spacing w:after="0" w:line="276" w:lineRule="auto"/>
        <w:ind w:left="1440"/>
        <w:contextualSpacing/>
        <w:jc w:val="both"/>
        <w:rPr>
          <w:rFonts w:ascii="Arial" w:hAnsi="Arial" w:eastAsia="Calibri" w:cs="Arial"/>
          <w:sz w:val="24"/>
          <w:szCs w:val="24"/>
        </w:rPr>
      </w:pPr>
    </w:p>
    <w:p w14:paraId="124A6B64">
      <w:pPr>
        <w:numPr>
          <w:ilvl w:val="2"/>
          <w:numId w:val="12"/>
        </w:numPr>
        <w:autoSpaceDE w:val="0"/>
        <w:autoSpaceDN w:val="0"/>
        <w:adjustRightInd w:val="0"/>
        <w:spacing w:after="0" w:line="276" w:lineRule="auto"/>
        <w:ind w:left="1276" w:hanging="425"/>
        <w:contextualSpacing/>
        <w:jc w:val="both"/>
        <w:rPr>
          <w:rFonts w:ascii="Arial" w:hAnsi="Arial" w:eastAsia="Calibri" w:cs="Arial"/>
          <w:sz w:val="24"/>
          <w:szCs w:val="24"/>
        </w:rPr>
      </w:pPr>
      <w:r>
        <w:rPr>
          <w:rFonts w:ascii="Arial" w:hAnsi="Arial" w:eastAsia="Calibri" w:cs="Arial"/>
          <w:b/>
          <w:sz w:val="24"/>
          <w:szCs w:val="24"/>
        </w:rPr>
        <w:t>Employee Retention rate</w:t>
      </w:r>
      <w:r>
        <w:rPr>
          <w:rFonts w:ascii="Arial" w:hAnsi="Arial" w:eastAsia="Calibri" w:cs="Arial"/>
          <w:sz w:val="24"/>
          <w:szCs w:val="24"/>
        </w:rPr>
        <w:t xml:space="preserve"> – This is calculated by the number of employees who remained employed for the entire measurement period / number of employees at the start of the measurement period x100. The Benchmark retention rate is </w:t>
      </w:r>
      <w:r>
        <w:rPr>
          <w:rFonts w:ascii="Arial" w:hAnsi="Arial" w:eastAsia="Calibri" w:cs="Arial"/>
          <w:b/>
          <w:sz w:val="24"/>
          <w:szCs w:val="24"/>
        </w:rPr>
        <w:t>70%-80%</w:t>
      </w:r>
      <w:r>
        <w:rPr>
          <w:rFonts w:ascii="Arial" w:hAnsi="Arial" w:eastAsia="Calibri" w:cs="Arial"/>
          <w:sz w:val="24"/>
          <w:szCs w:val="24"/>
        </w:rPr>
        <w:t xml:space="preserve"> depending on the nature of the industry. When determining employees remained for the entire measurement period, include only employees on the 1st and last date of the measurement period. Do not include positions added during the year.</w:t>
      </w:r>
    </w:p>
    <w:p w14:paraId="4C06A761">
      <w:pPr>
        <w:ind w:left="720"/>
        <w:contextualSpacing/>
        <w:rPr>
          <w:rFonts w:ascii="Arial" w:hAnsi="Arial" w:eastAsia="Calibri" w:cs="Arial"/>
          <w:sz w:val="24"/>
          <w:szCs w:val="24"/>
        </w:rPr>
      </w:pPr>
    </w:p>
    <w:p w14:paraId="36501C17">
      <w:pPr>
        <w:numPr>
          <w:ilvl w:val="2"/>
          <w:numId w:val="12"/>
        </w:numPr>
        <w:autoSpaceDE w:val="0"/>
        <w:autoSpaceDN w:val="0"/>
        <w:adjustRightInd w:val="0"/>
        <w:spacing w:after="0" w:line="276" w:lineRule="auto"/>
        <w:ind w:left="1276" w:hanging="425"/>
        <w:contextualSpacing/>
        <w:jc w:val="both"/>
        <w:rPr>
          <w:rFonts w:ascii="Arial" w:hAnsi="Arial" w:eastAsia="Calibri" w:cs="Arial"/>
          <w:sz w:val="24"/>
          <w:szCs w:val="24"/>
        </w:rPr>
      </w:pPr>
      <w:r>
        <w:rPr>
          <w:rFonts w:ascii="Arial" w:hAnsi="Arial" w:eastAsia="Calibri" w:cs="Arial"/>
          <w:b/>
          <w:sz w:val="24"/>
          <w:szCs w:val="24"/>
        </w:rPr>
        <w:t>Percentage</w:t>
      </w:r>
      <w:r>
        <w:rPr>
          <w:rFonts w:ascii="Arial" w:hAnsi="Arial" w:eastAsia="Calibri" w:cs="Arial"/>
          <w:sz w:val="24"/>
          <w:szCs w:val="24"/>
        </w:rPr>
        <w:t xml:space="preserve"> </w:t>
      </w:r>
      <w:r>
        <w:rPr>
          <w:rFonts w:ascii="Arial" w:hAnsi="Arial" w:eastAsia="Calibri" w:cs="Arial"/>
          <w:b/>
          <w:sz w:val="24"/>
          <w:szCs w:val="24"/>
        </w:rPr>
        <w:t>of grievances resolved</w:t>
      </w:r>
      <w:r>
        <w:rPr>
          <w:rFonts w:ascii="Arial" w:hAnsi="Arial" w:eastAsia="Calibri" w:cs="Arial"/>
          <w:sz w:val="24"/>
          <w:szCs w:val="24"/>
        </w:rPr>
        <w:t xml:space="preserve"> – This is calculated by Total grievances reported during the measurement period/ number of grievances resolved during the measurement period</w:t>
      </w:r>
    </w:p>
    <w:p w14:paraId="3A526EC1">
      <w:pPr>
        <w:ind w:left="720"/>
        <w:contextualSpacing/>
        <w:rPr>
          <w:rFonts w:ascii="Arial" w:hAnsi="Arial" w:eastAsia="Calibri" w:cs="Arial"/>
          <w:sz w:val="24"/>
          <w:szCs w:val="24"/>
        </w:rPr>
      </w:pPr>
    </w:p>
    <w:p w14:paraId="076FB822">
      <w:pPr>
        <w:numPr>
          <w:ilvl w:val="2"/>
          <w:numId w:val="12"/>
        </w:numPr>
        <w:autoSpaceDE w:val="0"/>
        <w:autoSpaceDN w:val="0"/>
        <w:adjustRightInd w:val="0"/>
        <w:spacing w:after="0" w:line="276" w:lineRule="auto"/>
        <w:ind w:left="1276" w:hanging="425"/>
        <w:contextualSpacing/>
        <w:jc w:val="both"/>
        <w:rPr>
          <w:rFonts w:ascii="Arial" w:hAnsi="Arial" w:eastAsia="Calibri" w:cs="Arial"/>
          <w:sz w:val="24"/>
          <w:szCs w:val="24"/>
        </w:rPr>
      </w:pPr>
      <w:r>
        <w:rPr>
          <w:rFonts w:ascii="Arial" w:hAnsi="Arial" w:eastAsia="Calibri" w:cs="Arial"/>
          <w:b/>
          <w:sz w:val="24"/>
          <w:szCs w:val="24"/>
        </w:rPr>
        <w:t>Percentage</w:t>
      </w:r>
      <w:r>
        <w:rPr>
          <w:rFonts w:ascii="Arial" w:hAnsi="Arial" w:eastAsia="Calibri" w:cs="Arial"/>
          <w:sz w:val="24"/>
          <w:szCs w:val="24"/>
        </w:rPr>
        <w:t xml:space="preserve"> </w:t>
      </w:r>
      <w:r>
        <w:rPr>
          <w:rFonts w:ascii="Arial" w:hAnsi="Arial" w:eastAsia="Calibri" w:cs="Arial"/>
          <w:b/>
          <w:sz w:val="24"/>
          <w:szCs w:val="24"/>
        </w:rPr>
        <w:t>of staff LHIV provided with care and support</w:t>
      </w:r>
      <w:r>
        <w:rPr>
          <w:rFonts w:ascii="Arial" w:hAnsi="Arial" w:eastAsia="Calibri" w:cs="Arial"/>
          <w:sz w:val="24"/>
          <w:szCs w:val="24"/>
        </w:rPr>
        <w:t xml:space="preserve"> – This is calculated by the total number of staff LHIV provided with care and support/ total number of staff LHIV in an organization x 100 (the ideal target is 100%).</w:t>
      </w:r>
    </w:p>
    <w:p w14:paraId="63F7B7E8">
      <w:pPr>
        <w:ind w:left="720"/>
        <w:contextualSpacing/>
        <w:rPr>
          <w:rFonts w:ascii="Arial" w:hAnsi="Arial" w:eastAsia="Calibri" w:cs="Arial"/>
          <w:sz w:val="24"/>
          <w:szCs w:val="24"/>
        </w:rPr>
      </w:pPr>
    </w:p>
    <w:p w14:paraId="31572B08">
      <w:pPr>
        <w:numPr>
          <w:ilvl w:val="2"/>
          <w:numId w:val="12"/>
        </w:numPr>
        <w:autoSpaceDE w:val="0"/>
        <w:autoSpaceDN w:val="0"/>
        <w:adjustRightInd w:val="0"/>
        <w:spacing w:after="0" w:line="276" w:lineRule="auto"/>
        <w:ind w:left="1276" w:hanging="425"/>
        <w:contextualSpacing/>
        <w:jc w:val="both"/>
        <w:rPr>
          <w:rFonts w:ascii="Arial" w:hAnsi="Arial" w:eastAsia="Calibri" w:cs="Arial"/>
          <w:sz w:val="24"/>
          <w:szCs w:val="24"/>
        </w:rPr>
      </w:pPr>
      <w:r>
        <w:rPr>
          <w:rFonts w:ascii="Arial" w:hAnsi="Arial" w:eastAsia="Calibri" w:cs="Arial"/>
          <w:b/>
          <w:sz w:val="24"/>
          <w:szCs w:val="24"/>
        </w:rPr>
        <w:t>Number of awareness programs conducted during the year</w:t>
      </w:r>
      <w:r>
        <w:rPr>
          <w:rFonts w:ascii="Arial" w:hAnsi="Arial" w:eastAsia="Calibri" w:cs="Arial"/>
          <w:sz w:val="24"/>
          <w:szCs w:val="24"/>
        </w:rPr>
        <w:t xml:space="preserve"> – Is aimed at sensitizing employees on HIV/AIDS prevalence and non-communicable diseases interventions.</w:t>
      </w:r>
    </w:p>
    <w:p w14:paraId="781A8D06">
      <w:pPr>
        <w:ind w:left="720"/>
        <w:contextualSpacing/>
        <w:rPr>
          <w:rFonts w:ascii="Arial" w:hAnsi="Arial" w:eastAsia="Calibri" w:cs="Arial"/>
          <w:sz w:val="24"/>
          <w:szCs w:val="24"/>
        </w:rPr>
      </w:pPr>
    </w:p>
    <w:p w14:paraId="2DA10515">
      <w:pPr>
        <w:numPr>
          <w:ilvl w:val="2"/>
          <w:numId w:val="12"/>
        </w:numPr>
        <w:autoSpaceDE w:val="0"/>
        <w:autoSpaceDN w:val="0"/>
        <w:adjustRightInd w:val="0"/>
        <w:spacing w:after="0" w:line="276" w:lineRule="auto"/>
        <w:ind w:left="1276" w:hanging="425"/>
        <w:contextualSpacing/>
        <w:jc w:val="both"/>
        <w:rPr>
          <w:rFonts w:ascii="Arial" w:hAnsi="Arial" w:eastAsia="Calibri" w:cs="Arial"/>
          <w:sz w:val="24"/>
          <w:szCs w:val="24"/>
        </w:rPr>
      </w:pPr>
      <w:r>
        <w:rPr>
          <w:rFonts w:ascii="Arial" w:hAnsi="Arial" w:eastAsia="Calibri" w:cs="Arial"/>
          <w:b/>
          <w:sz w:val="24"/>
          <w:szCs w:val="24"/>
        </w:rPr>
        <w:t>Number of new reported HIV cases</w:t>
      </w:r>
      <w:r>
        <w:rPr>
          <w:rFonts w:ascii="Arial" w:hAnsi="Arial" w:eastAsia="Calibri" w:cs="Arial"/>
          <w:sz w:val="24"/>
          <w:szCs w:val="24"/>
        </w:rPr>
        <w:t xml:space="preserve">- If an Institution has strengthened HIV awareness, advocacy, testing, and other intervention measures, it is expected to see a declining number of new infections </w:t>
      </w:r>
    </w:p>
    <w:p w14:paraId="154CD1AB">
      <w:pPr>
        <w:ind w:left="720"/>
        <w:contextualSpacing/>
        <w:rPr>
          <w:rFonts w:ascii="Arial" w:hAnsi="Arial" w:eastAsia="Calibri" w:cs="Arial"/>
          <w:sz w:val="24"/>
          <w:szCs w:val="24"/>
        </w:rPr>
      </w:pPr>
    </w:p>
    <w:p w14:paraId="3F145B32">
      <w:pPr>
        <w:numPr>
          <w:ilvl w:val="2"/>
          <w:numId w:val="12"/>
        </w:numPr>
        <w:autoSpaceDE w:val="0"/>
        <w:autoSpaceDN w:val="0"/>
        <w:adjustRightInd w:val="0"/>
        <w:spacing w:after="0" w:line="276" w:lineRule="auto"/>
        <w:ind w:left="1276" w:hanging="425"/>
        <w:contextualSpacing/>
        <w:jc w:val="both"/>
        <w:rPr>
          <w:rFonts w:ascii="Arial" w:hAnsi="Arial" w:eastAsia="Calibri" w:cs="Arial"/>
          <w:sz w:val="24"/>
          <w:szCs w:val="24"/>
        </w:rPr>
      </w:pPr>
      <w:r>
        <w:rPr>
          <w:rFonts w:ascii="Arial" w:hAnsi="Arial" w:eastAsia="Calibri" w:cs="Arial"/>
          <w:b/>
          <w:sz w:val="24"/>
          <w:szCs w:val="24"/>
        </w:rPr>
        <w:t>Number of employees with non-communicable diseases</w:t>
      </w:r>
      <w:r>
        <w:rPr>
          <w:rFonts w:ascii="Arial" w:hAnsi="Arial" w:eastAsia="Calibri" w:cs="Arial"/>
          <w:sz w:val="24"/>
          <w:szCs w:val="24"/>
        </w:rPr>
        <w:t xml:space="preserve">  – If an organization has strengthened care, wellness, and support programs to the staff, we should expect declining incidences of non-communicable diseases</w:t>
      </w:r>
    </w:p>
    <w:p w14:paraId="0AFB7159">
      <w:pPr>
        <w:autoSpaceDE w:val="0"/>
        <w:autoSpaceDN w:val="0"/>
        <w:adjustRightInd w:val="0"/>
        <w:spacing w:after="0" w:line="276" w:lineRule="auto"/>
        <w:jc w:val="both"/>
        <w:rPr>
          <w:rFonts w:ascii="Arial" w:hAnsi="Arial" w:eastAsia="Calibri" w:cs="Arial"/>
          <w:b/>
          <w:sz w:val="24"/>
          <w:szCs w:val="24"/>
        </w:rPr>
      </w:pPr>
    </w:p>
    <w:p w14:paraId="6B381130">
      <w:pPr>
        <w:numPr>
          <w:ilvl w:val="1"/>
          <w:numId w:val="12"/>
        </w:numPr>
        <w:autoSpaceDE w:val="0"/>
        <w:autoSpaceDN w:val="0"/>
        <w:adjustRightInd w:val="0"/>
        <w:spacing w:after="0" w:line="276" w:lineRule="auto"/>
        <w:ind w:left="709" w:hanging="709"/>
        <w:contextualSpacing/>
        <w:jc w:val="both"/>
        <w:rPr>
          <w:rFonts w:ascii="Arial" w:hAnsi="Arial" w:eastAsia="Calibri" w:cs="Arial"/>
          <w:b/>
          <w:sz w:val="24"/>
          <w:szCs w:val="24"/>
        </w:rPr>
      </w:pPr>
      <w:r>
        <w:rPr>
          <w:rFonts w:ascii="Arial" w:hAnsi="Arial" w:eastAsia="Calibri" w:cs="Arial"/>
          <w:b/>
          <w:sz w:val="24"/>
          <w:szCs w:val="24"/>
        </w:rPr>
        <w:tab/>
      </w:r>
      <w:r>
        <w:rPr>
          <w:rFonts w:ascii="Arial" w:hAnsi="Arial" w:eastAsia="Calibri" w:cs="Arial"/>
          <w:b/>
          <w:sz w:val="24"/>
          <w:szCs w:val="24"/>
        </w:rPr>
        <w:t xml:space="preserve">GOOD GOVERNANCE AND CONTROL </w:t>
      </w:r>
    </w:p>
    <w:p w14:paraId="60F83E92">
      <w:pPr>
        <w:numPr>
          <w:ilvl w:val="2"/>
          <w:numId w:val="12"/>
        </w:numPr>
        <w:autoSpaceDE w:val="0"/>
        <w:autoSpaceDN w:val="0"/>
        <w:adjustRightInd w:val="0"/>
        <w:spacing w:after="0" w:line="276" w:lineRule="auto"/>
        <w:ind w:left="1276" w:hanging="425"/>
        <w:contextualSpacing/>
        <w:jc w:val="both"/>
        <w:rPr>
          <w:rFonts w:ascii="Arial" w:hAnsi="Arial" w:eastAsia="Calibri" w:cs="Arial"/>
          <w:sz w:val="24"/>
          <w:szCs w:val="24"/>
        </w:rPr>
      </w:pPr>
      <w:r>
        <w:rPr>
          <w:rFonts w:ascii="Arial" w:hAnsi="Arial" w:eastAsia="Calibri" w:cs="Arial"/>
          <w:b/>
          <w:sz w:val="24"/>
          <w:szCs w:val="24"/>
        </w:rPr>
        <w:t>Number of corruption awareness programs conducted during the year</w:t>
      </w:r>
      <w:r>
        <w:rPr>
          <w:rFonts w:ascii="Arial" w:hAnsi="Arial" w:eastAsia="Calibri" w:cs="Arial"/>
          <w:sz w:val="24"/>
          <w:szCs w:val="24"/>
        </w:rPr>
        <w:t xml:space="preserve"> – Is aimed at sensitizing employees on corruption at workplace and effect of it to the economy.</w:t>
      </w:r>
    </w:p>
    <w:p w14:paraId="2E8542AE">
      <w:pPr>
        <w:autoSpaceDE w:val="0"/>
        <w:autoSpaceDN w:val="0"/>
        <w:adjustRightInd w:val="0"/>
        <w:spacing w:after="0" w:line="276" w:lineRule="auto"/>
        <w:ind w:left="1276"/>
        <w:contextualSpacing/>
        <w:jc w:val="both"/>
        <w:rPr>
          <w:rFonts w:ascii="Arial" w:hAnsi="Arial" w:eastAsia="Calibri" w:cs="Arial"/>
          <w:sz w:val="10"/>
          <w:szCs w:val="24"/>
        </w:rPr>
      </w:pPr>
    </w:p>
    <w:p w14:paraId="495BC64E">
      <w:pPr>
        <w:numPr>
          <w:ilvl w:val="2"/>
          <w:numId w:val="12"/>
        </w:numPr>
        <w:autoSpaceDE w:val="0"/>
        <w:autoSpaceDN w:val="0"/>
        <w:adjustRightInd w:val="0"/>
        <w:spacing w:after="0" w:line="276" w:lineRule="auto"/>
        <w:ind w:left="1276" w:hanging="425"/>
        <w:contextualSpacing/>
        <w:jc w:val="both"/>
        <w:rPr>
          <w:rFonts w:ascii="Arial" w:hAnsi="Arial" w:eastAsia="Calibri" w:cs="Arial"/>
          <w:sz w:val="24"/>
          <w:szCs w:val="24"/>
        </w:rPr>
      </w:pPr>
      <w:r>
        <w:rPr>
          <w:rFonts w:ascii="Arial" w:hAnsi="Arial" w:eastAsia="Calibri" w:cs="Arial"/>
          <w:b/>
          <w:sz w:val="24"/>
          <w:szCs w:val="24"/>
        </w:rPr>
        <w:t>Number of corruption cases reported</w:t>
      </w:r>
      <w:r>
        <w:rPr>
          <w:rFonts w:ascii="Arial" w:hAnsi="Arial" w:eastAsia="Calibri" w:cs="Arial"/>
          <w:sz w:val="24"/>
          <w:szCs w:val="24"/>
        </w:rPr>
        <w:t xml:space="preserve"> – It is assumed that if an organization has strengthened policies, procedures, and capacity for tracking, preventing, and combating corruption the number of corruption cases reported will be declining year on. </w:t>
      </w:r>
    </w:p>
    <w:p w14:paraId="60D387E9">
      <w:pPr>
        <w:autoSpaceDE w:val="0"/>
        <w:autoSpaceDN w:val="0"/>
        <w:adjustRightInd w:val="0"/>
        <w:spacing w:after="0" w:line="276" w:lineRule="auto"/>
        <w:ind w:left="1276"/>
        <w:contextualSpacing/>
        <w:jc w:val="both"/>
        <w:rPr>
          <w:rFonts w:ascii="Arial" w:hAnsi="Arial" w:eastAsia="Calibri" w:cs="Arial"/>
          <w:sz w:val="16"/>
          <w:szCs w:val="24"/>
        </w:rPr>
      </w:pPr>
    </w:p>
    <w:p w14:paraId="2E11CCDD">
      <w:pPr>
        <w:numPr>
          <w:ilvl w:val="2"/>
          <w:numId w:val="12"/>
        </w:numPr>
        <w:autoSpaceDE w:val="0"/>
        <w:autoSpaceDN w:val="0"/>
        <w:adjustRightInd w:val="0"/>
        <w:spacing w:after="0" w:line="276" w:lineRule="auto"/>
        <w:ind w:left="1276" w:hanging="425"/>
        <w:contextualSpacing/>
        <w:jc w:val="both"/>
        <w:rPr>
          <w:rFonts w:ascii="Arial" w:hAnsi="Arial" w:eastAsia="Calibri" w:cs="Arial"/>
          <w:sz w:val="24"/>
          <w:szCs w:val="24"/>
        </w:rPr>
      </w:pPr>
      <w:r>
        <w:rPr>
          <w:rFonts w:ascii="Arial" w:hAnsi="Arial" w:eastAsia="Calibri" w:cs="Arial"/>
          <w:b/>
          <w:sz w:val="24"/>
          <w:szCs w:val="24"/>
        </w:rPr>
        <w:t xml:space="preserve">Audit Opinion </w:t>
      </w:r>
      <w:r>
        <w:rPr>
          <w:rFonts w:ascii="Arial" w:hAnsi="Arial" w:eastAsia="Calibri" w:cs="Arial"/>
          <w:sz w:val="24"/>
          <w:szCs w:val="24"/>
        </w:rPr>
        <w:t xml:space="preserve">- This is measured by the quality of audit opinion derived from the audit report. The most favorable opinion receives the highest weight in rating. Audit opinions are categorized as follows </w:t>
      </w:r>
    </w:p>
    <w:p w14:paraId="7BECFE3E">
      <w:pPr>
        <w:numPr>
          <w:ilvl w:val="2"/>
          <w:numId w:val="13"/>
        </w:numPr>
        <w:tabs>
          <w:tab w:val="left" w:pos="2268"/>
        </w:tabs>
        <w:autoSpaceDE w:val="0"/>
        <w:autoSpaceDN w:val="0"/>
        <w:adjustRightInd w:val="0"/>
        <w:spacing w:after="0" w:line="276" w:lineRule="auto"/>
        <w:contextualSpacing/>
        <w:jc w:val="both"/>
        <w:rPr>
          <w:rFonts w:ascii="Arial" w:hAnsi="Arial" w:eastAsia="Calibri" w:cs="Arial"/>
          <w:sz w:val="24"/>
          <w:szCs w:val="24"/>
        </w:rPr>
      </w:pPr>
      <w:r>
        <w:rPr>
          <w:rFonts w:ascii="Arial" w:hAnsi="Arial" w:eastAsia="Calibri" w:cs="Arial"/>
          <w:sz w:val="24"/>
          <w:szCs w:val="24"/>
        </w:rPr>
        <w:t>Unqualified opinion-clean report</w:t>
      </w:r>
    </w:p>
    <w:p w14:paraId="4DE2870F">
      <w:pPr>
        <w:numPr>
          <w:ilvl w:val="2"/>
          <w:numId w:val="13"/>
        </w:numPr>
        <w:tabs>
          <w:tab w:val="left" w:pos="2268"/>
        </w:tabs>
        <w:autoSpaceDE w:val="0"/>
        <w:autoSpaceDN w:val="0"/>
        <w:adjustRightInd w:val="0"/>
        <w:spacing w:after="0" w:line="276" w:lineRule="auto"/>
        <w:contextualSpacing/>
        <w:jc w:val="both"/>
        <w:rPr>
          <w:rFonts w:ascii="Arial" w:hAnsi="Arial" w:eastAsia="Calibri" w:cs="Arial"/>
          <w:sz w:val="24"/>
          <w:szCs w:val="24"/>
        </w:rPr>
      </w:pPr>
      <w:r>
        <w:rPr>
          <w:rFonts w:ascii="Arial" w:hAnsi="Arial" w:eastAsia="Calibri" w:cs="Arial"/>
          <w:sz w:val="24"/>
          <w:szCs w:val="24"/>
        </w:rPr>
        <w:t>Qualified opinion-qualified report</w:t>
      </w:r>
    </w:p>
    <w:p w14:paraId="06643214">
      <w:pPr>
        <w:numPr>
          <w:ilvl w:val="2"/>
          <w:numId w:val="13"/>
        </w:numPr>
        <w:tabs>
          <w:tab w:val="left" w:pos="2268"/>
          <w:tab w:val="left" w:pos="2410"/>
        </w:tabs>
        <w:autoSpaceDE w:val="0"/>
        <w:autoSpaceDN w:val="0"/>
        <w:adjustRightInd w:val="0"/>
        <w:spacing w:after="0" w:line="276" w:lineRule="auto"/>
        <w:contextualSpacing/>
        <w:jc w:val="both"/>
        <w:rPr>
          <w:rFonts w:ascii="Arial" w:hAnsi="Arial" w:eastAsia="Calibri" w:cs="Arial"/>
          <w:sz w:val="24"/>
          <w:szCs w:val="24"/>
        </w:rPr>
      </w:pPr>
      <w:r>
        <w:rPr>
          <w:rFonts w:ascii="Arial" w:hAnsi="Arial" w:eastAsia="Calibri" w:cs="Arial"/>
          <w:sz w:val="24"/>
          <w:szCs w:val="24"/>
        </w:rPr>
        <w:t>Disclaimer of opinion-disclaimer report</w:t>
      </w:r>
    </w:p>
    <w:p w14:paraId="4CE1E4C2">
      <w:pPr>
        <w:numPr>
          <w:ilvl w:val="2"/>
          <w:numId w:val="13"/>
        </w:numPr>
        <w:tabs>
          <w:tab w:val="left" w:pos="2268"/>
          <w:tab w:val="left" w:pos="2410"/>
        </w:tabs>
        <w:autoSpaceDE w:val="0"/>
        <w:autoSpaceDN w:val="0"/>
        <w:adjustRightInd w:val="0"/>
        <w:spacing w:after="0" w:line="276" w:lineRule="auto"/>
        <w:contextualSpacing/>
        <w:jc w:val="both"/>
        <w:rPr>
          <w:rFonts w:ascii="Arial" w:hAnsi="Arial" w:eastAsia="Calibri" w:cs="Arial"/>
          <w:sz w:val="24"/>
          <w:szCs w:val="24"/>
        </w:rPr>
      </w:pPr>
      <w:r>
        <w:rPr>
          <w:rFonts w:ascii="Arial" w:hAnsi="Arial" w:eastAsia="Calibri" w:cs="Arial"/>
          <w:sz w:val="24"/>
          <w:szCs w:val="24"/>
        </w:rPr>
        <w:t>Adverse opinion-adverse audit report</w:t>
      </w:r>
    </w:p>
    <w:p w14:paraId="1111C8DC">
      <w:pPr>
        <w:autoSpaceDE w:val="0"/>
        <w:autoSpaceDN w:val="0"/>
        <w:adjustRightInd w:val="0"/>
        <w:spacing w:after="0" w:line="276" w:lineRule="auto"/>
        <w:ind w:left="1440"/>
        <w:contextualSpacing/>
        <w:jc w:val="both"/>
        <w:rPr>
          <w:rFonts w:ascii="Arial" w:hAnsi="Arial" w:eastAsia="Calibri" w:cs="Arial"/>
          <w:sz w:val="12"/>
          <w:szCs w:val="24"/>
        </w:rPr>
      </w:pPr>
    </w:p>
    <w:p w14:paraId="7253665A">
      <w:pPr>
        <w:numPr>
          <w:ilvl w:val="2"/>
          <w:numId w:val="12"/>
        </w:numPr>
        <w:autoSpaceDE w:val="0"/>
        <w:autoSpaceDN w:val="0"/>
        <w:adjustRightInd w:val="0"/>
        <w:spacing w:after="0" w:line="276" w:lineRule="auto"/>
        <w:ind w:left="1276" w:hanging="425"/>
        <w:contextualSpacing/>
        <w:jc w:val="both"/>
        <w:rPr>
          <w:rFonts w:ascii="Arial" w:hAnsi="Arial" w:eastAsia="Calibri" w:cs="Arial"/>
          <w:sz w:val="24"/>
          <w:szCs w:val="24"/>
        </w:rPr>
      </w:pPr>
      <w:r>
        <w:rPr>
          <w:rFonts w:ascii="Arial" w:hAnsi="Arial" w:eastAsia="Calibri" w:cs="Arial"/>
          <w:b/>
          <w:sz w:val="24"/>
          <w:szCs w:val="24"/>
        </w:rPr>
        <w:t>Percentage</w:t>
      </w:r>
      <w:r>
        <w:rPr>
          <w:rFonts w:ascii="Arial" w:hAnsi="Arial" w:eastAsia="Calibri" w:cs="Arial"/>
          <w:sz w:val="24"/>
          <w:szCs w:val="24"/>
        </w:rPr>
        <w:t xml:space="preserve"> </w:t>
      </w:r>
      <w:r>
        <w:rPr>
          <w:rFonts w:ascii="Arial" w:hAnsi="Arial" w:eastAsia="Calibri" w:cs="Arial"/>
          <w:b/>
          <w:sz w:val="24"/>
          <w:szCs w:val="24"/>
        </w:rPr>
        <w:t>of audit findings resolved by the deadline</w:t>
      </w:r>
      <w:r>
        <w:rPr>
          <w:rFonts w:ascii="Arial" w:hAnsi="Arial" w:eastAsia="Calibri" w:cs="Arial"/>
          <w:sz w:val="24"/>
          <w:szCs w:val="24"/>
        </w:rPr>
        <w:t xml:space="preserve"> -this measure is calculated by total audit findings resolved in the measurement period/ total audit findings raised in the measurement period. The benchmark % is 100%</w:t>
      </w:r>
    </w:p>
    <w:p w14:paraId="048A8103">
      <w:pPr>
        <w:autoSpaceDE w:val="0"/>
        <w:autoSpaceDN w:val="0"/>
        <w:adjustRightInd w:val="0"/>
        <w:spacing w:after="0" w:line="276" w:lineRule="auto"/>
        <w:ind w:left="1440"/>
        <w:contextualSpacing/>
        <w:jc w:val="both"/>
        <w:rPr>
          <w:rFonts w:ascii="Arial" w:hAnsi="Arial" w:eastAsia="Calibri" w:cs="Arial"/>
          <w:sz w:val="24"/>
          <w:szCs w:val="24"/>
        </w:rPr>
      </w:pPr>
    </w:p>
    <w:p w14:paraId="5083FC5F">
      <w:pPr>
        <w:numPr>
          <w:ilvl w:val="2"/>
          <w:numId w:val="12"/>
        </w:numPr>
        <w:autoSpaceDE w:val="0"/>
        <w:autoSpaceDN w:val="0"/>
        <w:adjustRightInd w:val="0"/>
        <w:spacing w:after="0" w:line="276" w:lineRule="auto"/>
        <w:ind w:left="1276" w:hanging="425"/>
        <w:contextualSpacing/>
        <w:jc w:val="both"/>
        <w:rPr>
          <w:rFonts w:ascii="Arial" w:hAnsi="Arial" w:eastAsia="Calibri" w:cs="Arial"/>
          <w:sz w:val="24"/>
          <w:szCs w:val="24"/>
        </w:rPr>
      </w:pPr>
      <w:r>
        <w:rPr>
          <w:rFonts w:ascii="Arial" w:hAnsi="Arial" w:eastAsia="Calibri" w:cs="Arial"/>
          <w:b/>
          <w:sz w:val="24"/>
          <w:szCs w:val="24"/>
        </w:rPr>
        <w:t>Overall rating from the annual board assessment</w:t>
      </w:r>
      <w:r>
        <w:rPr>
          <w:rFonts w:ascii="Arial" w:hAnsi="Arial" w:eastAsia="Calibri" w:cs="Arial"/>
          <w:sz w:val="24"/>
          <w:szCs w:val="24"/>
        </w:rPr>
        <w:t xml:space="preserve"> - this is the overall score extracted from the annual board self-assessment survey. The score can also be calculated as an average score from the rating of each facet of the board assessment tool. The benchmark rating should be 70%-80% </w:t>
      </w:r>
    </w:p>
    <w:p w14:paraId="7275AFC3">
      <w:pPr>
        <w:autoSpaceDE w:val="0"/>
        <w:autoSpaceDN w:val="0"/>
        <w:adjustRightInd w:val="0"/>
        <w:spacing w:after="0" w:line="276" w:lineRule="auto"/>
        <w:ind w:left="1440"/>
        <w:contextualSpacing/>
        <w:jc w:val="both"/>
        <w:rPr>
          <w:rFonts w:ascii="Arial" w:hAnsi="Arial" w:eastAsia="Calibri" w:cs="Arial"/>
          <w:sz w:val="24"/>
          <w:szCs w:val="24"/>
        </w:rPr>
      </w:pPr>
    </w:p>
    <w:p w14:paraId="27E4B138">
      <w:pPr>
        <w:numPr>
          <w:ilvl w:val="2"/>
          <w:numId w:val="12"/>
        </w:numPr>
        <w:autoSpaceDE w:val="0"/>
        <w:autoSpaceDN w:val="0"/>
        <w:adjustRightInd w:val="0"/>
        <w:spacing w:after="0" w:line="276" w:lineRule="auto"/>
        <w:ind w:left="1276" w:hanging="425"/>
        <w:contextualSpacing/>
        <w:jc w:val="both"/>
        <w:rPr>
          <w:rFonts w:ascii="Arial" w:hAnsi="Arial" w:eastAsia="Calibri" w:cs="Arial"/>
          <w:sz w:val="24"/>
          <w:szCs w:val="24"/>
        </w:rPr>
      </w:pPr>
      <w:r>
        <w:rPr>
          <w:rFonts w:ascii="Arial" w:hAnsi="Arial" w:eastAsia="Calibri" w:cs="Arial"/>
          <w:b/>
          <w:sz w:val="24"/>
          <w:szCs w:val="24"/>
        </w:rPr>
        <w:t>Percentage</w:t>
      </w:r>
      <w:r>
        <w:rPr>
          <w:rFonts w:ascii="Arial" w:hAnsi="Arial" w:eastAsia="Calibri" w:cs="Arial"/>
          <w:sz w:val="24"/>
          <w:szCs w:val="24"/>
        </w:rPr>
        <w:t xml:space="preserve"> </w:t>
      </w:r>
      <w:r>
        <w:rPr>
          <w:rFonts w:ascii="Arial" w:hAnsi="Arial" w:eastAsia="Calibri" w:cs="Arial"/>
          <w:b/>
          <w:sz w:val="24"/>
          <w:szCs w:val="24"/>
        </w:rPr>
        <w:t>of business processes with business continuity plan</w:t>
      </w:r>
      <w:r>
        <w:rPr>
          <w:rFonts w:ascii="Arial" w:hAnsi="Arial" w:eastAsia="Calibri" w:cs="Arial"/>
          <w:sz w:val="24"/>
          <w:szCs w:val="24"/>
        </w:rPr>
        <w:t xml:space="preserve"> - Business processes with business continuity plans/ total business processes x100. A business process is a collection of linked tasks and activities which finds their end in the delivery of a service or product to the customers or accomplish an organizational goal</w:t>
      </w:r>
    </w:p>
    <w:p w14:paraId="0B6F820C">
      <w:pPr>
        <w:ind w:left="720"/>
        <w:contextualSpacing/>
        <w:rPr>
          <w:rFonts w:ascii="Arial" w:hAnsi="Arial" w:eastAsia="Calibri" w:cs="Arial"/>
          <w:sz w:val="24"/>
          <w:szCs w:val="24"/>
        </w:rPr>
      </w:pPr>
    </w:p>
    <w:p w14:paraId="4FDCAB86">
      <w:pPr>
        <w:numPr>
          <w:ilvl w:val="2"/>
          <w:numId w:val="12"/>
        </w:numPr>
        <w:autoSpaceDE w:val="0"/>
        <w:autoSpaceDN w:val="0"/>
        <w:adjustRightInd w:val="0"/>
        <w:spacing w:after="0" w:line="276" w:lineRule="auto"/>
        <w:ind w:left="1276" w:hanging="425"/>
        <w:contextualSpacing/>
        <w:jc w:val="both"/>
        <w:rPr>
          <w:rFonts w:ascii="Arial" w:hAnsi="Arial" w:eastAsia="Calibri" w:cs="Arial"/>
          <w:sz w:val="24"/>
          <w:szCs w:val="24"/>
        </w:rPr>
      </w:pPr>
      <w:r>
        <w:rPr>
          <w:rFonts w:ascii="Arial" w:hAnsi="Arial" w:eastAsia="Calibri" w:cs="Arial"/>
          <w:b/>
          <w:sz w:val="24"/>
          <w:szCs w:val="24"/>
        </w:rPr>
        <w:t>Percentage of risks with valid mitigations</w:t>
      </w:r>
      <w:r>
        <w:rPr>
          <w:rFonts w:ascii="Arial" w:hAnsi="Arial" w:eastAsia="Calibri" w:cs="Arial"/>
          <w:sz w:val="24"/>
          <w:szCs w:val="24"/>
        </w:rPr>
        <w:t xml:space="preserve"> - total risks with valid mitigation/ total organizational risks x100%. The benchmark level is 100%. To ensure objectivity in developing this measure there must be an objective verification of the organization’s risk register </w:t>
      </w:r>
    </w:p>
    <w:p w14:paraId="5FAD111D">
      <w:pPr>
        <w:rPr>
          <w:rFonts w:ascii="Arial" w:hAnsi="Arial" w:eastAsia="Calibri" w:cs="Arial"/>
          <w:sz w:val="24"/>
          <w:szCs w:val="24"/>
        </w:rPr>
      </w:pPr>
    </w:p>
    <w:p w14:paraId="0D7672C9">
      <w:pPr>
        <w:numPr>
          <w:ilvl w:val="1"/>
          <w:numId w:val="12"/>
        </w:numPr>
        <w:autoSpaceDE w:val="0"/>
        <w:autoSpaceDN w:val="0"/>
        <w:adjustRightInd w:val="0"/>
        <w:spacing w:after="0" w:line="276" w:lineRule="auto"/>
        <w:ind w:left="709" w:hanging="709"/>
        <w:contextualSpacing/>
        <w:jc w:val="both"/>
        <w:rPr>
          <w:rFonts w:ascii="Arial" w:hAnsi="Arial" w:eastAsia="Calibri" w:cs="Arial"/>
          <w:b/>
          <w:sz w:val="24"/>
          <w:szCs w:val="24"/>
        </w:rPr>
      </w:pPr>
      <w:r>
        <w:rPr>
          <w:rFonts w:ascii="Arial" w:hAnsi="Arial" w:eastAsia="Calibri" w:cs="Arial"/>
          <w:b/>
          <w:sz w:val="24"/>
          <w:szCs w:val="24"/>
        </w:rPr>
        <w:t xml:space="preserve">CUSTOMER SERVICE </w:t>
      </w:r>
    </w:p>
    <w:p w14:paraId="141E360E">
      <w:pPr>
        <w:numPr>
          <w:ilvl w:val="0"/>
          <w:numId w:val="14"/>
        </w:numPr>
        <w:autoSpaceDE w:val="0"/>
        <w:autoSpaceDN w:val="0"/>
        <w:adjustRightInd w:val="0"/>
        <w:spacing w:after="0" w:line="276" w:lineRule="auto"/>
        <w:contextualSpacing/>
        <w:jc w:val="both"/>
        <w:rPr>
          <w:rFonts w:ascii="Arial" w:hAnsi="Arial" w:eastAsia="Calibri" w:cs="Arial"/>
          <w:sz w:val="24"/>
          <w:szCs w:val="24"/>
        </w:rPr>
      </w:pPr>
      <w:r>
        <w:rPr>
          <w:rFonts w:ascii="Arial" w:hAnsi="Arial" w:eastAsia="Calibri" w:cs="Arial"/>
          <w:b/>
          <w:sz w:val="24"/>
          <w:szCs w:val="24"/>
        </w:rPr>
        <w:t>Number of services automated</w:t>
      </w:r>
      <w:r>
        <w:rPr>
          <w:rFonts w:ascii="Arial" w:hAnsi="Arial" w:eastAsia="Calibri" w:cs="Arial"/>
          <w:sz w:val="24"/>
          <w:szCs w:val="24"/>
        </w:rPr>
        <w:t xml:space="preserve"> - number of customer-focused services automated within the measurement period.  The ideal benchmark is 100% automation of customer-focused services </w:t>
      </w:r>
    </w:p>
    <w:p w14:paraId="660C70EE">
      <w:pPr>
        <w:autoSpaceDE w:val="0"/>
        <w:autoSpaceDN w:val="0"/>
        <w:adjustRightInd w:val="0"/>
        <w:spacing w:after="0" w:line="276" w:lineRule="auto"/>
        <w:ind w:left="1440"/>
        <w:contextualSpacing/>
        <w:jc w:val="both"/>
        <w:rPr>
          <w:rFonts w:ascii="Arial" w:hAnsi="Arial" w:eastAsia="Calibri" w:cs="Arial"/>
          <w:sz w:val="16"/>
          <w:szCs w:val="24"/>
        </w:rPr>
      </w:pPr>
    </w:p>
    <w:p w14:paraId="06553CFF">
      <w:pPr>
        <w:numPr>
          <w:ilvl w:val="0"/>
          <w:numId w:val="14"/>
        </w:numPr>
        <w:autoSpaceDE w:val="0"/>
        <w:autoSpaceDN w:val="0"/>
        <w:adjustRightInd w:val="0"/>
        <w:spacing w:after="0" w:line="276" w:lineRule="auto"/>
        <w:contextualSpacing/>
        <w:jc w:val="both"/>
        <w:rPr>
          <w:rFonts w:ascii="Arial" w:hAnsi="Arial" w:eastAsia="Calibri" w:cs="Arial"/>
          <w:sz w:val="24"/>
          <w:szCs w:val="24"/>
        </w:rPr>
      </w:pPr>
      <w:r>
        <w:rPr>
          <w:rFonts w:ascii="Arial" w:hAnsi="Arial" w:eastAsia="Calibri" w:cs="Arial"/>
          <w:b/>
          <w:sz w:val="24"/>
          <w:szCs w:val="24"/>
        </w:rPr>
        <w:t>Average response time in servicing a customer</w:t>
      </w:r>
      <w:r>
        <w:rPr>
          <w:rFonts w:ascii="Arial" w:hAnsi="Arial" w:eastAsia="Calibri" w:cs="Arial"/>
          <w:sz w:val="24"/>
          <w:szCs w:val="24"/>
        </w:rPr>
        <w:t xml:space="preserve"> - this is measured by taking total time taken to respond during the selected time period divided the number of responses in the selected time period. The measure can be calculated for each service and media used to deliver service to the client. Each organization can have specific benchmark established in their client service charters, SLAs and in some cases, there are industry benchmarks or benchmarks set by regulators </w:t>
      </w:r>
    </w:p>
    <w:p w14:paraId="0F11B0A5">
      <w:pPr>
        <w:ind w:left="720"/>
        <w:contextualSpacing/>
        <w:rPr>
          <w:rFonts w:ascii="Arial" w:hAnsi="Arial" w:eastAsia="Calibri" w:cs="Arial"/>
          <w:sz w:val="16"/>
          <w:szCs w:val="24"/>
        </w:rPr>
      </w:pPr>
    </w:p>
    <w:p w14:paraId="34B271A6">
      <w:pPr>
        <w:numPr>
          <w:ilvl w:val="0"/>
          <w:numId w:val="14"/>
        </w:numPr>
        <w:autoSpaceDE w:val="0"/>
        <w:autoSpaceDN w:val="0"/>
        <w:adjustRightInd w:val="0"/>
        <w:spacing w:after="0" w:line="276" w:lineRule="auto"/>
        <w:contextualSpacing/>
        <w:jc w:val="both"/>
        <w:rPr>
          <w:rFonts w:ascii="Arial" w:hAnsi="Arial" w:eastAsia="Calibri" w:cs="Arial"/>
          <w:sz w:val="24"/>
          <w:szCs w:val="24"/>
        </w:rPr>
      </w:pPr>
      <w:r>
        <w:rPr>
          <w:rFonts w:ascii="Arial" w:hAnsi="Arial" w:eastAsia="Calibri" w:cs="Arial"/>
          <w:b/>
          <w:sz w:val="24"/>
          <w:szCs w:val="24"/>
        </w:rPr>
        <w:t>Customer efforts score (CES)</w:t>
      </w:r>
      <w:r>
        <w:rPr>
          <w:rFonts w:ascii="Arial" w:hAnsi="Arial" w:eastAsia="Calibri" w:cs="Arial"/>
          <w:sz w:val="24"/>
          <w:szCs w:val="24"/>
        </w:rPr>
        <w:t xml:space="preserve"> -  is a customer experience survey metric that enables service Institutions to account for the ease of customer interaction and resolution during a request. By tracking CES and what drives it, service leaders can make changes to improve the customer experience. It measures how hard a customer has to try to get an issue resolved. This is measured through a survey of customers by using an itemized rating scale of 1-5 by asking customers “on a scale of 1-5 how much efforts did you have to put forth to handle your issue”.</w:t>
      </w:r>
    </w:p>
    <w:p w14:paraId="3CBEC0A0">
      <w:pPr>
        <w:autoSpaceDE w:val="0"/>
        <w:autoSpaceDN w:val="0"/>
        <w:adjustRightInd w:val="0"/>
        <w:spacing w:after="0" w:line="276" w:lineRule="auto"/>
        <w:ind w:left="1440"/>
        <w:contextualSpacing/>
        <w:jc w:val="both"/>
        <w:rPr>
          <w:rFonts w:ascii="Arial" w:hAnsi="Arial" w:eastAsia="Calibri" w:cs="Arial"/>
          <w:sz w:val="12"/>
          <w:szCs w:val="24"/>
        </w:rPr>
      </w:pPr>
    </w:p>
    <w:p w14:paraId="7CF0935C">
      <w:pPr>
        <w:spacing w:line="360" w:lineRule="auto"/>
        <w:ind w:left="1440"/>
        <w:contextualSpacing/>
        <w:rPr>
          <w:rFonts w:ascii="Arial" w:hAnsi="Arial" w:eastAsia="Calibri" w:cs="Arial"/>
          <w:b/>
          <w:sz w:val="24"/>
          <w:szCs w:val="24"/>
        </w:rPr>
      </w:pPr>
      <w:r>
        <w:rPr>
          <w:rFonts w:ascii="Arial" w:hAnsi="Arial" w:eastAsia="Calibri" w:cs="Arial"/>
          <w:b/>
          <w:sz w:val="24"/>
          <w:szCs w:val="24"/>
        </w:rPr>
        <w:t xml:space="preserve">  Itemized rating scale</w:t>
      </w:r>
    </w:p>
    <w:tbl>
      <w:tblPr>
        <w:tblStyle w:val="3"/>
        <w:tblW w:w="4245" w:type="pct"/>
        <w:tblInd w:w="15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1"/>
        <w:gridCol w:w="1740"/>
        <w:gridCol w:w="1304"/>
        <w:gridCol w:w="1015"/>
        <w:gridCol w:w="1306"/>
        <w:gridCol w:w="1304"/>
      </w:tblGrid>
      <w:tr w14:paraId="1A24A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pct"/>
            <w:shd w:val="clear" w:color="auto" w:fill="auto"/>
          </w:tcPr>
          <w:p w14:paraId="34523D70">
            <w:pPr>
              <w:autoSpaceDE w:val="0"/>
              <w:autoSpaceDN w:val="0"/>
              <w:adjustRightInd w:val="0"/>
              <w:spacing w:after="0" w:line="276" w:lineRule="auto"/>
              <w:contextualSpacing/>
              <w:jc w:val="both"/>
              <w:rPr>
                <w:rFonts w:ascii="Arial" w:hAnsi="Arial" w:eastAsia="Calibri" w:cs="Arial"/>
                <w:b/>
                <w:szCs w:val="24"/>
              </w:rPr>
            </w:pPr>
            <w:r>
              <w:rPr>
                <w:rFonts w:ascii="Arial" w:hAnsi="Arial" w:eastAsia="Calibri" w:cs="Arial"/>
                <w:b/>
                <w:szCs w:val="24"/>
              </w:rPr>
              <w:t>Rating</w:t>
            </w:r>
          </w:p>
        </w:tc>
        <w:tc>
          <w:tcPr>
            <w:tcW w:w="1070" w:type="pct"/>
            <w:shd w:val="clear" w:color="auto" w:fill="auto"/>
          </w:tcPr>
          <w:p w14:paraId="520BC5D5">
            <w:pPr>
              <w:autoSpaceDE w:val="0"/>
              <w:autoSpaceDN w:val="0"/>
              <w:adjustRightInd w:val="0"/>
              <w:spacing w:after="0" w:line="276" w:lineRule="auto"/>
              <w:contextualSpacing/>
              <w:jc w:val="center"/>
              <w:rPr>
                <w:rFonts w:ascii="Arial" w:hAnsi="Arial" w:eastAsia="Calibri" w:cs="Arial"/>
                <w:b/>
                <w:szCs w:val="24"/>
              </w:rPr>
            </w:pPr>
            <w:r>
              <w:rPr>
                <w:rFonts w:ascii="Arial" w:hAnsi="Arial" w:eastAsia="Calibri" w:cs="Arial"/>
                <w:b/>
                <w:szCs w:val="24"/>
              </w:rPr>
              <w:t>1</w:t>
            </w:r>
          </w:p>
        </w:tc>
        <w:tc>
          <w:tcPr>
            <w:tcW w:w="802" w:type="pct"/>
            <w:shd w:val="clear" w:color="auto" w:fill="auto"/>
          </w:tcPr>
          <w:p w14:paraId="28B1558C">
            <w:pPr>
              <w:autoSpaceDE w:val="0"/>
              <w:autoSpaceDN w:val="0"/>
              <w:adjustRightInd w:val="0"/>
              <w:spacing w:after="0" w:line="276" w:lineRule="auto"/>
              <w:contextualSpacing/>
              <w:jc w:val="center"/>
              <w:rPr>
                <w:rFonts w:ascii="Arial" w:hAnsi="Arial" w:eastAsia="Calibri" w:cs="Arial"/>
                <w:b/>
                <w:szCs w:val="24"/>
              </w:rPr>
            </w:pPr>
            <w:r>
              <w:rPr>
                <w:rFonts w:ascii="Arial" w:hAnsi="Arial" w:eastAsia="Calibri" w:cs="Arial"/>
                <w:b/>
                <w:szCs w:val="24"/>
              </w:rPr>
              <w:t>2</w:t>
            </w:r>
          </w:p>
        </w:tc>
        <w:tc>
          <w:tcPr>
            <w:tcW w:w="624" w:type="pct"/>
            <w:shd w:val="clear" w:color="auto" w:fill="auto"/>
          </w:tcPr>
          <w:p w14:paraId="362B952E">
            <w:pPr>
              <w:autoSpaceDE w:val="0"/>
              <w:autoSpaceDN w:val="0"/>
              <w:adjustRightInd w:val="0"/>
              <w:spacing w:after="0" w:line="276" w:lineRule="auto"/>
              <w:contextualSpacing/>
              <w:jc w:val="center"/>
              <w:rPr>
                <w:rFonts w:ascii="Arial" w:hAnsi="Arial" w:eastAsia="Calibri" w:cs="Arial"/>
                <w:b/>
                <w:szCs w:val="24"/>
              </w:rPr>
            </w:pPr>
            <w:r>
              <w:rPr>
                <w:rFonts w:ascii="Arial" w:hAnsi="Arial" w:eastAsia="Calibri" w:cs="Arial"/>
                <w:b/>
                <w:szCs w:val="24"/>
              </w:rPr>
              <w:t>3</w:t>
            </w:r>
          </w:p>
        </w:tc>
        <w:tc>
          <w:tcPr>
            <w:tcW w:w="803" w:type="pct"/>
            <w:shd w:val="clear" w:color="auto" w:fill="auto"/>
          </w:tcPr>
          <w:p w14:paraId="4106DDD4">
            <w:pPr>
              <w:autoSpaceDE w:val="0"/>
              <w:autoSpaceDN w:val="0"/>
              <w:adjustRightInd w:val="0"/>
              <w:spacing w:after="0" w:line="276" w:lineRule="auto"/>
              <w:contextualSpacing/>
              <w:jc w:val="center"/>
              <w:rPr>
                <w:rFonts w:ascii="Arial" w:hAnsi="Arial" w:eastAsia="Calibri" w:cs="Arial"/>
                <w:b/>
                <w:szCs w:val="24"/>
              </w:rPr>
            </w:pPr>
            <w:r>
              <w:rPr>
                <w:rFonts w:ascii="Arial" w:hAnsi="Arial" w:eastAsia="Calibri" w:cs="Arial"/>
                <w:b/>
                <w:szCs w:val="24"/>
              </w:rPr>
              <w:t>4</w:t>
            </w:r>
          </w:p>
        </w:tc>
        <w:tc>
          <w:tcPr>
            <w:tcW w:w="802" w:type="pct"/>
            <w:shd w:val="clear" w:color="auto" w:fill="auto"/>
          </w:tcPr>
          <w:p w14:paraId="3F78D8DF">
            <w:pPr>
              <w:autoSpaceDE w:val="0"/>
              <w:autoSpaceDN w:val="0"/>
              <w:adjustRightInd w:val="0"/>
              <w:spacing w:after="0" w:line="276" w:lineRule="auto"/>
              <w:contextualSpacing/>
              <w:jc w:val="center"/>
              <w:rPr>
                <w:rFonts w:ascii="Arial" w:hAnsi="Arial" w:eastAsia="Calibri" w:cs="Arial"/>
                <w:b/>
                <w:szCs w:val="24"/>
              </w:rPr>
            </w:pPr>
            <w:r>
              <w:rPr>
                <w:rFonts w:ascii="Arial" w:hAnsi="Arial" w:eastAsia="Calibri" w:cs="Arial"/>
                <w:b/>
                <w:szCs w:val="24"/>
              </w:rPr>
              <w:t>5</w:t>
            </w:r>
          </w:p>
        </w:tc>
      </w:tr>
      <w:tr w14:paraId="7444D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pct"/>
            <w:shd w:val="clear" w:color="auto" w:fill="auto"/>
          </w:tcPr>
          <w:p w14:paraId="0B518CB2">
            <w:pPr>
              <w:autoSpaceDE w:val="0"/>
              <w:autoSpaceDN w:val="0"/>
              <w:adjustRightInd w:val="0"/>
              <w:spacing w:after="0" w:line="276" w:lineRule="auto"/>
              <w:contextualSpacing/>
              <w:jc w:val="both"/>
              <w:rPr>
                <w:rFonts w:ascii="Arial" w:hAnsi="Arial" w:eastAsia="Calibri" w:cs="Arial"/>
                <w:b/>
                <w:szCs w:val="24"/>
              </w:rPr>
            </w:pPr>
            <w:r>
              <w:rPr>
                <w:rFonts w:ascii="Arial" w:hAnsi="Arial" w:eastAsia="Calibri" w:cs="Arial"/>
                <w:b/>
                <w:szCs w:val="24"/>
              </w:rPr>
              <w:t>Description</w:t>
            </w:r>
          </w:p>
        </w:tc>
        <w:tc>
          <w:tcPr>
            <w:tcW w:w="1070" w:type="pct"/>
            <w:shd w:val="clear" w:color="auto" w:fill="00B050"/>
          </w:tcPr>
          <w:p w14:paraId="528F3253">
            <w:pPr>
              <w:autoSpaceDE w:val="0"/>
              <w:autoSpaceDN w:val="0"/>
              <w:adjustRightInd w:val="0"/>
              <w:spacing w:after="0" w:line="276" w:lineRule="auto"/>
              <w:contextualSpacing/>
              <w:jc w:val="both"/>
              <w:rPr>
                <w:rFonts w:ascii="Arial" w:hAnsi="Arial" w:eastAsia="Calibri" w:cs="Arial"/>
                <w:szCs w:val="24"/>
              </w:rPr>
            </w:pPr>
            <w:r>
              <w:rPr>
                <w:rFonts w:ascii="Arial" w:hAnsi="Arial" w:eastAsia="Calibri" w:cs="Arial"/>
                <w:szCs w:val="24"/>
              </w:rPr>
              <w:t>Very low effort</w:t>
            </w:r>
          </w:p>
        </w:tc>
        <w:tc>
          <w:tcPr>
            <w:tcW w:w="802" w:type="pct"/>
            <w:shd w:val="clear" w:color="auto" w:fill="92D050"/>
          </w:tcPr>
          <w:p w14:paraId="5A8A73B1">
            <w:pPr>
              <w:autoSpaceDE w:val="0"/>
              <w:autoSpaceDN w:val="0"/>
              <w:adjustRightInd w:val="0"/>
              <w:spacing w:after="0" w:line="276" w:lineRule="auto"/>
              <w:contextualSpacing/>
              <w:jc w:val="both"/>
              <w:rPr>
                <w:rFonts w:ascii="Arial" w:hAnsi="Arial" w:eastAsia="Calibri" w:cs="Arial"/>
                <w:szCs w:val="24"/>
              </w:rPr>
            </w:pPr>
            <w:r>
              <w:rPr>
                <w:rFonts w:ascii="Arial" w:hAnsi="Arial" w:eastAsia="Calibri" w:cs="Arial"/>
                <w:szCs w:val="24"/>
              </w:rPr>
              <w:t>Low effort</w:t>
            </w:r>
          </w:p>
        </w:tc>
        <w:tc>
          <w:tcPr>
            <w:tcW w:w="624" w:type="pct"/>
            <w:shd w:val="clear" w:color="auto" w:fill="auto"/>
          </w:tcPr>
          <w:p w14:paraId="0C852977">
            <w:pPr>
              <w:autoSpaceDE w:val="0"/>
              <w:autoSpaceDN w:val="0"/>
              <w:adjustRightInd w:val="0"/>
              <w:spacing w:after="0" w:line="276" w:lineRule="auto"/>
              <w:contextualSpacing/>
              <w:jc w:val="both"/>
              <w:rPr>
                <w:rFonts w:ascii="Arial" w:hAnsi="Arial" w:eastAsia="Calibri" w:cs="Arial"/>
                <w:szCs w:val="24"/>
              </w:rPr>
            </w:pPr>
            <w:r>
              <w:rPr>
                <w:rFonts w:ascii="Arial" w:hAnsi="Arial" w:eastAsia="Calibri" w:cs="Arial"/>
                <w:szCs w:val="24"/>
              </w:rPr>
              <w:t>Neutral</w:t>
            </w:r>
          </w:p>
        </w:tc>
        <w:tc>
          <w:tcPr>
            <w:tcW w:w="803" w:type="pct"/>
            <w:shd w:val="clear" w:color="auto" w:fill="FF0000"/>
          </w:tcPr>
          <w:p w14:paraId="6B947DBD">
            <w:pPr>
              <w:autoSpaceDE w:val="0"/>
              <w:autoSpaceDN w:val="0"/>
              <w:adjustRightInd w:val="0"/>
              <w:spacing w:after="0" w:line="276" w:lineRule="auto"/>
              <w:contextualSpacing/>
              <w:jc w:val="both"/>
              <w:rPr>
                <w:rFonts w:ascii="Arial" w:hAnsi="Arial" w:eastAsia="Calibri" w:cs="Arial"/>
                <w:szCs w:val="24"/>
              </w:rPr>
            </w:pPr>
            <w:r>
              <w:rPr>
                <w:rFonts w:ascii="Arial" w:hAnsi="Arial" w:eastAsia="Calibri" w:cs="Arial"/>
                <w:szCs w:val="24"/>
              </w:rPr>
              <w:t>High effort</w:t>
            </w:r>
          </w:p>
        </w:tc>
        <w:tc>
          <w:tcPr>
            <w:tcW w:w="802" w:type="pct"/>
            <w:shd w:val="clear" w:color="auto" w:fill="C00000"/>
          </w:tcPr>
          <w:p w14:paraId="3AA8AEC0">
            <w:pPr>
              <w:autoSpaceDE w:val="0"/>
              <w:autoSpaceDN w:val="0"/>
              <w:adjustRightInd w:val="0"/>
              <w:spacing w:after="0" w:line="276" w:lineRule="auto"/>
              <w:contextualSpacing/>
              <w:jc w:val="both"/>
              <w:rPr>
                <w:rFonts w:ascii="Arial" w:hAnsi="Arial" w:eastAsia="Calibri" w:cs="Arial"/>
                <w:szCs w:val="24"/>
              </w:rPr>
            </w:pPr>
            <w:r>
              <w:rPr>
                <w:rFonts w:ascii="Arial" w:hAnsi="Arial" w:eastAsia="Calibri" w:cs="Arial"/>
                <w:szCs w:val="24"/>
              </w:rPr>
              <w:t>Very high effort</w:t>
            </w:r>
          </w:p>
        </w:tc>
      </w:tr>
    </w:tbl>
    <w:p w14:paraId="0FC2D388">
      <w:pPr>
        <w:autoSpaceDE w:val="0"/>
        <w:autoSpaceDN w:val="0"/>
        <w:adjustRightInd w:val="0"/>
        <w:spacing w:after="0" w:line="276" w:lineRule="auto"/>
        <w:jc w:val="both"/>
        <w:rPr>
          <w:rFonts w:ascii="Arial" w:hAnsi="Arial" w:eastAsia="Calibri" w:cs="Arial"/>
          <w:i/>
          <w:sz w:val="24"/>
          <w:szCs w:val="24"/>
        </w:rPr>
      </w:pPr>
      <w:r>
        <w:rPr>
          <w:rFonts w:ascii="Arial" w:hAnsi="Arial" w:eastAsia="Calibri" w:cs="Arial"/>
          <w:sz w:val="24"/>
          <w:szCs w:val="24"/>
        </w:rPr>
        <w:tab/>
      </w:r>
      <w:r>
        <w:rPr>
          <w:rFonts w:ascii="Arial" w:hAnsi="Arial" w:eastAsia="Calibri" w:cs="Arial"/>
          <w:sz w:val="24"/>
          <w:szCs w:val="24"/>
        </w:rPr>
        <w:tab/>
      </w:r>
      <w:r>
        <w:rPr>
          <w:rFonts w:ascii="Arial" w:hAnsi="Arial" w:eastAsia="Calibri" w:cs="Arial"/>
          <w:sz w:val="24"/>
          <w:szCs w:val="24"/>
        </w:rPr>
        <w:tab/>
      </w:r>
      <w:r>
        <w:rPr>
          <w:rFonts w:ascii="Arial" w:hAnsi="Arial" w:eastAsia="Calibri" w:cs="Arial"/>
          <w:i/>
          <w:sz w:val="24"/>
          <w:szCs w:val="24"/>
        </w:rPr>
        <w:t>The desirable score is 1-2</w:t>
      </w:r>
    </w:p>
    <w:p w14:paraId="4039BB95">
      <w:pPr>
        <w:autoSpaceDE w:val="0"/>
        <w:autoSpaceDN w:val="0"/>
        <w:adjustRightInd w:val="0"/>
        <w:spacing w:after="0" w:line="276" w:lineRule="auto"/>
        <w:jc w:val="both"/>
        <w:rPr>
          <w:rFonts w:ascii="Arial" w:hAnsi="Arial" w:eastAsia="Calibri" w:cs="Arial"/>
          <w:sz w:val="24"/>
          <w:szCs w:val="24"/>
        </w:rPr>
      </w:pPr>
      <w:r>
        <w:rPr>
          <w:rFonts w:ascii="Arial" w:hAnsi="Arial" w:eastAsia="Calibri" w:cs="Arial"/>
          <w:sz w:val="24"/>
          <w:szCs w:val="24"/>
        </w:rPr>
        <w:t xml:space="preserve"> </w:t>
      </w:r>
    </w:p>
    <w:p w14:paraId="01DE1F4B">
      <w:pPr>
        <w:numPr>
          <w:ilvl w:val="0"/>
          <w:numId w:val="14"/>
        </w:numPr>
        <w:autoSpaceDE w:val="0"/>
        <w:autoSpaceDN w:val="0"/>
        <w:adjustRightInd w:val="0"/>
        <w:spacing w:after="0" w:line="276" w:lineRule="auto"/>
        <w:contextualSpacing/>
        <w:jc w:val="both"/>
        <w:rPr>
          <w:rFonts w:ascii="Arial" w:hAnsi="Arial" w:eastAsia="Calibri" w:cs="Arial"/>
          <w:sz w:val="24"/>
          <w:szCs w:val="24"/>
        </w:rPr>
      </w:pPr>
      <w:r>
        <w:rPr>
          <w:rFonts w:ascii="Arial" w:hAnsi="Arial" w:eastAsia="Calibri" w:cs="Arial"/>
          <w:b/>
          <w:sz w:val="24"/>
          <w:szCs w:val="24"/>
        </w:rPr>
        <w:t>Customer Satisfaction score</w:t>
      </w:r>
      <w:r>
        <w:rPr>
          <w:rFonts w:ascii="Arial" w:hAnsi="Arial" w:eastAsia="Calibri" w:cs="Arial"/>
          <w:sz w:val="24"/>
          <w:szCs w:val="24"/>
        </w:rPr>
        <w:t xml:space="preserve"> - is a basic measurement of customer satisfaction with a product or service. Customer satisfaction is generally calculated by the % of overall satisfaction with a product or service from a survey of customers. This can also be measured on different aspects of service or products. The ideal level of satisfaction should be not less than 80% </w:t>
      </w:r>
    </w:p>
    <w:p w14:paraId="416343C2">
      <w:pPr>
        <w:autoSpaceDE w:val="0"/>
        <w:autoSpaceDN w:val="0"/>
        <w:adjustRightInd w:val="0"/>
        <w:spacing w:after="0" w:line="276" w:lineRule="auto"/>
        <w:ind w:left="1440"/>
        <w:contextualSpacing/>
        <w:jc w:val="both"/>
        <w:rPr>
          <w:rFonts w:ascii="Arial" w:hAnsi="Arial" w:eastAsia="Calibri" w:cs="Arial"/>
          <w:sz w:val="24"/>
          <w:szCs w:val="24"/>
        </w:rPr>
      </w:pPr>
    </w:p>
    <w:p w14:paraId="182B3635">
      <w:pPr>
        <w:numPr>
          <w:ilvl w:val="0"/>
          <w:numId w:val="14"/>
        </w:numPr>
        <w:autoSpaceDE w:val="0"/>
        <w:autoSpaceDN w:val="0"/>
        <w:adjustRightInd w:val="0"/>
        <w:spacing w:after="0" w:line="276" w:lineRule="auto"/>
        <w:contextualSpacing/>
        <w:jc w:val="both"/>
        <w:rPr>
          <w:rFonts w:ascii="Arial" w:hAnsi="Arial" w:eastAsia="Calibri" w:cs="Arial"/>
          <w:sz w:val="24"/>
          <w:szCs w:val="24"/>
        </w:rPr>
      </w:pPr>
      <w:r>
        <w:rPr>
          <w:rFonts w:ascii="Arial" w:hAnsi="Arial" w:eastAsia="Calibri" w:cs="Arial"/>
          <w:b/>
          <w:sz w:val="24"/>
          <w:szCs w:val="24"/>
        </w:rPr>
        <w:t>Customer retention score</w:t>
      </w:r>
      <w:r>
        <w:rPr>
          <w:rFonts w:ascii="Arial" w:hAnsi="Arial" w:eastAsia="Calibri" w:cs="Arial"/>
          <w:sz w:val="24"/>
          <w:szCs w:val="24"/>
        </w:rPr>
        <w:t xml:space="preserve"> - this is calculated by using the following formula: </w:t>
      </w:r>
      <w:r>
        <w:rPr>
          <w:rFonts w:ascii="Arial" w:hAnsi="Arial" w:eastAsia="Calibri" w:cs="Arial"/>
          <w:b/>
          <w:sz w:val="24"/>
          <w:szCs w:val="24"/>
        </w:rPr>
        <w:t>(E-N)/Sx100.</w:t>
      </w:r>
      <w:r>
        <w:rPr>
          <w:rFonts w:ascii="Arial" w:hAnsi="Arial" w:eastAsia="Calibri" w:cs="Arial"/>
          <w:sz w:val="24"/>
          <w:szCs w:val="24"/>
        </w:rPr>
        <w:t xml:space="preserve"> Whereby;</w:t>
      </w:r>
    </w:p>
    <w:p w14:paraId="4CCB59BB">
      <w:pPr>
        <w:ind w:left="720"/>
        <w:contextualSpacing/>
        <w:rPr>
          <w:rFonts w:ascii="Arial" w:hAnsi="Arial" w:eastAsia="Calibri" w:cs="Arial"/>
          <w:sz w:val="4"/>
          <w:szCs w:val="24"/>
        </w:rPr>
      </w:pPr>
    </w:p>
    <w:p w14:paraId="303E49E7">
      <w:pPr>
        <w:autoSpaceDE w:val="0"/>
        <w:autoSpaceDN w:val="0"/>
        <w:adjustRightInd w:val="0"/>
        <w:spacing w:after="0" w:line="276" w:lineRule="auto"/>
        <w:ind w:left="1440" w:firstLine="403"/>
        <w:jc w:val="both"/>
        <w:rPr>
          <w:rFonts w:ascii="Arial" w:hAnsi="Arial" w:eastAsia="Calibri" w:cs="Arial"/>
          <w:sz w:val="24"/>
          <w:szCs w:val="24"/>
        </w:rPr>
      </w:pPr>
      <w:r>
        <w:rPr>
          <w:rFonts w:ascii="Arial" w:hAnsi="Arial" w:eastAsia="Calibri" w:cs="Arial"/>
          <w:sz w:val="24"/>
          <w:szCs w:val="24"/>
        </w:rPr>
        <w:t xml:space="preserve">E = Total number of customers at the end of the measurement period </w:t>
      </w:r>
    </w:p>
    <w:p w14:paraId="60A5FD21">
      <w:pPr>
        <w:autoSpaceDE w:val="0"/>
        <w:autoSpaceDN w:val="0"/>
        <w:adjustRightInd w:val="0"/>
        <w:spacing w:after="0" w:line="276" w:lineRule="auto"/>
        <w:ind w:left="1440" w:firstLine="403"/>
        <w:jc w:val="both"/>
        <w:rPr>
          <w:rFonts w:ascii="Arial" w:hAnsi="Arial" w:eastAsia="Calibri" w:cs="Arial"/>
          <w:sz w:val="24"/>
          <w:szCs w:val="24"/>
        </w:rPr>
      </w:pPr>
      <w:r>
        <w:rPr>
          <w:rFonts w:ascii="Arial" w:hAnsi="Arial" w:eastAsia="Calibri" w:cs="Arial"/>
          <w:sz w:val="24"/>
          <w:szCs w:val="24"/>
        </w:rPr>
        <w:t xml:space="preserve">N = Number of customers acquired during the measurement period </w:t>
      </w:r>
    </w:p>
    <w:p w14:paraId="5AECCF80">
      <w:pPr>
        <w:autoSpaceDE w:val="0"/>
        <w:autoSpaceDN w:val="0"/>
        <w:adjustRightInd w:val="0"/>
        <w:spacing w:after="0" w:line="276" w:lineRule="auto"/>
        <w:ind w:left="1440" w:firstLine="403"/>
        <w:jc w:val="both"/>
        <w:rPr>
          <w:rFonts w:ascii="Arial" w:hAnsi="Arial" w:eastAsia="Calibri" w:cs="Arial"/>
          <w:sz w:val="24"/>
          <w:szCs w:val="24"/>
        </w:rPr>
      </w:pPr>
      <w:r>
        <w:rPr>
          <w:rFonts w:ascii="Arial" w:hAnsi="Arial" w:eastAsia="Calibri" w:cs="Arial"/>
          <w:sz w:val="24"/>
          <w:szCs w:val="24"/>
        </w:rPr>
        <w:t xml:space="preserve">S = Total number of customers at the beginning of measurement period. </w:t>
      </w:r>
    </w:p>
    <w:p w14:paraId="49E14CA6">
      <w:pPr>
        <w:autoSpaceDE w:val="0"/>
        <w:autoSpaceDN w:val="0"/>
        <w:adjustRightInd w:val="0"/>
        <w:spacing w:after="0" w:line="276" w:lineRule="auto"/>
        <w:ind w:left="2160"/>
        <w:contextualSpacing/>
        <w:jc w:val="both"/>
        <w:rPr>
          <w:rFonts w:ascii="Arial" w:hAnsi="Arial" w:eastAsia="Calibri" w:cs="Arial"/>
          <w:sz w:val="24"/>
          <w:szCs w:val="24"/>
        </w:rPr>
      </w:pPr>
    </w:p>
    <w:p w14:paraId="63464C67">
      <w:pPr>
        <w:numPr>
          <w:ilvl w:val="0"/>
          <w:numId w:val="14"/>
        </w:numPr>
        <w:autoSpaceDE w:val="0"/>
        <w:autoSpaceDN w:val="0"/>
        <w:adjustRightInd w:val="0"/>
        <w:spacing w:after="0" w:line="276" w:lineRule="auto"/>
        <w:contextualSpacing/>
        <w:jc w:val="both"/>
        <w:rPr>
          <w:rFonts w:ascii="Arial" w:hAnsi="Arial" w:eastAsia="Calibri" w:cs="Arial"/>
          <w:sz w:val="24"/>
          <w:szCs w:val="24"/>
        </w:rPr>
      </w:pPr>
      <w:r>
        <w:rPr>
          <w:rFonts w:ascii="Arial" w:hAnsi="Arial" w:eastAsia="Calibri" w:cs="Arial"/>
          <w:b/>
          <w:sz w:val="24"/>
          <w:szCs w:val="24"/>
        </w:rPr>
        <w:t>Percentage of customer complaints solved on time</w:t>
      </w:r>
      <w:r>
        <w:rPr>
          <w:rFonts w:ascii="Arial" w:hAnsi="Arial" w:eastAsia="Calibri" w:cs="Arial"/>
          <w:sz w:val="24"/>
          <w:szCs w:val="24"/>
        </w:rPr>
        <w:t xml:space="preserve"> - this is calculated by total customer complaints resolved within standard time in the measurement period divided by total complaints from customers during the measurement period. The ideal benchmark is 100%. </w:t>
      </w:r>
    </w:p>
    <w:p w14:paraId="1AEDEBEE">
      <w:pPr>
        <w:autoSpaceDE w:val="0"/>
        <w:autoSpaceDN w:val="0"/>
        <w:adjustRightInd w:val="0"/>
        <w:spacing w:after="0" w:line="276" w:lineRule="auto"/>
        <w:jc w:val="both"/>
        <w:rPr>
          <w:rFonts w:ascii="Arial" w:hAnsi="Arial" w:eastAsia="Calibri" w:cs="Arial"/>
          <w:sz w:val="24"/>
          <w:szCs w:val="24"/>
        </w:rPr>
      </w:pPr>
    </w:p>
    <w:p w14:paraId="3480BB24">
      <w:pPr>
        <w:autoSpaceDE w:val="0"/>
        <w:autoSpaceDN w:val="0"/>
        <w:adjustRightInd w:val="0"/>
        <w:spacing w:after="0" w:line="276" w:lineRule="auto"/>
        <w:jc w:val="both"/>
        <w:rPr>
          <w:rFonts w:ascii="Arial" w:hAnsi="Arial" w:eastAsia="Calibri" w:cs="Arial"/>
          <w:sz w:val="24"/>
          <w:szCs w:val="24"/>
        </w:rPr>
      </w:pPr>
    </w:p>
    <w:p w14:paraId="499817F7">
      <w:pPr>
        <w:numPr>
          <w:ilvl w:val="1"/>
          <w:numId w:val="12"/>
        </w:numPr>
        <w:autoSpaceDE w:val="0"/>
        <w:autoSpaceDN w:val="0"/>
        <w:adjustRightInd w:val="0"/>
        <w:spacing w:after="0" w:line="276" w:lineRule="auto"/>
        <w:ind w:left="709" w:hanging="709"/>
        <w:contextualSpacing/>
        <w:jc w:val="both"/>
        <w:rPr>
          <w:rFonts w:ascii="Arial" w:hAnsi="Arial" w:eastAsia="Calibri" w:cs="Arial"/>
          <w:b/>
          <w:sz w:val="24"/>
          <w:szCs w:val="24"/>
        </w:rPr>
      </w:pPr>
      <w:r>
        <w:rPr>
          <w:rFonts w:ascii="Arial" w:hAnsi="Arial" w:eastAsia="Calibri" w:cs="Arial"/>
          <w:b/>
          <w:sz w:val="24"/>
          <w:szCs w:val="24"/>
        </w:rPr>
        <w:t>FINANCIAL PERFORMANCE</w:t>
      </w:r>
    </w:p>
    <w:p w14:paraId="6ADC27EF">
      <w:pPr>
        <w:numPr>
          <w:ilvl w:val="0"/>
          <w:numId w:val="15"/>
        </w:numPr>
        <w:contextualSpacing/>
        <w:jc w:val="both"/>
        <w:rPr>
          <w:rFonts w:ascii="Arial" w:hAnsi="Arial" w:eastAsia="Times New Roman" w:cs="Arial"/>
          <w:sz w:val="24"/>
          <w:szCs w:val="24"/>
          <w:lang w:eastAsia="en-GB"/>
        </w:rPr>
      </w:pPr>
      <w:r>
        <w:rPr>
          <w:rFonts w:ascii="Arial" w:hAnsi="Arial" w:eastAsia="Times New Roman" w:cs="Arial"/>
          <w:b/>
          <w:sz w:val="24"/>
          <w:szCs w:val="24"/>
          <w:lang w:eastAsia="en-GB"/>
        </w:rPr>
        <w:t>Operating Revenue</w:t>
      </w:r>
      <w:r>
        <w:rPr>
          <w:rFonts w:ascii="Arial" w:hAnsi="Arial" w:eastAsia="Times New Roman" w:cs="Arial"/>
          <w:sz w:val="24"/>
          <w:szCs w:val="24"/>
          <w:lang w:eastAsia="en-GB"/>
        </w:rPr>
        <w:t xml:space="preserve"> - This is the total Revenues generated from a Institution's core/primary business activities.</w:t>
      </w:r>
    </w:p>
    <w:p w14:paraId="1AF4E76D">
      <w:pPr>
        <w:spacing w:line="276" w:lineRule="auto"/>
        <w:ind w:left="1440"/>
        <w:contextualSpacing/>
        <w:jc w:val="both"/>
        <w:rPr>
          <w:rFonts w:ascii="Arial" w:hAnsi="Arial" w:eastAsia="Times New Roman" w:cs="Arial"/>
          <w:sz w:val="12"/>
          <w:szCs w:val="24"/>
          <w:lang w:eastAsia="en-GB"/>
        </w:rPr>
      </w:pPr>
    </w:p>
    <w:p w14:paraId="405EEDC8">
      <w:pPr>
        <w:numPr>
          <w:ilvl w:val="0"/>
          <w:numId w:val="15"/>
        </w:numPr>
        <w:contextualSpacing/>
        <w:jc w:val="both"/>
        <w:rPr>
          <w:rFonts w:ascii="Arial" w:hAnsi="Arial" w:eastAsia="Times New Roman" w:cs="Arial"/>
          <w:sz w:val="24"/>
          <w:szCs w:val="24"/>
          <w:lang w:eastAsia="en-GB"/>
        </w:rPr>
      </w:pPr>
      <w:r>
        <w:rPr>
          <w:rFonts w:ascii="Arial" w:hAnsi="Arial" w:eastAsia="Times New Roman" w:cs="Arial"/>
          <w:b/>
          <w:sz w:val="24"/>
          <w:szCs w:val="24"/>
          <w:lang w:eastAsia="en-GB"/>
        </w:rPr>
        <w:t>Operating Expenses</w:t>
      </w:r>
      <w:r>
        <w:rPr>
          <w:rFonts w:ascii="Arial" w:hAnsi="Arial" w:eastAsia="Times New Roman" w:cs="Arial"/>
          <w:sz w:val="24"/>
          <w:szCs w:val="24"/>
          <w:lang w:eastAsia="en-GB"/>
        </w:rPr>
        <w:t xml:space="preserve"> – These are Costs incurred from normal operating activities/business operations.</w:t>
      </w:r>
    </w:p>
    <w:p w14:paraId="14D4D971">
      <w:pPr>
        <w:ind w:left="720"/>
        <w:contextualSpacing/>
        <w:rPr>
          <w:rFonts w:ascii="Arial" w:hAnsi="Arial" w:eastAsia="Times New Roman" w:cs="Arial"/>
          <w:sz w:val="12"/>
          <w:szCs w:val="24"/>
          <w:lang w:eastAsia="en-GB"/>
        </w:rPr>
      </w:pPr>
    </w:p>
    <w:p w14:paraId="44A677FA">
      <w:pPr>
        <w:numPr>
          <w:ilvl w:val="0"/>
          <w:numId w:val="15"/>
        </w:numPr>
        <w:contextualSpacing/>
        <w:jc w:val="both"/>
        <w:rPr>
          <w:rFonts w:ascii="Arial" w:hAnsi="Arial" w:eastAsia="Times New Roman" w:cs="Arial"/>
          <w:sz w:val="24"/>
          <w:szCs w:val="24"/>
          <w:lang w:eastAsia="en-GB"/>
        </w:rPr>
      </w:pPr>
      <w:r>
        <w:rPr>
          <w:rFonts w:ascii="Arial" w:hAnsi="Arial" w:eastAsia="Times New Roman" w:cs="Arial"/>
          <w:b/>
          <w:sz w:val="24"/>
          <w:szCs w:val="24"/>
          <w:lang w:eastAsia="en-GB"/>
        </w:rPr>
        <w:t>Net Profit before Tax</w:t>
      </w:r>
      <w:r>
        <w:rPr>
          <w:rFonts w:ascii="Arial" w:hAnsi="Arial" w:eastAsia="Times New Roman" w:cs="Arial"/>
          <w:sz w:val="24"/>
          <w:szCs w:val="24"/>
          <w:lang w:eastAsia="en-GB"/>
        </w:rPr>
        <w:t xml:space="preserve"> - Operating Profit after deducting operating expenses and other charges (incl. interest) before income tax.</w:t>
      </w:r>
    </w:p>
    <w:p w14:paraId="415586F0">
      <w:pPr>
        <w:ind w:left="720"/>
        <w:contextualSpacing/>
        <w:rPr>
          <w:rFonts w:ascii="Arial" w:hAnsi="Arial" w:eastAsia="Times New Roman" w:cs="Arial"/>
          <w:sz w:val="12"/>
          <w:szCs w:val="24"/>
          <w:lang w:eastAsia="en-GB"/>
        </w:rPr>
      </w:pPr>
    </w:p>
    <w:p w14:paraId="09268C38">
      <w:pPr>
        <w:numPr>
          <w:ilvl w:val="0"/>
          <w:numId w:val="15"/>
        </w:numPr>
        <w:contextualSpacing/>
        <w:jc w:val="both"/>
        <w:rPr>
          <w:rFonts w:ascii="Arial" w:hAnsi="Arial" w:eastAsia="Times New Roman" w:cs="Arial"/>
          <w:sz w:val="24"/>
          <w:szCs w:val="24"/>
          <w:lang w:eastAsia="en-GB"/>
        </w:rPr>
      </w:pPr>
      <w:r>
        <w:rPr>
          <w:rFonts w:ascii="Arial" w:hAnsi="Arial" w:eastAsia="Times New Roman" w:cs="Arial"/>
          <w:b/>
          <w:sz w:val="24"/>
          <w:szCs w:val="24"/>
          <w:lang w:eastAsia="en-GB"/>
        </w:rPr>
        <w:t>Administration Costs</w:t>
      </w:r>
      <w:r>
        <w:rPr>
          <w:rFonts w:ascii="Arial" w:hAnsi="Arial" w:eastAsia="Times New Roman" w:cs="Arial"/>
          <w:sz w:val="24"/>
          <w:szCs w:val="24"/>
          <w:lang w:eastAsia="en-GB"/>
        </w:rPr>
        <w:t xml:space="preserve"> - Sum of all necessary </w:t>
      </w:r>
      <w:r>
        <w:rPr>
          <w:rFonts w:ascii="Arial" w:hAnsi="Arial" w:eastAsia="Times New Roman" w:cs="Arial"/>
          <w:bCs/>
          <w:sz w:val="24"/>
          <w:szCs w:val="24"/>
          <w:lang w:eastAsia="en-GB"/>
        </w:rPr>
        <w:t xml:space="preserve">costs </w:t>
      </w:r>
      <w:r>
        <w:rPr>
          <w:rFonts w:ascii="Arial" w:hAnsi="Arial" w:eastAsia="Times New Roman" w:cs="Arial"/>
          <w:sz w:val="24"/>
          <w:szCs w:val="24"/>
          <w:lang w:eastAsia="en-GB"/>
        </w:rPr>
        <w:t xml:space="preserve">to maintain daily operations and administer the business (incl. salaries and general services), BUT excluding direct </w:t>
      </w:r>
      <w:r>
        <w:rPr>
          <w:rFonts w:ascii="Arial" w:hAnsi="Arial" w:eastAsia="Times New Roman" w:cs="Arial"/>
          <w:bCs/>
          <w:sz w:val="24"/>
          <w:szCs w:val="24"/>
          <w:lang w:eastAsia="en-GB"/>
        </w:rPr>
        <w:t>costs</w:t>
      </w:r>
      <w:r>
        <w:rPr>
          <w:rFonts w:ascii="Arial" w:hAnsi="Arial" w:eastAsia="Times New Roman" w:cs="Arial"/>
          <w:sz w:val="24"/>
          <w:szCs w:val="24"/>
          <w:lang w:eastAsia="en-GB"/>
        </w:rPr>
        <w:t xml:space="preserve"> attributable to the production of goods and services.</w:t>
      </w:r>
    </w:p>
    <w:p w14:paraId="26DDEA75">
      <w:pPr>
        <w:ind w:left="720"/>
        <w:contextualSpacing/>
        <w:rPr>
          <w:rFonts w:ascii="Arial" w:hAnsi="Arial" w:eastAsia="Times New Roman" w:cs="Arial"/>
          <w:sz w:val="24"/>
          <w:szCs w:val="24"/>
          <w:lang w:eastAsia="en-GB"/>
        </w:rPr>
      </w:pPr>
    </w:p>
    <w:p w14:paraId="2A784121">
      <w:pPr>
        <w:numPr>
          <w:ilvl w:val="0"/>
          <w:numId w:val="15"/>
        </w:numPr>
        <w:contextualSpacing/>
        <w:jc w:val="both"/>
        <w:rPr>
          <w:rFonts w:ascii="Arial" w:hAnsi="Arial" w:eastAsia="Times New Roman" w:cs="Arial"/>
          <w:sz w:val="24"/>
          <w:szCs w:val="24"/>
          <w:lang w:eastAsia="en-GB"/>
        </w:rPr>
      </w:pPr>
      <w:r>
        <w:rPr>
          <w:rFonts w:ascii="Arial" w:hAnsi="Arial" w:eastAsia="Times New Roman" w:cs="Arial"/>
          <w:b/>
          <w:sz w:val="24"/>
          <w:szCs w:val="24"/>
          <w:lang w:eastAsia="en-GB"/>
        </w:rPr>
        <w:t>Employee Costs</w:t>
      </w:r>
      <w:r>
        <w:rPr>
          <w:rFonts w:ascii="Arial" w:hAnsi="Arial" w:eastAsia="Times New Roman" w:cs="Arial"/>
          <w:sz w:val="24"/>
          <w:szCs w:val="24"/>
          <w:lang w:eastAsia="en-GB"/>
        </w:rPr>
        <w:t xml:space="preserve"> - The sum of employee basic salaries, taxes, and benefits</w:t>
      </w:r>
    </w:p>
    <w:p w14:paraId="6267526C">
      <w:pPr>
        <w:ind w:left="720"/>
        <w:contextualSpacing/>
        <w:rPr>
          <w:rFonts w:ascii="Arial" w:hAnsi="Arial" w:eastAsia="Times New Roman" w:cs="Arial"/>
          <w:sz w:val="24"/>
          <w:szCs w:val="24"/>
          <w:lang w:eastAsia="en-GB"/>
        </w:rPr>
      </w:pPr>
    </w:p>
    <w:p w14:paraId="30D1E55B">
      <w:pPr>
        <w:numPr>
          <w:ilvl w:val="0"/>
          <w:numId w:val="15"/>
        </w:numPr>
        <w:contextualSpacing/>
        <w:jc w:val="both"/>
        <w:rPr>
          <w:rFonts w:ascii="Arial" w:hAnsi="Arial" w:eastAsia="Times New Roman" w:cs="Arial"/>
          <w:sz w:val="24"/>
          <w:szCs w:val="24"/>
          <w:lang w:eastAsia="en-GB"/>
        </w:rPr>
      </w:pPr>
      <w:r>
        <w:rPr>
          <w:rFonts w:ascii="Arial" w:hAnsi="Arial" w:eastAsia="Times New Roman" w:cs="Arial"/>
          <w:b/>
          <w:sz w:val="24"/>
          <w:szCs w:val="24"/>
          <w:lang w:eastAsia="en-GB"/>
        </w:rPr>
        <w:t>Average Assets</w:t>
      </w:r>
      <w:r>
        <w:rPr>
          <w:rFonts w:ascii="Arial" w:hAnsi="Arial" w:eastAsia="Times New Roman" w:cs="Arial"/>
          <w:sz w:val="24"/>
          <w:szCs w:val="24"/>
          <w:lang w:eastAsia="en-GB"/>
        </w:rPr>
        <w:t xml:space="preserve"> - Average of the total </w:t>
      </w:r>
      <w:r>
        <w:rPr>
          <w:rFonts w:ascii="Arial" w:hAnsi="Arial" w:eastAsia="Times New Roman" w:cs="Arial"/>
          <w:bCs/>
          <w:sz w:val="24"/>
          <w:szCs w:val="24"/>
          <w:lang w:eastAsia="en-GB"/>
        </w:rPr>
        <w:t>assets</w:t>
      </w:r>
      <w:r>
        <w:rPr>
          <w:rFonts w:ascii="Arial" w:hAnsi="Arial" w:eastAsia="Times New Roman" w:cs="Arial"/>
          <w:sz w:val="24"/>
          <w:szCs w:val="24"/>
          <w:lang w:eastAsia="en-GB"/>
        </w:rPr>
        <w:t> by adding total assets at the beginning of the accounting period to the value of the total asset at the end of the accounting period dividing by two.</w:t>
      </w:r>
    </w:p>
    <w:p w14:paraId="7F58B204">
      <w:pPr>
        <w:ind w:left="720"/>
        <w:contextualSpacing/>
        <w:rPr>
          <w:rFonts w:ascii="Arial" w:hAnsi="Arial" w:eastAsia="Times New Roman" w:cs="Arial"/>
          <w:sz w:val="24"/>
          <w:szCs w:val="24"/>
          <w:lang w:eastAsia="en-GB"/>
        </w:rPr>
      </w:pPr>
    </w:p>
    <w:p w14:paraId="08B23B1E">
      <w:pPr>
        <w:numPr>
          <w:ilvl w:val="0"/>
          <w:numId w:val="15"/>
        </w:numPr>
        <w:contextualSpacing/>
        <w:jc w:val="both"/>
        <w:rPr>
          <w:rFonts w:ascii="Arial" w:hAnsi="Arial" w:eastAsia="Times New Roman" w:cs="Arial"/>
          <w:bCs/>
          <w:sz w:val="24"/>
          <w:szCs w:val="24"/>
          <w:lang w:eastAsia="en-GB"/>
        </w:rPr>
      </w:pPr>
      <w:r>
        <w:rPr>
          <w:rFonts w:ascii="Arial" w:hAnsi="Arial" w:eastAsia="Times New Roman" w:cs="Arial"/>
          <w:b/>
          <w:sz w:val="24"/>
          <w:szCs w:val="24"/>
          <w:lang w:eastAsia="en-GB"/>
        </w:rPr>
        <w:t>Shareholder’s Equity</w:t>
      </w:r>
      <w:r>
        <w:rPr>
          <w:rFonts w:ascii="Arial" w:hAnsi="Arial" w:eastAsia="Times New Roman" w:cs="Arial"/>
          <w:sz w:val="24"/>
          <w:szCs w:val="24"/>
          <w:lang w:eastAsia="en-GB"/>
        </w:rPr>
        <w:t xml:space="preserve"> - </w:t>
      </w:r>
      <w:r>
        <w:rPr>
          <w:rFonts w:ascii="Arial" w:hAnsi="Arial" w:eastAsia="Times New Roman" w:cs="Arial"/>
          <w:bCs/>
          <w:sz w:val="24"/>
          <w:szCs w:val="24"/>
          <w:lang w:eastAsia="en-GB"/>
        </w:rPr>
        <w:t>The amount of capital contributed by the owners to the business, and it includes capital funds, reserves, accumulated surplus, and retained earnings (OR the difference between a company's total assets and its total liabilities).</w:t>
      </w:r>
    </w:p>
    <w:p w14:paraId="3892A486">
      <w:pPr>
        <w:ind w:left="720"/>
        <w:contextualSpacing/>
        <w:rPr>
          <w:rFonts w:ascii="Arial" w:hAnsi="Arial" w:eastAsia="Times New Roman" w:cs="Arial"/>
          <w:bCs/>
          <w:sz w:val="24"/>
          <w:szCs w:val="24"/>
          <w:lang w:eastAsia="en-GB"/>
        </w:rPr>
      </w:pPr>
    </w:p>
    <w:p w14:paraId="6CBE6C1D">
      <w:pPr>
        <w:numPr>
          <w:ilvl w:val="0"/>
          <w:numId w:val="15"/>
        </w:numPr>
        <w:contextualSpacing/>
        <w:jc w:val="both"/>
        <w:rPr>
          <w:rFonts w:ascii="Arial" w:hAnsi="Arial" w:eastAsia="Times New Roman" w:cs="Arial"/>
          <w:bCs/>
          <w:sz w:val="24"/>
          <w:szCs w:val="24"/>
          <w:lang w:eastAsia="en-GB"/>
        </w:rPr>
      </w:pPr>
      <w:r>
        <w:rPr>
          <w:rFonts w:ascii="Arial" w:hAnsi="Arial" w:eastAsia="Times New Roman" w:cs="Arial"/>
          <w:b/>
          <w:sz w:val="24"/>
          <w:szCs w:val="24"/>
          <w:lang w:eastAsia="en-GB"/>
        </w:rPr>
        <w:t>Debt</w:t>
      </w:r>
      <w:r>
        <w:rPr>
          <w:rFonts w:ascii="Arial" w:hAnsi="Arial" w:eastAsia="Times New Roman" w:cs="Arial"/>
          <w:sz w:val="24"/>
          <w:szCs w:val="24"/>
          <w:lang w:eastAsia="en-GB"/>
        </w:rPr>
        <w:t xml:space="preserve"> - Connotes total liability, including current and non-current liabilities representing all amounts the business owes to other people.</w:t>
      </w:r>
    </w:p>
    <w:p w14:paraId="604680A8">
      <w:pPr>
        <w:ind w:left="720"/>
        <w:contextualSpacing/>
        <w:rPr>
          <w:rFonts w:ascii="Arial" w:hAnsi="Arial" w:eastAsia="Times New Roman" w:cs="Arial"/>
          <w:bCs/>
          <w:sz w:val="24"/>
          <w:szCs w:val="24"/>
          <w:lang w:eastAsia="en-GB"/>
        </w:rPr>
      </w:pPr>
    </w:p>
    <w:p w14:paraId="0BC28B12">
      <w:pPr>
        <w:numPr>
          <w:ilvl w:val="0"/>
          <w:numId w:val="15"/>
        </w:numPr>
        <w:contextualSpacing/>
        <w:jc w:val="both"/>
        <w:rPr>
          <w:rFonts w:ascii="Arial" w:hAnsi="Arial" w:eastAsia="Times New Roman" w:cs="Arial"/>
          <w:bCs/>
          <w:sz w:val="24"/>
          <w:szCs w:val="24"/>
          <w:lang w:eastAsia="en-GB"/>
        </w:rPr>
      </w:pPr>
      <w:r>
        <w:rPr>
          <w:rFonts w:ascii="Arial" w:hAnsi="Arial" w:eastAsia="Times New Roman" w:cs="Arial"/>
          <w:b/>
          <w:sz w:val="24"/>
          <w:szCs w:val="24"/>
          <w:lang w:eastAsia="en-GB"/>
        </w:rPr>
        <w:t>Financial Payout</w:t>
      </w:r>
      <w:r>
        <w:rPr>
          <w:rFonts w:ascii="Arial" w:hAnsi="Arial" w:eastAsia="Times New Roman" w:cs="Arial"/>
          <w:sz w:val="24"/>
          <w:szCs w:val="24"/>
          <w:lang w:eastAsia="en-GB"/>
        </w:rPr>
        <w:t xml:space="preserve"> - The amount of money (Non-Tax) remitted by a PISC to the shareholder/Government either as dividends from profits or Contributions paid as a percentage of Own source revenues/collections.</w:t>
      </w:r>
    </w:p>
    <w:p w14:paraId="415DE371">
      <w:pPr>
        <w:ind w:left="720"/>
        <w:contextualSpacing/>
        <w:rPr>
          <w:rFonts w:ascii="Arial" w:hAnsi="Arial" w:eastAsia="Times New Roman" w:cs="Arial"/>
          <w:bCs/>
          <w:sz w:val="24"/>
          <w:szCs w:val="24"/>
          <w:lang w:eastAsia="en-GB"/>
        </w:rPr>
      </w:pPr>
    </w:p>
    <w:p w14:paraId="49EB3ED7">
      <w:pPr>
        <w:numPr>
          <w:ilvl w:val="0"/>
          <w:numId w:val="15"/>
        </w:numPr>
        <w:contextualSpacing/>
        <w:jc w:val="both"/>
        <w:rPr>
          <w:rFonts w:ascii="Arial" w:hAnsi="Arial" w:eastAsia="Times New Roman" w:cs="Arial"/>
          <w:bCs/>
          <w:sz w:val="24"/>
          <w:szCs w:val="24"/>
          <w:lang w:eastAsia="en-GB"/>
        </w:rPr>
      </w:pPr>
      <w:r>
        <w:rPr>
          <w:rFonts w:ascii="Arial" w:hAnsi="Arial" w:eastAsia="Times New Roman" w:cs="Arial"/>
          <w:b/>
          <w:sz w:val="24"/>
          <w:szCs w:val="24"/>
          <w:lang w:eastAsia="en-GB"/>
        </w:rPr>
        <w:t>Retained Collections</w:t>
      </w:r>
      <w:r>
        <w:rPr>
          <w:rFonts w:ascii="Arial" w:hAnsi="Arial" w:eastAsia="Times New Roman" w:cs="Arial"/>
          <w:sz w:val="24"/>
          <w:szCs w:val="24"/>
          <w:lang w:eastAsia="en-GB"/>
        </w:rPr>
        <w:t xml:space="preserve"> - Amount of money collected by a non-commercial PSC and not remitted to the Government</w:t>
      </w:r>
    </w:p>
    <w:p w14:paraId="60D6A14F">
      <w:pPr>
        <w:ind w:left="720"/>
        <w:contextualSpacing/>
        <w:rPr>
          <w:rFonts w:ascii="Arial" w:hAnsi="Arial" w:eastAsia="Times New Roman" w:cs="Arial"/>
          <w:bCs/>
          <w:sz w:val="24"/>
          <w:szCs w:val="24"/>
          <w:lang w:eastAsia="en-GB"/>
        </w:rPr>
      </w:pPr>
    </w:p>
    <w:p w14:paraId="24F7406C">
      <w:pPr>
        <w:numPr>
          <w:ilvl w:val="0"/>
          <w:numId w:val="15"/>
        </w:numPr>
        <w:contextualSpacing/>
        <w:jc w:val="both"/>
        <w:rPr>
          <w:rFonts w:ascii="Arial" w:hAnsi="Arial" w:eastAsia="Times New Roman" w:cs="Arial"/>
          <w:bCs/>
          <w:sz w:val="24"/>
          <w:szCs w:val="24"/>
          <w:lang w:eastAsia="en-GB"/>
        </w:rPr>
      </w:pPr>
      <w:r>
        <w:rPr>
          <w:rFonts w:ascii="Arial" w:hAnsi="Arial" w:eastAsia="Times New Roman" w:cs="Arial"/>
          <w:b/>
          <w:sz w:val="24"/>
          <w:szCs w:val="24"/>
          <w:lang w:eastAsia="en-GB"/>
        </w:rPr>
        <w:t>Dividend</w:t>
      </w:r>
      <w:r>
        <w:rPr>
          <w:rFonts w:ascii="Arial" w:hAnsi="Arial" w:eastAsia="Times New Roman" w:cs="Arial"/>
          <w:sz w:val="24"/>
          <w:szCs w:val="24"/>
          <w:lang w:eastAsia="en-GB"/>
        </w:rPr>
        <w:t xml:space="preserve"> - </w:t>
      </w:r>
      <w:r>
        <w:rPr>
          <w:rFonts w:ascii="Arial" w:hAnsi="Arial" w:eastAsia="Times New Roman" w:cs="Arial"/>
          <w:bCs/>
          <w:sz w:val="24"/>
          <w:szCs w:val="24"/>
          <w:lang w:eastAsia="en-GB"/>
        </w:rPr>
        <w:t>P</w:t>
      </w:r>
      <w:r>
        <w:rPr>
          <w:rFonts w:ascii="Arial" w:hAnsi="Arial" w:eastAsia="Times New Roman" w:cs="Arial"/>
          <w:sz w:val="24"/>
          <w:szCs w:val="24"/>
          <w:lang w:eastAsia="en-GB"/>
        </w:rPr>
        <w:t>ayment made by a PSC to the shareholders as a distribution of profits.</w:t>
      </w:r>
    </w:p>
    <w:p w14:paraId="3C6F3837">
      <w:pPr>
        <w:ind w:left="720"/>
        <w:contextualSpacing/>
        <w:rPr>
          <w:rFonts w:ascii="Arial" w:hAnsi="Arial" w:eastAsia="Times New Roman" w:cs="Arial"/>
          <w:bCs/>
          <w:sz w:val="24"/>
          <w:szCs w:val="24"/>
          <w:lang w:eastAsia="en-GB"/>
        </w:rPr>
      </w:pPr>
    </w:p>
    <w:p w14:paraId="11CC6CAD">
      <w:pPr>
        <w:numPr>
          <w:ilvl w:val="0"/>
          <w:numId w:val="15"/>
        </w:numPr>
        <w:contextualSpacing/>
        <w:jc w:val="both"/>
        <w:rPr>
          <w:rFonts w:ascii="Arial" w:hAnsi="Arial" w:eastAsia="Times New Roman" w:cs="Arial"/>
          <w:bCs/>
          <w:sz w:val="24"/>
          <w:szCs w:val="24"/>
          <w:lang w:eastAsia="en-GB"/>
        </w:rPr>
      </w:pPr>
      <w:r>
        <w:rPr>
          <w:rFonts w:ascii="Arial" w:hAnsi="Arial" w:eastAsia="Times New Roman" w:cs="Arial"/>
          <w:b/>
          <w:sz w:val="24"/>
          <w:szCs w:val="24"/>
          <w:lang w:eastAsia="en-GB"/>
        </w:rPr>
        <w:t>Government Subvention</w:t>
      </w:r>
      <w:r>
        <w:rPr>
          <w:rFonts w:ascii="Arial" w:hAnsi="Arial" w:eastAsia="Times New Roman" w:cs="Arial"/>
          <w:sz w:val="24"/>
          <w:szCs w:val="24"/>
          <w:lang w:eastAsia="en-GB"/>
        </w:rPr>
        <w:t xml:space="preserve"> - Funds granted by the Government from its budget to a PSC to support operations (in specific pre-determined areas)</w:t>
      </w:r>
    </w:p>
    <w:p w14:paraId="6A71E264">
      <w:pPr>
        <w:ind w:left="720"/>
        <w:contextualSpacing/>
        <w:rPr>
          <w:rFonts w:ascii="Arial" w:hAnsi="Arial" w:eastAsia="Times New Roman" w:cs="Arial"/>
          <w:bCs/>
          <w:sz w:val="24"/>
          <w:szCs w:val="24"/>
          <w:lang w:eastAsia="en-GB"/>
        </w:rPr>
      </w:pPr>
    </w:p>
    <w:p w14:paraId="2E07035A">
      <w:pPr>
        <w:numPr>
          <w:ilvl w:val="0"/>
          <w:numId w:val="15"/>
        </w:numPr>
        <w:contextualSpacing/>
        <w:jc w:val="both"/>
        <w:rPr>
          <w:rFonts w:ascii="Arial" w:hAnsi="Arial" w:eastAsia="Times New Roman" w:cs="Arial"/>
          <w:bCs/>
          <w:sz w:val="24"/>
          <w:szCs w:val="24"/>
          <w:lang w:eastAsia="en-GB"/>
        </w:rPr>
      </w:pPr>
      <w:r>
        <w:rPr>
          <w:rFonts w:ascii="Arial" w:hAnsi="Arial" w:eastAsia="Times New Roman" w:cs="Arial"/>
          <w:b/>
          <w:bCs/>
          <w:sz w:val="24"/>
          <w:szCs w:val="24"/>
          <w:lang w:eastAsia="en-GB"/>
        </w:rPr>
        <w:t>Capital Employed</w:t>
      </w:r>
      <w:r>
        <w:rPr>
          <w:rFonts w:ascii="Arial" w:hAnsi="Arial" w:eastAsia="Times New Roman" w:cs="Arial"/>
          <w:bCs/>
          <w:sz w:val="24"/>
          <w:szCs w:val="24"/>
          <w:lang w:eastAsia="en-GB"/>
        </w:rPr>
        <w:t xml:space="preserve"> – is derived by taking Total Asset </w:t>
      </w:r>
      <w:r>
        <w:rPr>
          <w:rFonts w:ascii="Arial" w:hAnsi="Arial" w:eastAsia="Times New Roman" w:cs="Arial"/>
          <w:bCs/>
          <w:i/>
          <w:sz w:val="24"/>
          <w:szCs w:val="24"/>
          <w:lang w:eastAsia="en-GB"/>
        </w:rPr>
        <w:t>less</w:t>
      </w:r>
      <w:r>
        <w:rPr>
          <w:rFonts w:ascii="Arial" w:hAnsi="Arial" w:eastAsia="Times New Roman" w:cs="Arial"/>
          <w:bCs/>
          <w:sz w:val="24"/>
          <w:szCs w:val="24"/>
          <w:lang w:eastAsia="en-GB"/>
        </w:rPr>
        <w:t xml:space="preserve"> current Liabilities. It represent the sum of capital injected by owners of the business (Shareholders’ equity and Long term debts financing).</w:t>
      </w:r>
    </w:p>
    <w:p w14:paraId="5E18522F">
      <w:pPr>
        <w:rPr>
          <w:rFonts w:ascii="Calibri" w:hAnsi="Calibri" w:eastAsia="Calibri" w:cs="Times New Roman"/>
        </w:rPr>
      </w:pPr>
    </w:p>
    <w:p w14:paraId="6615C1A5">
      <w:pPr>
        <w:rPr>
          <w:rFonts w:ascii="Calibri" w:hAnsi="Calibri" w:eastAsia="Calibri" w:cs="Times New Roman"/>
        </w:rPr>
      </w:pPr>
    </w:p>
    <w:p w14:paraId="6450BAD4">
      <w:pPr>
        <w:spacing w:after="0" w:line="360" w:lineRule="auto"/>
        <w:jc w:val="both"/>
        <w:rPr>
          <w:rFonts w:ascii="Arial" w:hAnsi="Arial" w:eastAsia="Cambria" w:cs="Arial"/>
          <w:sz w:val="24"/>
          <w:szCs w:val="24"/>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Consolas">
    <w:panose1 w:val="020B0609020204030204"/>
    <w:charset w:val="00"/>
    <w:family w:val="modern"/>
    <w:pitch w:val="default"/>
    <w:sig w:usb0="E00006FF" w:usb1="0000FCFF" w:usb2="00000001" w:usb3="00000000" w:csb0="6000019F" w:csb1="DFD7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74494968"/>
      <w:docPartObj>
        <w:docPartGallery w:val="autotext"/>
      </w:docPartObj>
    </w:sdtPr>
    <w:sdtContent>
      <w:sdt>
        <w:sdtPr>
          <w:id w:val="-1705238520"/>
          <w:docPartObj>
            <w:docPartGallery w:val="autotext"/>
          </w:docPartObj>
        </w:sdtPr>
        <w:sdtContent>
          <w:p w14:paraId="207D9C5B">
            <w:pPr>
              <w:pStyle w:val="5"/>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23</w:t>
            </w:r>
            <w:r>
              <w:rPr>
                <w:b/>
                <w:bCs/>
                <w:sz w:val="24"/>
                <w:szCs w:val="24"/>
              </w:rPr>
              <w:fldChar w:fldCharType="end"/>
            </w:r>
          </w:p>
        </w:sdtContent>
      </w:sdt>
    </w:sdtContent>
  </w:sdt>
  <w:p w14:paraId="0DE408D5">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302123"/>
    <w:multiLevelType w:val="singleLevel"/>
    <w:tmpl w:val="B7302123"/>
    <w:lvl w:ilvl="0" w:tentative="0">
      <w:start w:val="1"/>
      <w:numFmt w:val="decimal"/>
      <w:lvlText w:val="%1."/>
      <w:lvlJc w:val="left"/>
      <w:pPr>
        <w:tabs>
          <w:tab w:val="left" w:pos="425"/>
        </w:tabs>
        <w:ind w:left="645" w:hanging="425"/>
      </w:pPr>
      <w:rPr>
        <w:rFonts w:hint="default"/>
      </w:rPr>
    </w:lvl>
  </w:abstractNum>
  <w:abstractNum w:abstractNumId="1">
    <w:nsid w:val="014C7F18"/>
    <w:multiLevelType w:val="multilevel"/>
    <w:tmpl w:val="014C7F18"/>
    <w:lvl w:ilvl="0" w:tentative="0">
      <w:start w:val="1"/>
      <w:numFmt w:val="decimal"/>
      <w:lvlText w:val="%1."/>
      <w:lvlJc w:val="left"/>
      <w:pPr>
        <w:ind w:left="1080" w:hanging="720"/>
      </w:pPr>
      <w:rPr>
        <w:rFonts w:ascii="Arial" w:hAnsi="Arial" w:eastAsia="Calibri" w:cs="Arial"/>
      </w:rPr>
    </w:lvl>
    <w:lvl w:ilvl="1" w:tentative="0">
      <w:start w:val="1"/>
      <w:numFmt w:val="lowerLetter"/>
      <w:lvlText w:val="%2)"/>
      <w:lvlJc w:val="left"/>
      <w:pPr>
        <w:ind w:left="1440" w:hanging="360"/>
      </w:pPr>
      <w:rPr>
        <w:b w:val="0"/>
      </w:rPr>
    </w:lvl>
    <w:lvl w:ilvl="2" w:tentative="0">
      <w:start w:val="1"/>
      <w:numFmt w:val="lowerRoman"/>
      <w:lvlText w:val="(%3)"/>
      <w:lvlJc w:val="left"/>
      <w:pPr>
        <w:ind w:left="2160" w:hanging="180"/>
      </w:pPr>
      <w:rPr>
        <w:rFonts w:hint="default"/>
        <w:b w:val="0"/>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4DE6675"/>
    <w:multiLevelType w:val="multilevel"/>
    <w:tmpl w:val="04DE6675"/>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
    <w:nsid w:val="05A40E99"/>
    <w:multiLevelType w:val="multilevel"/>
    <w:tmpl w:val="05A40E99"/>
    <w:lvl w:ilvl="0" w:tentative="0">
      <w:start w:val="1"/>
      <w:numFmt w:val="decimal"/>
      <w:lvlText w:val="%1"/>
      <w:lvlJc w:val="left"/>
      <w:pPr>
        <w:ind w:left="360" w:hanging="360"/>
      </w:pPr>
      <w:rPr>
        <w:rFonts w:hint="default"/>
        <w:b w:val="0"/>
      </w:rPr>
    </w:lvl>
    <w:lvl w:ilvl="1" w:tentative="0">
      <w:start w:val="1"/>
      <w:numFmt w:val="decimal"/>
      <w:lvlText w:val="%2."/>
      <w:lvlJc w:val="left"/>
      <w:pPr>
        <w:ind w:left="1440" w:hanging="360"/>
      </w:pPr>
      <w:rPr>
        <w:rFonts w:ascii="Arial" w:hAnsi="Arial" w:eastAsia="Calibri" w:cs="Arial"/>
        <w:b/>
      </w:rPr>
    </w:lvl>
    <w:lvl w:ilvl="2" w:tentative="0">
      <w:start w:val="1"/>
      <w:numFmt w:val="lowerLetter"/>
      <w:lvlText w:val="%3)"/>
      <w:lvlJc w:val="left"/>
      <w:pPr>
        <w:ind w:left="2880" w:hanging="720"/>
      </w:pPr>
      <w:rPr>
        <w:rFonts w:hint="default"/>
        <w:b w:val="0"/>
      </w:rPr>
    </w:lvl>
    <w:lvl w:ilvl="3" w:tentative="0">
      <w:start w:val="1"/>
      <w:numFmt w:val="decimal"/>
      <w:lvlText w:val="%1.%2.%3.%4"/>
      <w:lvlJc w:val="left"/>
      <w:pPr>
        <w:ind w:left="4320" w:hanging="1080"/>
      </w:pPr>
      <w:rPr>
        <w:rFonts w:hint="default"/>
        <w:b w:val="0"/>
      </w:rPr>
    </w:lvl>
    <w:lvl w:ilvl="4" w:tentative="0">
      <w:start w:val="1"/>
      <w:numFmt w:val="decimal"/>
      <w:lvlText w:val="%1.%2.%3.%4.%5"/>
      <w:lvlJc w:val="left"/>
      <w:pPr>
        <w:ind w:left="5400" w:hanging="1080"/>
      </w:pPr>
      <w:rPr>
        <w:rFonts w:hint="default"/>
        <w:b w:val="0"/>
      </w:rPr>
    </w:lvl>
    <w:lvl w:ilvl="5" w:tentative="0">
      <w:start w:val="1"/>
      <w:numFmt w:val="decimal"/>
      <w:lvlText w:val="%1.%2.%3.%4.%5.%6"/>
      <w:lvlJc w:val="left"/>
      <w:pPr>
        <w:ind w:left="6840" w:hanging="1440"/>
      </w:pPr>
      <w:rPr>
        <w:rFonts w:hint="default"/>
        <w:b w:val="0"/>
      </w:rPr>
    </w:lvl>
    <w:lvl w:ilvl="6" w:tentative="0">
      <w:start w:val="1"/>
      <w:numFmt w:val="decimal"/>
      <w:lvlText w:val="%1.%2.%3.%4.%5.%6.%7"/>
      <w:lvlJc w:val="left"/>
      <w:pPr>
        <w:ind w:left="7920" w:hanging="1440"/>
      </w:pPr>
      <w:rPr>
        <w:rFonts w:hint="default"/>
        <w:b w:val="0"/>
      </w:rPr>
    </w:lvl>
    <w:lvl w:ilvl="7" w:tentative="0">
      <w:start w:val="1"/>
      <w:numFmt w:val="decimal"/>
      <w:lvlText w:val="%1.%2.%3.%4.%5.%6.%7.%8"/>
      <w:lvlJc w:val="left"/>
      <w:pPr>
        <w:ind w:left="9360" w:hanging="1800"/>
      </w:pPr>
      <w:rPr>
        <w:rFonts w:hint="default"/>
        <w:b w:val="0"/>
      </w:rPr>
    </w:lvl>
    <w:lvl w:ilvl="8" w:tentative="0">
      <w:start w:val="1"/>
      <w:numFmt w:val="decimal"/>
      <w:lvlText w:val="%1.%2.%3.%4.%5.%6.%7.%8.%9"/>
      <w:lvlJc w:val="left"/>
      <w:pPr>
        <w:ind w:left="10440" w:hanging="1800"/>
      </w:pPr>
      <w:rPr>
        <w:rFonts w:hint="default"/>
        <w:b w:val="0"/>
      </w:rPr>
    </w:lvl>
  </w:abstractNum>
  <w:abstractNum w:abstractNumId="4">
    <w:nsid w:val="05BF0EB1"/>
    <w:multiLevelType w:val="multilevel"/>
    <w:tmpl w:val="05BF0EB1"/>
    <w:lvl w:ilvl="0" w:tentative="0">
      <w:start w:val="1"/>
      <w:numFmt w:val="lowerLetter"/>
      <w:lvlText w:val="%1)"/>
      <w:lvlJc w:val="left"/>
      <w:pPr>
        <w:ind w:left="144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176D6699"/>
    <w:multiLevelType w:val="multilevel"/>
    <w:tmpl w:val="176D6699"/>
    <w:lvl w:ilvl="0" w:tentative="0">
      <w:start w:val="1"/>
      <w:numFmt w:val="lowerRoman"/>
      <w:lvlText w:val="(%1)"/>
      <w:lvlJc w:val="left"/>
      <w:pPr>
        <w:tabs>
          <w:tab w:val="left" w:pos="1440"/>
        </w:tabs>
        <w:ind w:left="1440" w:hanging="1080"/>
      </w:pPr>
      <w:rPr>
        <w:rFonts w:hint="default"/>
        <w:b w:val="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6">
    <w:nsid w:val="262D4C1F"/>
    <w:multiLevelType w:val="multilevel"/>
    <w:tmpl w:val="262D4C1F"/>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7">
    <w:nsid w:val="2E273A61"/>
    <w:multiLevelType w:val="multilevel"/>
    <w:tmpl w:val="2E273A61"/>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8">
    <w:nsid w:val="40762627"/>
    <w:multiLevelType w:val="multilevel"/>
    <w:tmpl w:val="40762627"/>
    <w:lvl w:ilvl="0" w:tentative="0">
      <w:start w:val="1"/>
      <w:numFmt w:val="decimal"/>
      <w:lvlText w:val="%1."/>
      <w:lvlJc w:val="left"/>
      <w:pPr>
        <w:ind w:left="360" w:hanging="360"/>
      </w:pPr>
    </w:lvl>
    <w:lvl w:ilvl="1" w:tentative="0">
      <w:start w:val="1"/>
      <w:numFmt w:val="lowerLetter"/>
      <w:lvlText w:val="%2."/>
      <w:lvlJc w:val="left"/>
      <w:pPr>
        <w:ind w:left="1350" w:hanging="360"/>
      </w:pPr>
    </w:lvl>
    <w:lvl w:ilvl="2" w:tentative="0">
      <w:start w:val="1"/>
      <w:numFmt w:val="lowerRoman"/>
      <w:lvlText w:val="%3."/>
      <w:lvlJc w:val="right"/>
      <w:pPr>
        <w:ind w:left="2070" w:hanging="180"/>
      </w:pPr>
    </w:lvl>
    <w:lvl w:ilvl="3" w:tentative="0">
      <w:start w:val="1"/>
      <w:numFmt w:val="decimal"/>
      <w:lvlText w:val="%4."/>
      <w:lvlJc w:val="left"/>
      <w:pPr>
        <w:ind w:left="2790" w:hanging="360"/>
      </w:pPr>
    </w:lvl>
    <w:lvl w:ilvl="4" w:tentative="0">
      <w:start w:val="1"/>
      <w:numFmt w:val="lowerLetter"/>
      <w:lvlText w:val="%5."/>
      <w:lvlJc w:val="left"/>
      <w:pPr>
        <w:ind w:left="3510" w:hanging="360"/>
      </w:pPr>
    </w:lvl>
    <w:lvl w:ilvl="5" w:tentative="0">
      <w:start w:val="1"/>
      <w:numFmt w:val="lowerRoman"/>
      <w:lvlText w:val="%6."/>
      <w:lvlJc w:val="right"/>
      <w:pPr>
        <w:ind w:left="4230" w:hanging="180"/>
      </w:pPr>
    </w:lvl>
    <w:lvl w:ilvl="6" w:tentative="0">
      <w:start w:val="1"/>
      <w:numFmt w:val="decimal"/>
      <w:lvlText w:val="%7."/>
      <w:lvlJc w:val="left"/>
      <w:pPr>
        <w:ind w:left="4950" w:hanging="360"/>
      </w:pPr>
    </w:lvl>
    <w:lvl w:ilvl="7" w:tentative="0">
      <w:start w:val="1"/>
      <w:numFmt w:val="lowerLetter"/>
      <w:lvlText w:val="%8."/>
      <w:lvlJc w:val="left"/>
      <w:pPr>
        <w:ind w:left="5670" w:hanging="360"/>
      </w:pPr>
    </w:lvl>
    <w:lvl w:ilvl="8" w:tentative="0">
      <w:start w:val="1"/>
      <w:numFmt w:val="lowerRoman"/>
      <w:lvlText w:val="%9."/>
      <w:lvlJc w:val="right"/>
      <w:pPr>
        <w:ind w:left="6390" w:hanging="180"/>
      </w:pPr>
    </w:lvl>
  </w:abstractNum>
  <w:abstractNum w:abstractNumId="9">
    <w:nsid w:val="45187E7A"/>
    <w:multiLevelType w:val="multilevel"/>
    <w:tmpl w:val="45187E7A"/>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0">
    <w:nsid w:val="5080169C"/>
    <w:multiLevelType w:val="multilevel"/>
    <w:tmpl w:val="5080169C"/>
    <w:lvl w:ilvl="0" w:tentative="0">
      <w:start w:val="1"/>
      <w:numFmt w:val="decimal"/>
      <w:lvlText w:val="%1."/>
      <w:lvlJc w:val="left"/>
      <w:pPr>
        <w:ind w:left="54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5A7C0D55"/>
    <w:multiLevelType w:val="multilevel"/>
    <w:tmpl w:val="5A7C0D55"/>
    <w:lvl w:ilvl="0" w:tentative="0">
      <w:start w:val="1"/>
      <w:numFmt w:val="decimal"/>
      <w:lvlText w:val="%1.0"/>
      <w:lvlJc w:val="left"/>
      <w:pPr>
        <w:ind w:left="1080" w:hanging="720"/>
      </w:pPr>
      <w:rPr>
        <w:rFonts w:hint="default"/>
        <w:b/>
      </w:rPr>
    </w:lvl>
    <w:lvl w:ilvl="1" w:tentative="0">
      <w:start w:val="1"/>
      <w:numFmt w:val="decimal"/>
      <w:lvlText w:val="%1.%2"/>
      <w:lvlJc w:val="left"/>
      <w:pPr>
        <w:ind w:left="1440" w:hanging="720"/>
      </w:pPr>
      <w:rPr>
        <w:rFonts w:hint="default"/>
        <w:b/>
      </w:rPr>
    </w:lvl>
    <w:lvl w:ilvl="2" w:tentative="0">
      <w:start w:val="1"/>
      <w:numFmt w:val="decimal"/>
      <w:lvlText w:val="%1.%2.%3"/>
      <w:lvlJc w:val="left"/>
      <w:pPr>
        <w:ind w:left="2520" w:hanging="1080"/>
      </w:pPr>
      <w:rPr>
        <w:rFonts w:hint="default"/>
        <w:b/>
      </w:rPr>
    </w:lvl>
    <w:lvl w:ilvl="3" w:tentative="0">
      <w:start w:val="1"/>
      <w:numFmt w:val="decimal"/>
      <w:lvlText w:val="%1.%2.%3.%4"/>
      <w:lvlJc w:val="left"/>
      <w:pPr>
        <w:ind w:left="3240" w:hanging="1080"/>
      </w:pPr>
      <w:rPr>
        <w:rFonts w:hint="default"/>
        <w:b/>
      </w:rPr>
    </w:lvl>
    <w:lvl w:ilvl="4" w:tentative="0">
      <w:start w:val="1"/>
      <w:numFmt w:val="decimal"/>
      <w:lvlText w:val="%1.%2.%3.%4.%5"/>
      <w:lvlJc w:val="left"/>
      <w:pPr>
        <w:ind w:left="4320" w:hanging="1440"/>
      </w:pPr>
      <w:rPr>
        <w:rFonts w:hint="default"/>
        <w:b/>
      </w:rPr>
    </w:lvl>
    <w:lvl w:ilvl="5" w:tentative="0">
      <w:start w:val="1"/>
      <w:numFmt w:val="decimal"/>
      <w:lvlText w:val="%1.%2.%3.%4.%5.%6"/>
      <w:lvlJc w:val="left"/>
      <w:pPr>
        <w:ind w:left="5400" w:hanging="1800"/>
      </w:pPr>
      <w:rPr>
        <w:rFonts w:hint="default"/>
        <w:b/>
      </w:rPr>
    </w:lvl>
    <w:lvl w:ilvl="6" w:tentative="0">
      <w:start w:val="1"/>
      <w:numFmt w:val="decimal"/>
      <w:lvlText w:val="%1.%2.%3.%4.%5.%6.%7"/>
      <w:lvlJc w:val="left"/>
      <w:pPr>
        <w:ind w:left="6480" w:hanging="2160"/>
      </w:pPr>
      <w:rPr>
        <w:rFonts w:hint="default"/>
        <w:b/>
      </w:rPr>
    </w:lvl>
    <w:lvl w:ilvl="7" w:tentative="0">
      <w:start w:val="1"/>
      <w:numFmt w:val="decimal"/>
      <w:lvlText w:val="%1.%2.%3.%4.%5.%6.%7.%8"/>
      <w:lvlJc w:val="left"/>
      <w:pPr>
        <w:ind w:left="7200" w:hanging="2160"/>
      </w:pPr>
      <w:rPr>
        <w:rFonts w:hint="default"/>
        <w:b/>
      </w:rPr>
    </w:lvl>
    <w:lvl w:ilvl="8" w:tentative="0">
      <w:start w:val="1"/>
      <w:numFmt w:val="decimal"/>
      <w:lvlText w:val="%1.%2.%3.%4.%5.%6.%7.%8.%9"/>
      <w:lvlJc w:val="left"/>
      <w:pPr>
        <w:ind w:left="8280" w:hanging="2520"/>
      </w:pPr>
      <w:rPr>
        <w:rFonts w:hint="default"/>
        <w:b/>
      </w:rPr>
    </w:lvl>
  </w:abstractNum>
  <w:abstractNum w:abstractNumId="12">
    <w:nsid w:val="65234144"/>
    <w:multiLevelType w:val="multilevel"/>
    <w:tmpl w:val="65234144"/>
    <w:lvl w:ilvl="0" w:tentative="0">
      <w:start w:val="1"/>
      <w:numFmt w:val="decimal"/>
      <w:lvlText w:val="%1."/>
      <w:lvlJc w:val="left"/>
      <w:pPr>
        <w:ind w:left="1080" w:hanging="360"/>
      </w:pPr>
      <w:rPr>
        <w:rFonts w:hint="default"/>
      </w:rPr>
    </w:lvl>
    <w:lvl w:ilvl="1" w:tentative="0">
      <w:start w:val="1"/>
      <w:numFmt w:val="lowerLetter"/>
      <w:lvlText w:val="%2."/>
      <w:lvlJc w:val="left"/>
      <w:pPr>
        <w:ind w:left="2018" w:hanging="360"/>
      </w:pPr>
    </w:lvl>
    <w:lvl w:ilvl="2" w:tentative="0">
      <w:start w:val="1"/>
      <w:numFmt w:val="lowerRoman"/>
      <w:lvlText w:val="%3."/>
      <w:lvlJc w:val="right"/>
      <w:pPr>
        <w:ind w:left="2738" w:hanging="180"/>
      </w:pPr>
    </w:lvl>
    <w:lvl w:ilvl="3" w:tentative="0">
      <w:start w:val="1"/>
      <w:numFmt w:val="decimal"/>
      <w:lvlText w:val="%4."/>
      <w:lvlJc w:val="left"/>
      <w:pPr>
        <w:ind w:left="3458" w:hanging="360"/>
      </w:pPr>
    </w:lvl>
    <w:lvl w:ilvl="4" w:tentative="0">
      <w:start w:val="1"/>
      <w:numFmt w:val="lowerLetter"/>
      <w:lvlText w:val="%5."/>
      <w:lvlJc w:val="left"/>
      <w:pPr>
        <w:ind w:left="4178" w:hanging="360"/>
      </w:pPr>
    </w:lvl>
    <w:lvl w:ilvl="5" w:tentative="0">
      <w:start w:val="1"/>
      <w:numFmt w:val="lowerRoman"/>
      <w:lvlText w:val="%6."/>
      <w:lvlJc w:val="right"/>
      <w:pPr>
        <w:ind w:left="4898" w:hanging="180"/>
      </w:pPr>
    </w:lvl>
    <w:lvl w:ilvl="6" w:tentative="0">
      <w:start w:val="1"/>
      <w:numFmt w:val="decimal"/>
      <w:lvlText w:val="%7."/>
      <w:lvlJc w:val="left"/>
      <w:pPr>
        <w:ind w:left="5618" w:hanging="360"/>
      </w:pPr>
    </w:lvl>
    <w:lvl w:ilvl="7" w:tentative="0">
      <w:start w:val="1"/>
      <w:numFmt w:val="lowerLetter"/>
      <w:lvlText w:val="%8."/>
      <w:lvlJc w:val="left"/>
      <w:pPr>
        <w:ind w:left="6338" w:hanging="360"/>
      </w:pPr>
    </w:lvl>
    <w:lvl w:ilvl="8" w:tentative="0">
      <w:start w:val="1"/>
      <w:numFmt w:val="lowerRoman"/>
      <w:lvlText w:val="%9."/>
      <w:lvlJc w:val="right"/>
      <w:pPr>
        <w:ind w:left="7058" w:hanging="180"/>
      </w:pPr>
    </w:lvl>
  </w:abstractNum>
  <w:abstractNum w:abstractNumId="13">
    <w:nsid w:val="65EC5F26"/>
    <w:multiLevelType w:val="multilevel"/>
    <w:tmpl w:val="65EC5F26"/>
    <w:lvl w:ilvl="0" w:tentative="0">
      <w:start w:val="3"/>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4">
    <w:nsid w:val="727C4442"/>
    <w:multiLevelType w:val="multilevel"/>
    <w:tmpl w:val="727C4442"/>
    <w:lvl w:ilvl="0" w:tentative="0">
      <w:start w:val="1"/>
      <w:numFmt w:val="lowerRoman"/>
      <w:lvlText w:val="(%1)"/>
      <w:lvlJc w:val="left"/>
      <w:pPr>
        <w:ind w:left="1222" w:hanging="1080"/>
      </w:pPr>
      <w:rPr>
        <w:rFonts w:hint="default"/>
        <w:b w:val="0"/>
      </w:rPr>
    </w:lvl>
    <w:lvl w:ilvl="1" w:tentative="0">
      <w:start w:val="1"/>
      <w:numFmt w:val="lowerLetter"/>
      <w:lvlText w:val="%2."/>
      <w:lvlJc w:val="left"/>
      <w:pPr>
        <w:ind w:left="1222" w:hanging="360"/>
      </w:pPr>
    </w:lvl>
    <w:lvl w:ilvl="2" w:tentative="0">
      <w:start w:val="1"/>
      <w:numFmt w:val="lowerRoman"/>
      <w:lvlText w:val="%3."/>
      <w:lvlJc w:val="right"/>
      <w:pPr>
        <w:ind w:left="1942" w:hanging="180"/>
      </w:pPr>
    </w:lvl>
    <w:lvl w:ilvl="3" w:tentative="0">
      <w:start w:val="1"/>
      <w:numFmt w:val="decimal"/>
      <w:lvlText w:val="%4."/>
      <w:lvlJc w:val="left"/>
      <w:pPr>
        <w:ind w:left="2662" w:hanging="360"/>
      </w:pPr>
    </w:lvl>
    <w:lvl w:ilvl="4" w:tentative="0">
      <w:start w:val="1"/>
      <w:numFmt w:val="lowerLetter"/>
      <w:lvlText w:val="%5."/>
      <w:lvlJc w:val="left"/>
      <w:pPr>
        <w:ind w:left="3382" w:hanging="360"/>
      </w:pPr>
    </w:lvl>
    <w:lvl w:ilvl="5" w:tentative="0">
      <w:start w:val="1"/>
      <w:numFmt w:val="lowerRoman"/>
      <w:lvlText w:val="%6."/>
      <w:lvlJc w:val="right"/>
      <w:pPr>
        <w:ind w:left="4102" w:hanging="180"/>
      </w:pPr>
    </w:lvl>
    <w:lvl w:ilvl="6" w:tentative="0">
      <w:start w:val="1"/>
      <w:numFmt w:val="decimal"/>
      <w:lvlText w:val="%7."/>
      <w:lvlJc w:val="left"/>
      <w:pPr>
        <w:ind w:left="4822" w:hanging="360"/>
      </w:pPr>
    </w:lvl>
    <w:lvl w:ilvl="7" w:tentative="0">
      <w:start w:val="1"/>
      <w:numFmt w:val="lowerLetter"/>
      <w:lvlText w:val="%8."/>
      <w:lvlJc w:val="left"/>
      <w:pPr>
        <w:ind w:left="5542" w:hanging="360"/>
      </w:pPr>
    </w:lvl>
    <w:lvl w:ilvl="8" w:tentative="0">
      <w:start w:val="1"/>
      <w:numFmt w:val="lowerRoman"/>
      <w:lvlText w:val="%9."/>
      <w:lvlJc w:val="right"/>
      <w:pPr>
        <w:ind w:left="6262" w:hanging="180"/>
      </w:pPr>
    </w:lvl>
  </w:abstractNum>
  <w:num w:numId="1">
    <w:abstractNumId w:val="5"/>
  </w:num>
  <w:num w:numId="2">
    <w:abstractNumId w:val="11"/>
  </w:num>
  <w:num w:numId="3">
    <w:abstractNumId w:val="12"/>
  </w:num>
  <w:num w:numId="4">
    <w:abstractNumId w:val="2"/>
  </w:num>
  <w:num w:numId="5">
    <w:abstractNumId w:val="10"/>
  </w:num>
  <w:num w:numId="6">
    <w:abstractNumId w:val="13"/>
  </w:num>
  <w:num w:numId="7">
    <w:abstractNumId w:val="8"/>
  </w:num>
  <w:num w:numId="8">
    <w:abstractNumId w:val="7"/>
  </w:num>
  <w:num w:numId="9">
    <w:abstractNumId w:val="0"/>
  </w:num>
  <w:num w:numId="10">
    <w:abstractNumId w:val="14"/>
  </w:num>
  <w:num w:numId="11">
    <w:abstractNumId w:val="6"/>
  </w:num>
  <w:num w:numId="12">
    <w:abstractNumId w:val="3"/>
  </w:num>
  <w:num w:numId="13">
    <w:abstractNumId w:val="1"/>
  </w:num>
  <w:num w:numId="14">
    <w:abstractNumId w:val="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4C4"/>
    <w:rsid w:val="00005657"/>
    <w:rsid w:val="00005B24"/>
    <w:rsid w:val="00011BEF"/>
    <w:rsid w:val="0001338F"/>
    <w:rsid w:val="00015F0F"/>
    <w:rsid w:val="00016A34"/>
    <w:rsid w:val="00031D1B"/>
    <w:rsid w:val="0003322B"/>
    <w:rsid w:val="00034099"/>
    <w:rsid w:val="00035D69"/>
    <w:rsid w:val="00036C66"/>
    <w:rsid w:val="00040F2C"/>
    <w:rsid w:val="00044181"/>
    <w:rsid w:val="00050640"/>
    <w:rsid w:val="00052385"/>
    <w:rsid w:val="00052CE8"/>
    <w:rsid w:val="0005403F"/>
    <w:rsid w:val="000679F1"/>
    <w:rsid w:val="00067CEB"/>
    <w:rsid w:val="00071939"/>
    <w:rsid w:val="00083319"/>
    <w:rsid w:val="00084945"/>
    <w:rsid w:val="00084F15"/>
    <w:rsid w:val="000877CF"/>
    <w:rsid w:val="00087F72"/>
    <w:rsid w:val="000945B7"/>
    <w:rsid w:val="000964F0"/>
    <w:rsid w:val="000A0519"/>
    <w:rsid w:val="000A32D7"/>
    <w:rsid w:val="000A37E7"/>
    <w:rsid w:val="000A499A"/>
    <w:rsid w:val="000A5EDA"/>
    <w:rsid w:val="000A757E"/>
    <w:rsid w:val="000B0E78"/>
    <w:rsid w:val="000B4AD9"/>
    <w:rsid w:val="000C1F0E"/>
    <w:rsid w:val="000C68CF"/>
    <w:rsid w:val="000C6E6B"/>
    <w:rsid w:val="000C7AE5"/>
    <w:rsid w:val="000D6934"/>
    <w:rsid w:val="000E0068"/>
    <w:rsid w:val="000E1F29"/>
    <w:rsid w:val="000E4996"/>
    <w:rsid w:val="000E7658"/>
    <w:rsid w:val="000F0DFA"/>
    <w:rsid w:val="000F2608"/>
    <w:rsid w:val="000F36F6"/>
    <w:rsid w:val="000F3F6A"/>
    <w:rsid w:val="00100134"/>
    <w:rsid w:val="00101867"/>
    <w:rsid w:val="0010219E"/>
    <w:rsid w:val="0010410F"/>
    <w:rsid w:val="0010443F"/>
    <w:rsid w:val="001045DA"/>
    <w:rsid w:val="00113CCF"/>
    <w:rsid w:val="0011450C"/>
    <w:rsid w:val="0011465F"/>
    <w:rsid w:val="001150E4"/>
    <w:rsid w:val="001152DF"/>
    <w:rsid w:val="00116736"/>
    <w:rsid w:val="001179F2"/>
    <w:rsid w:val="00121765"/>
    <w:rsid w:val="00123CCC"/>
    <w:rsid w:val="00124F30"/>
    <w:rsid w:val="00126FE7"/>
    <w:rsid w:val="001318F4"/>
    <w:rsid w:val="00140CEA"/>
    <w:rsid w:val="0014242A"/>
    <w:rsid w:val="00144FFA"/>
    <w:rsid w:val="00145573"/>
    <w:rsid w:val="00147987"/>
    <w:rsid w:val="00152DC8"/>
    <w:rsid w:val="001554E1"/>
    <w:rsid w:val="00161B6B"/>
    <w:rsid w:val="001661FB"/>
    <w:rsid w:val="00167973"/>
    <w:rsid w:val="001679ED"/>
    <w:rsid w:val="001737DF"/>
    <w:rsid w:val="001776BF"/>
    <w:rsid w:val="00177715"/>
    <w:rsid w:val="00177DEC"/>
    <w:rsid w:val="001859FD"/>
    <w:rsid w:val="0018626C"/>
    <w:rsid w:val="0019217B"/>
    <w:rsid w:val="001931A8"/>
    <w:rsid w:val="001970DC"/>
    <w:rsid w:val="001A6A46"/>
    <w:rsid w:val="001A76DC"/>
    <w:rsid w:val="001C22CB"/>
    <w:rsid w:val="001C5A97"/>
    <w:rsid w:val="001C61C6"/>
    <w:rsid w:val="001C72AA"/>
    <w:rsid w:val="001D015F"/>
    <w:rsid w:val="001D0EFA"/>
    <w:rsid w:val="001D509A"/>
    <w:rsid w:val="001D5E2B"/>
    <w:rsid w:val="001F2340"/>
    <w:rsid w:val="001F2F81"/>
    <w:rsid w:val="001F6EBD"/>
    <w:rsid w:val="0020138E"/>
    <w:rsid w:val="0020386E"/>
    <w:rsid w:val="00205F07"/>
    <w:rsid w:val="00207E0D"/>
    <w:rsid w:val="00212271"/>
    <w:rsid w:val="002124F7"/>
    <w:rsid w:val="00214385"/>
    <w:rsid w:val="00215358"/>
    <w:rsid w:val="00242E18"/>
    <w:rsid w:val="002460AA"/>
    <w:rsid w:val="00246644"/>
    <w:rsid w:val="00246EDD"/>
    <w:rsid w:val="00250D56"/>
    <w:rsid w:val="00256F19"/>
    <w:rsid w:val="00260C04"/>
    <w:rsid w:val="00261CA6"/>
    <w:rsid w:val="002673EA"/>
    <w:rsid w:val="00270CD7"/>
    <w:rsid w:val="00277E49"/>
    <w:rsid w:val="00281FDC"/>
    <w:rsid w:val="00284D3A"/>
    <w:rsid w:val="002A0EA2"/>
    <w:rsid w:val="002A2828"/>
    <w:rsid w:val="002A4602"/>
    <w:rsid w:val="002A4C06"/>
    <w:rsid w:val="002A787E"/>
    <w:rsid w:val="002B4671"/>
    <w:rsid w:val="002B7503"/>
    <w:rsid w:val="002C4966"/>
    <w:rsid w:val="002D115C"/>
    <w:rsid w:val="002E4E08"/>
    <w:rsid w:val="002E5CDB"/>
    <w:rsid w:val="002E6F67"/>
    <w:rsid w:val="002F656B"/>
    <w:rsid w:val="002F7136"/>
    <w:rsid w:val="003039A8"/>
    <w:rsid w:val="003054DD"/>
    <w:rsid w:val="003104C9"/>
    <w:rsid w:val="00311B26"/>
    <w:rsid w:val="0031643F"/>
    <w:rsid w:val="0032222C"/>
    <w:rsid w:val="00322665"/>
    <w:rsid w:val="00332036"/>
    <w:rsid w:val="00334570"/>
    <w:rsid w:val="00343F83"/>
    <w:rsid w:val="00344728"/>
    <w:rsid w:val="00345C83"/>
    <w:rsid w:val="00346A84"/>
    <w:rsid w:val="00351244"/>
    <w:rsid w:val="00351613"/>
    <w:rsid w:val="003523CC"/>
    <w:rsid w:val="003538DF"/>
    <w:rsid w:val="00364646"/>
    <w:rsid w:val="00364AD4"/>
    <w:rsid w:val="00370ABD"/>
    <w:rsid w:val="00374248"/>
    <w:rsid w:val="00374933"/>
    <w:rsid w:val="00377410"/>
    <w:rsid w:val="003811A2"/>
    <w:rsid w:val="0038280C"/>
    <w:rsid w:val="003877B7"/>
    <w:rsid w:val="00390B59"/>
    <w:rsid w:val="00396F4D"/>
    <w:rsid w:val="003A078B"/>
    <w:rsid w:val="003A28AB"/>
    <w:rsid w:val="003A33F8"/>
    <w:rsid w:val="003A3A23"/>
    <w:rsid w:val="003A6209"/>
    <w:rsid w:val="003B37F2"/>
    <w:rsid w:val="003B49AB"/>
    <w:rsid w:val="003B760E"/>
    <w:rsid w:val="003C5717"/>
    <w:rsid w:val="003C7DA0"/>
    <w:rsid w:val="003D120B"/>
    <w:rsid w:val="003D2777"/>
    <w:rsid w:val="003D7E47"/>
    <w:rsid w:val="003E4C78"/>
    <w:rsid w:val="003E5E27"/>
    <w:rsid w:val="003E65A5"/>
    <w:rsid w:val="004009D2"/>
    <w:rsid w:val="00400BAC"/>
    <w:rsid w:val="004018EC"/>
    <w:rsid w:val="004022A2"/>
    <w:rsid w:val="004052AE"/>
    <w:rsid w:val="00412EB3"/>
    <w:rsid w:val="00421B4A"/>
    <w:rsid w:val="00424120"/>
    <w:rsid w:val="00427E26"/>
    <w:rsid w:val="00430550"/>
    <w:rsid w:val="0043268A"/>
    <w:rsid w:val="00434617"/>
    <w:rsid w:val="00440042"/>
    <w:rsid w:val="004430E5"/>
    <w:rsid w:val="004443F1"/>
    <w:rsid w:val="004448B6"/>
    <w:rsid w:val="00450D7B"/>
    <w:rsid w:val="00451508"/>
    <w:rsid w:val="004570EC"/>
    <w:rsid w:val="00462B3A"/>
    <w:rsid w:val="00470C6A"/>
    <w:rsid w:val="0047260D"/>
    <w:rsid w:val="004738FE"/>
    <w:rsid w:val="004752AD"/>
    <w:rsid w:val="00477736"/>
    <w:rsid w:val="00477943"/>
    <w:rsid w:val="004800F3"/>
    <w:rsid w:val="00481AA5"/>
    <w:rsid w:val="00494FB0"/>
    <w:rsid w:val="00496373"/>
    <w:rsid w:val="004A0A00"/>
    <w:rsid w:val="004A3755"/>
    <w:rsid w:val="004A68B4"/>
    <w:rsid w:val="004A6E47"/>
    <w:rsid w:val="004C1CC9"/>
    <w:rsid w:val="004C367F"/>
    <w:rsid w:val="004C45D0"/>
    <w:rsid w:val="004C76D6"/>
    <w:rsid w:val="004D153D"/>
    <w:rsid w:val="004D27F9"/>
    <w:rsid w:val="004D47F0"/>
    <w:rsid w:val="004E31C2"/>
    <w:rsid w:val="004E4BAA"/>
    <w:rsid w:val="004E78F5"/>
    <w:rsid w:val="004E7E6E"/>
    <w:rsid w:val="004F4B8C"/>
    <w:rsid w:val="005018A9"/>
    <w:rsid w:val="005031ED"/>
    <w:rsid w:val="00507DFC"/>
    <w:rsid w:val="00507E80"/>
    <w:rsid w:val="005102E8"/>
    <w:rsid w:val="005114F7"/>
    <w:rsid w:val="00512C36"/>
    <w:rsid w:val="00514186"/>
    <w:rsid w:val="00517D69"/>
    <w:rsid w:val="005221A8"/>
    <w:rsid w:val="00524722"/>
    <w:rsid w:val="00525011"/>
    <w:rsid w:val="005252FB"/>
    <w:rsid w:val="0052648E"/>
    <w:rsid w:val="005301F9"/>
    <w:rsid w:val="005325C4"/>
    <w:rsid w:val="00534103"/>
    <w:rsid w:val="005361CB"/>
    <w:rsid w:val="00536233"/>
    <w:rsid w:val="005414FA"/>
    <w:rsid w:val="00544AE9"/>
    <w:rsid w:val="00546D4E"/>
    <w:rsid w:val="00554481"/>
    <w:rsid w:val="00557BFB"/>
    <w:rsid w:val="005601D1"/>
    <w:rsid w:val="00564BA1"/>
    <w:rsid w:val="00565490"/>
    <w:rsid w:val="0056574F"/>
    <w:rsid w:val="0057092C"/>
    <w:rsid w:val="0057668A"/>
    <w:rsid w:val="00576F13"/>
    <w:rsid w:val="005777EB"/>
    <w:rsid w:val="0058202C"/>
    <w:rsid w:val="0059173C"/>
    <w:rsid w:val="00595122"/>
    <w:rsid w:val="00595B0C"/>
    <w:rsid w:val="005A29E0"/>
    <w:rsid w:val="005A3DDD"/>
    <w:rsid w:val="005A4A35"/>
    <w:rsid w:val="005A4C86"/>
    <w:rsid w:val="005A7374"/>
    <w:rsid w:val="005B0B4C"/>
    <w:rsid w:val="005B4528"/>
    <w:rsid w:val="005C00C1"/>
    <w:rsid w:val="005C20BB"/>
    <w:rsid w:val="005C2FCB"/>
    <w:rsid w:val="005D2505"/>
    <w:rsid w:val="005E30F2"/>
    <w:rsid w:val="005E320B"/>
    <w:rsid w:val="005E433C"/>
    <w:rsid w:val="00600C6F"/>
    <w:rsid w:val="0060148E"/>
    <w:rsid w:val="0060268B"/>
    <w:rsid w:val="00602EC4"/>
    <w:rsid w:val="00603F6E"/>
    <w:rsid w:val="00605389"/>
    <w:rsid w:val="00606E73"/>
    <w:rsid w:val="00610FAE"/>
    <w:rsid w:val="00613BF0"/>
    <w:rsid w:val="00614519"/>
    <w:rsid w:val="006157A0"/>
    <w:rsid w:val="00626598"/>
    <w:rsid w:val="00632E11"/>
    <w:rsid w:val="00636CCC"/>
    <w:rsid w:val="00636F30"/>
    <w:rsid w:val="0065025F"/>
    <w:rsid w:val="0065029D"/>
    <w:rsid w:val="0065130C"/>
    <w:rsid w:val="006614F0"/>
    <w:rsid w:val="006673FB"/>
    <w:rsid w:val="00667695"/>
    <w:rsid w:val="006730A9"/>
    <w:rsid w:val="006A6571"/>
    <w:rsid w:val="006A6EE4"/>
    <w:rsid w:val="006B4865"/>
    <w:rsid w:val="006C4E2D"/>
    <w:rsid w:val="006D05D2"/>
    <w:rsid w:val="006D1941"/>
    <w:rsid w:val="006D3B5E"/>
    <w:rsid w:val="006D7D08"/>
    <w:rsid w:val="006E05F4"/>
    <w:rsid w:val="006E102C"/>
    <w:rsid w:val="006F2D08"/>
    <w:rsid w:val="006F3F9C"/>
    <w:rsid w:val="00701653"/>
    <w:rsid w:val="00702586"/>
    <w:rsid w:val="00703FE1"/>
    <w:rsid w:val="007135B4"/>
    <w:rsid w:val="007221B0"/>
    <w:rsid w:val="00723980"/>
    <w:rsid w:val="007244B8"/>
    <w:rsid w:val="007263A1"/>
    <w:rsid w:val="00727D6E"/>
    <w:rsid w:val="007302FD"/>
    <w:rsid w:val="0073124D"/>
    <w:rsid w:val="00731E05"/>
    <w:rsid w:val="00732070"/>
    <w:rsid w:val="007355A7"/>
    <w:rsid w:val="007367E8"/>
    <w:rsid w:val="007434AD"/>
    <w:rsid w:val="00744EA6"/>
    <w:rsid w:val="00746A99"/>
    <w:rsid w:val="00750E59"/>
    <w:rsid w:val="00752501"/>
    <w:rsid w:val="007554C4"/>
    <w:rsid w:val="00756C62"/>
    <w:rsid w:val="00766D36"/>
    <w:rsid w:val="00772040"/>
    <w:rsid w:val="00773122"/>
    <w:rsid w:val="00774589"/>
    <w:rsid w:val="0077475F"/>
    <w:rsid w:val="0077488C"/>
    <w:rsid w:val="00777E58"/>
    <w:rsid w:val="007836FB"/>
    <w:rsid w:val="007860CC"/>
    <w:rsid w:val="00790541"/>
    <w:rsid w:val="00790B7B"/>
    <w:rsid w:val="007957A3"/>
    <w:rsid w:val="007A07BD"/>
    <w:rsid w:val="007A20FA"/>
    <w:rsid w:val="007A2E60"/>
    <w:rsid w:val="007A4A03"/>
    <w:rsid w:val="007B1FEE"/>
    <w:rsid w:val="007B4625"/>
    <w:rsid w:val="007C5803"/>
    <w:rsid w:val="007D2EB8"/>
    <w:rsid w:val="007D3453"/>
    <w:rsid w:val="007D5EFB"/>
    <w:rsid w:val="007D75F4"/>
    <w:rsid w:val="007E2E39"/>
    <w:rsid w:val="007E5F2B"/>
    <w:rsid w:val="007F037D"/>
    <w:rsid w:val="00806F96"/>
    <w:rsid w:val="00815A21"/>
    <w:rsid w:val="00815DFD"/>
    <w:rsid w:val="00816FEE"/>
    <w:rsid w:val="00823E6C"/>
    <w:rsid w:val="00827441"/>
    <w:rsid w:val="00827D65"/>
    <w:rsid w:val="00830B1E"/>
    <w:rsid w:val="00831B8D"/>
    <w:rsid w:val="00834D14"/>
    <w:rsid w:val="00845029"/>
    <w:rsid w:val="00846407"/>
    <w:rsid w:val="00854AC7"/>
    <w:rsid w:val="00857731"/>
    <w:rsid w:val="00860201"/>
    <w:rsid w:val="00860AAB"/>
    <w:rsid w:val="008621F9"/>
    <w:rsid w:val="00864B7D"/>
    <w:rsid w:val="00866688"/>
    <w:rsid w:val="00867018"/>
    <w:rsid w:val="00870C52"/>
    <w:rsid w:val="00871A35"/>
    <w:rsid w:val="00875E05"/>
    <w:rsid w:val="00882AC9"/>
    <w:rsid w:val="00885BB5"/>
    <w:rsid w:val="00887CF0"/>
    <w:rsid w:val="00894EB9"/>
    <w:rsid w:val="0089632D"/>
    <w:rsid w:val="00896AD4"/>
    <w:rsid w:val="008B1582"/>
    <w:rsid w:val="008B16EC"/>
    <w:rsid w:val="008B2EC9"/>
    <w:rsid w:val="008C3707"/>
    <w:rsid w:val="008C4D59"/>
    <w:rsid w:val="008C7994"/>
    <w:rsid w:val="008D1CA9"/>
    <w:rsid w:val="008E07B9"/>
    <w:rsid w:val="008E0816"/>
    <w:rsid w:val="008E343C"/>
    <w:rsid w:val="008E7605"/>
    <w:rsid w:val="008F0C7B"/>
    <w:rsid w:val="008F6E32"/>
    <w:rsid w:val="0090214A"/>
    <w:rsid w:val="00907362"/>
    <w:rsid w:val="0091656B"/>
    <w:rsid w:val="009201F0"/>
    <w:rsid w:val="00920D47"/>
    <w:rsid w:val="009223E9"/>
    <w:rsid w:val="0092333E"/>
    <w:rsid w:val="0092425B"/>
    <w:rsid w:val="00930BC4"/>
    <w:rsid w:val="009377A6"/>
    <w:rsid w:val="00937F79"/>
    <w:rsid w:val="00940C4F"/>
    <w:rsid w:val="00942CF2"/>
    <w:rsid w:val="009563D8"/>
    <w:rsid w:val="00956461"/>
    <w:rsid w:val="00964638"/>
    <w:rsid w:val="0096674B"/>
    <w:rsid w:val="00971E67"/>
    <w:rsid w:val="00973A01"/>
    <w:rsid w:val="009754AA"/>
    <w:rsid w:val="00980029"/>
    <w:rsid w:val="00981CEF"/>
    <w:rsid w:val="00982587"/>
    <w:rsid w:val="00987CD8"/>
    <w:rsid w:val="00993CF5"/>
    <w:rsid w:val="00996C4C"/>
    <w:rsid w:val="009A1C54"/>
    <w:rsid w:val="009B0478"/>
    <w:rsid w:val="009B16D8"/>
    <w:rsid w:val="009B229F"/>
    <w:rsid w:val="009B53A8"/>
    <w:rsid w:val="009C6A09"/>
    <w:rsid w:val="009D05FE"/>
    <w:rsid w:val="009E33F8"/>
    <w:rsid w:val="009E4C45"/>
    <w:rsid w:val="009F4660"/>
    <w:rsid w:val="009F6BC1"/>
    <w:rsid w:val="009F7DA1"/>
    <w:rsid w:val="00A00F13"/>
    <w:rsid w:val="00A02D6A"/>
    <w:rsid w:val="00A04586"/>
    <w:rsid w:val="00A0504C"/>
    <w:rsid w:val="00A05E6B"/>
    <w:rsid w:val="00A1445E"/>
    <w:rsid w:val="00A1468E"/>
    <w:rsid w:val="00A16272"/>
    <w:rsid w:val="00A20E29"/>
    <w:rsid w:val="00A20F25"/>
    <w:rsid w:val="00A26106"/>
    <w:rsid w:val="00A27656"/>
    <w:rsid w:val="00A27D7A"/>
    <w:rsid w:val="00A3766C"/>
    <w:rsid w:val="00A4745C"/>
    <w:rsid w:val="00A47691"/>
    <w:rsid w:val="00A535F5"/>
    <w:rsid w:val="00A54052"/>
    <w:rsid w:val="00A61CA8"/>
    <w:rsid w:val="00A6258B"/>
    <w:rsid w:val="00A65E13"/>
    <w:rsid w:val="00A74AAD"/>
    <w:rsid w:val="00A76401"/>
    <w:rsid w:val="00A76AB7"/>
    <w:rsid w:val="00A76ACA"/>
    <w:rsid w:val="00A804A3"/>
    <w:rsid w:val="00A85D2D"/>
    <w:rsid w:val="00A91AFF"/>
    <w:rsid w:val="00A91FD6"/>
    <w:rsid w:val="00A92AD5"/>
    <w:rsid w:val="00A94BF3"/>
    <w:rsid w:val="00AA0B5B"/>
    <w:rsid w:val="00AA1520"/>
    <w:rsid w:val="00AA165B"/>
    <w:rsid w:val="00AA3748"/>
    <w:rsid w:val="00AA43B2"/>
    <w:rsid w:val="00AB2434"/>
    <w:rsid w:val="00AB2A40"/>
    <w:rsid w:val="00AB30FC"/>
    <w:rsid w:val="00AB53C9"/>
    <w:rsid w:val="00AB7F03"/>
    <w:rsid w:val="00AC0FAF"/>
    <w:rsid w:val="00AC3B29"/>
    <w:rsid w:val="00AC5A23"/>
    <w:rsid w:val="00AC6296"/>
    <w:rsid w:val="00AC6D5D"/>
    <w:rsid w:val="00AC7056"/>
    <w:rsid w:val="00AD2ADC"/>
    <w:rsid w:val="00AD3D78"/>
    <w:rsid w:val="00AD54E2"/>
    <w:rsid w:val="00AD57F1"/>
    <w:rsid w:val="00AD5C57"/>
    <w:rsid w:val="00AD5D22"/>
    <w:rsid w:val="00AD7E47"/>
    <w:rsid w:val="00AE2250"/>
    <w:rsid w:val="00AE3D43"/>
    <w:rsid w:val="00AF06DF"/>
    <w:rsid w:val="00AF09C6"/>
    <w:rsid w:val="00AF0DC3"/>
    <w:rsid w:val="00AF5C2E"/>
    <w:rsid w:val="00B02CA9"/>
    <w:rsid w:val="00B053B0"/>
    <w:rsid w:val="00B07FCE"/>
    <w:rsid w:val="00B120BD"/>
    <w:rsid w:val="00B21665"/>
    <w:rsid w:val="00B21C74"/>
    <w:rsid w:val="00B2353D"/>
    <w:rsid w:val="00B27C98"/>
    <w:rsid w:val="00B319E5"/>
    <w:rsid w:val="00B31C13"/>
    <w:rsid w:val="00B36A78"/>
    <w:rsid w:val="00B42F0E"/>
    <w:rsid w:val="00B4510C"/>
    <w:rsid w:val="00B452DC"/>
    <w:rsid w:val="00B507B7"/>
    <w:rsid w:val="00B545FF"/>
    <w:rsid w:val="00B60B48"/>
    <w:rsid w:val="00B619E2"/>
    <w:rsid w:val="00B627D9"/>
    <w:rsid w:val="00B70B5C"/>
    <w:rsid w:val="00B71535"/>
    <w:rsid w:val="00B76583"/>
    <w:rsid w:val="00B77805"/>
    <w:rsid w:val="00B77DE3"/>
    <w:rsid w:val="00B834F6"/>
    <w:rsid w:val="00B86E29"/>
    <w:rsid w:val="00B870E1"/>
    <w:rsid w:val="00B8780E"/>
    <w:rsid w:val="00B924C7"/>
    <w:rsid w:val="00B946BA"/>
    <w:rsid w:val="00B95140"/>
    <w:rsid w:val="00B97EA6"/>
    <w:rsid w:val="00BA1DD7"/>
    <w:rsid w:val="00BA4903"/>
    <w:rsid w:val="00BA626E"/>
    <w:rsid w:val="00BA7D6A"/>
    <w:rsid w:val="00BB31F3"/>
    <w:rsid w:val="00BB39A6"/>
    <w:rsid w:val="00BB49AC"/>
    <w:rsid w:val="00BB7AE1"/>
    <w:rsid w:val="00BC278F"/>
    <w:rsid w:val="00BC69B2"/>
    <w:rsid w:val="00BC744F"/>
    <w:rsid w:val="00BC7DCC"/>
    <w:rsid w:val="00BD04D6"/>
    <w:rsid w:val="00BE0680"/>
    <w:rsid w:val="00BE166D"/>
    <w:rsid w:val="00BE3B35"/>
    <w:rsid w:val="00BE44E9"/>
    <w:rsid w:val="00BE5231"/>
    <w:rsid w:val="00BF105E"/>
    <w:rsid w:val="00BF57C8"/>
    <w:rsid w:val="00BF6BA4"/>
    <w:rsid w:val="00BF7114"/>
    <w:rsid w:val="00C00D2F"/>
    <w:rsid w:val="00C01087"/>
    <w:rsid w:val="00C02742"/>
    <w:rsid w:val="00C20C37"/>
    <w:rsid w:val="00C22067"/>
    <w:rsid w:val="00C242B7"/>
    <w:rsid w:val="00C25EF1"/>
    <w:rsid w:val="00C27983"/>
    <w:rsid w:val="00C30ABA"/>
    <w:rsid w:val="00C3550B"/>
    <w:rsid w:val="00C41930"/>
    <w:rsid w:val="00C53A07"/>
    <w:rsid w:val="00C56352"/>
    <w:rsid w:val="00C60535"/>
    <w:rsid w:val="00C66365"/>
    <w:rsid w:val="00C666B4"/>
    <w:rsid w:val="00C7167F"/>
    <w:rsid w:val="00C72045"/>
    <w:rsid w:val="00C725CA"/>
    <w:rsid w:val="00C82D60"/>
    <w:rsid w:val="00C857B1"/>
    <w:rsid w:val="00C934EC"/>
    <w:rsid w:val="00C948FB"/>
    <w:rsid w:val="00CA1455"/>
    <w:rsid w:val="00CA2A31"/>
    <w:rsid w:val="00CA60ED"/>
    <w:rsid w:val="00CA7EDB"/>
    <w:rsid w:val="00CB0F92"/>
    <w:rsid w:val="00CB12AC"/>
    <w:rsid w:val="00CB7C03"/>
    <w:rsid w:val="00CC1AF7"/>
    <w:rsid w:val="00CC2C08"/>
    <w:rsid w:val="00CC3457"/>
    <w:rsid w:val="00CD0C9F"/>
    <w:rsid w:val="00CE06A4"/>
    <w:rsid w:val="00CE5386"/>
    <w:rsid w:val="00CE7AE7"/>
    <w:rsid w:val="00CF5A1C"/>
    <w:rsid w:val="00CF6298"/>
    <w:rsid w:val="00D00461"/>
    <w:rsid w:val="00D02D7C"/>
    <w:rsid w:val="00D049E6"/>
    <w:rsid w:val="00D12E4E"/>
    <w:rsid w:val="00D22E0D"/>
    <w:rsid w:val="00D24508"/>
    <w:rsid w:val="00D265D6"/>
    <w:rsid w:val="00D26670"/>
    <w:rsid w:val="00D32C81"/>
    <w:rsid w:val="00D34236"/>
    <w:rsid w:val="00D34376"/>
    <w:rsid w:val="00D35697"/>
    <w:rsid w:val="00D357EA"/>
    <w:rsid w:val="00D40BDB"/>
    <w:rsid w:val="00D41E1A"/>
    <w:rsid w:val="00D46CBA"/>
    <w:rsid w:val="00D51548"/>
    <w:rsid w:val="00D5488C"/>
    <w:rsid w:val="00D55440"/>
    <w:rsid w:val="00D55E17"/>
    <w:rsid w:val="00D560D5"/>
    <w:rsid w:val="00D64E47"/>
    <w:rsid w:val="00D676DE"/>
    <w:rsid w:val="00D72004"/>
    <w:rsid w:val="00D72C08"/>
    <w:rsid w:val="00D7301D"/>
    <w:rsid w:val="00D74DCD"/>
    <w:rsid w:val="00D7693D"/>
    <w:rsid w:val="00D83047"/>
    <w:rsid w:val="00D848D4"/>
    <w:rsid w:val="00D90811"/>
    <w:rsid w:val="00D90FF7"/>
    <w:rsid w:val="00D913B7"/>
    <w:rsid w:val="00D915CC"/>
    <w:rsid w:val="00D93F1F"/>
    <w:rsid w:val="00DA22FC"/>
    <w:rsid w:val="00DA4745"/>
    <w:rsid w:val="00DA6479"/>
    <w:rsid w:val="00DB039D"/>
    <w:rsid w:val="00DB10F3"/>
    <w:rsid w:val="00DB1944"/>
    <w:rsid w:val="00DB6B49"/>
    <w:rsid w:val="00DC161D"/>
    <w:rsid w:val="00DC22F2"/>
    <w:rsid w:val="00DC4E58"/>
    <w:rsid w:val="00DD1117"/>
    <w:rsid w:val="00DD7E7C"/>
    <w:rsid w:val="00DE10A4"/>
    <w:rsid w:val="00DE3401"/>
    <w:rsid w:val="00DE3496"/>
    <w:rsid w:val="00DE4C29"/>
    <w:rsid w:val="00DF1482"/>
    <w:rsid w:val="00DF16A6"/>
    <w:rsid w:val="00DF3BA5"/>
    <w:rsid w:val="00E033B9"/>
    <w:rsid w:val="00E038BC"/>
    <w:rsid w:val="00E06225"/>
    <w:rsid w:val="00E06376"/>
    <w:rsid w:val="00E17744"/>
    <w:rsid w:val="00E21772"/>
    <w:rsid w:val="00E21B62"/>
    <w:rsid w:val="00E23DE1"/>
    <w:rsid w:val="00E26717"/>
    <w:rsid w:val="00E26FE0"/>
    <w:rsid w:val="00E2724A"/>
    <w:rsid w:val="00E279C8"/>
    <w:rsid w:val="00E345B9"/>
    <w:rsid w:val="00E370E2"/>
    <w:rsid w:val="00E47160"/>
    <w:rsid w:val="00E53F94"/>
    <w:rsid w:val="00E55279"/>
    <w:rsid w:val="00E618B1"/>
    <w:rsid w:val="00E625F2"/>
    <w:rsid w:val="00E63F6E"/>
    <w:rsid w:val="00E65A52"/>
    <w:rsid w:val="00E6751F"/>
    <w:rsid w:val="00E72A89"/>
    <w:rsid w:val="00E7324A"/>
    <w:rsid w:val="00E7654C"/>
    <w:rsid w:val="00E81E09"/>
    <w:rsid w:val="00E8234C"/>
    <w:rsid w:val="00E835CB"/>
    <w:rsid w:val="00E83A37"/>
    <w:rsid w:val="00E87BB0"/>
    <w:rsid w:val="00E9371D"/>
    <w:rsid w:val="00E94ABA"/>
    <w:rsid w:val="00E97F2E"/>
    <w:rsid w:val="00EA190F"/>
    <w:rsid w:val="00EA5789"/>
    <w:rsid w:val="00EB33E4"/>
    <w:rsid w:val="00EB3EF5"/>
    <w:rsid w:val="00EB4603"/>
    <w:rsid w:val="00EB4AFB"/>
    <w:rsid w:val="00EC0BF5"/>
    <w:rsid w:val="00EC20CC"/>
    <w:rsid w:val="00EC22EE"/>
    <w:rsid w:val="00EC276F"/>
    <w:rsid w:val="00EC3440"/>
    <w:rsid w:val="00EC6C37"/>
    <w:rsid w:val="00ED02F9"/>
    <w:rsid w:val="00ED056B"/>
    <w:rsid w:val="00ED3F14"/>
    <w:rsid w:val="00ED470F"/>
    <w:rsid w:val="00EE0FE4"/>
    <w:rsid w:val="00EE57BB"/>
    <w:rsid w:val="00EE6835"/>
    <w:rsid w:val="00EF1588"/>
    <w:rsid w:val="00F005BB"/>
    <w:rsid w:val="00F06B6F"/>
    <w:rsid w:val="00F17A47"/>
    <w:rsid w:val="00F2196C"/>
    <w:rsid w:val="00F23CE9"/>
    <w:rsid w:val="00F26C0C"/>
    <w:rsid w:val="00F30F13"/>
    <w:rsid w:val="00F345EC"/>
    <w:rsid w:val="00F4140C"/>
    <w:rsid w:val="00F54931"/>
    <w:rsid w:val="00F569BC"/>
    <w:rsid w:val="00F57E2F"/>
    <w:rsid w:val="00F61237"/>
    <w:rsid w:val="00F6665A"/>
    <w:rsid w:val="00F70488"/>
    <w:rsid w:val="00F74A68"/>
    <w:rsid w:val="00F76B9D"/>
    <w:rsid w:val="00F84A0D"/>
    <w:rsid w:val="00F85A4F"/>
    <w:rsid w:val="00F85B7F"/>
    <w:rsid w:val="00F86FBD"/>
    <w:rsid w:val="00FA190C"/>
    <w:rsid w:val="00FA1DC2"/>
    <w:rsid w:val="00FA3267"/>
    <w:rsid w:val="00FA7FF7"/>
    <w:rsid w:val="00FB4A2C"/>
    <w:rsid w:val="00FC4C96"/>
    <w:rsid w:val="00FD0970"/>
    <w:rsid w:val="00FD2005"/>
    <w:rsid w:val="00FD2F86"/>
    <w:rsid w:val="00FD53F6"/>
    <w:rsid w:val="00FF4FE8"/>
    <w:rsid w:val="00FF745D"/>
    <w:rsid w:val="02DD1AD5"/>
    <w:rsid w:val="04207B52"/>
    <w:rsid w:val="04933AED"/>
    <w:rsid w:val="04A332B3"/>
    <w:rsid w:val="07670DFE"/>
    <w:rsid w:val="08305CC4"/>
    <w:rsid w:val="089B2932"/>
    <w:rsid w:val="08DD6EC3"/>
    <w:rsid w:val="09955315"/>
    <w:rsid w:val="0BE76280"/>
    <w:rsid w:val="0C727258"/>
    <w:rsid w:val="0D296DBB"/>
    <w:rsid w:val="0D437342"/>
    <w:rsid w:val="0D624402"/>
    <w:rsid w:val="0D7325A3"/>
    <w:rsid w:val="0D7F6E9E"/>
    <w:rsid w:val="0D976E5A"/>
    <w:rsid w:val="0E113125"/>
    <w:rsid w:val="0FB571D5"/>
    <w:rsid w:val="0FFC09FA"/>
    <w:rsid w:val="10024664"/>
    <w:rsid w:val="11445362"/>
    <w:rsid w:val="11EC5368"/>
    <w:rsid w:val="12244F80"/>
    <w:rsid w:val="13435438"/>
    <w:rsid w:val="13586FA8"/>
    <w:rsid w:val="13946135"/>
    <w:rsid w:val="13BC67B1"/>
    <w:rsid w:val="143F42F3"/>
    <w:rsid w:val="146B50E8"/>
    <w:rsid w:val="15095C7E"/>
    <w:rsid w:val="15B83632"/>
    <w:rsid w:val="166353A9"/>
    <w:rsid w:val="166C03F1"/>
    <w:rsid w:val="171B26A4"/>
    <w:rsid w:val="17957AD2"/>
    <w:rsid w:val="17D50129"/>
    <w:rsid w:val="19817130"/>
    <w:rsid w:val="1A4E4C56"/>
    <w:rsid w:val="1A6F1FEC"/>
    <w:rsid w:val="1A9A08B1"/>
    <w:rsid w:val="1BC45252"/>
    <w:rsid w:val="1BCC2CF2"/>
    <w:rsid w:val="1D024523"/>
    <w:rsid w:val="1D164062"/>
    <w:rsid w:val="1D8F6894"/>
    <w:rsid w:val="1DCA77EF"/>
    <w:rsid w:val="1FF90B82"/>
    <w:rsid w:val="24D71F01"/>
    <w:rsid w:val="26FB6383"/>
    <w:rsid w:val="284C03A0"/>
    <w:rsid w:val="29687768"/>
    <w:rsid w:val="299F1664"/>
    <w:rsid w:val="29DA5099"/>
    <w:rsid w:val="2A793DA4"/>
    <w:rsid w:val="2CF51881"/>
    <w:rsid w:val="2D152BAE"/>
    <w:rsid w:val="2D5A5398"/>
    <w:rsid w:val="2D9A265E"/>
    <w:rsid w:val="2EDD32C5"/>
    <w:rsid w:val="2FB56441"/>
    <w:rsid w:val="30241D40"/>
    <w:rsid w:val="31083166"/>
    <w:rsid w:val="312C253A"/>
    <w:rsid w:val="3155147F"/>
    <w:rsid w:val="31B5119A"/>
    <w:rsid w:val="332C482A"/>
    <w:rsid w:val="338611ED"/>
    <w:rsid w:val="34292504"/>
    <w:rsid w:val="343D49C6"/>
    <w:rsid w:val="357B6843"/>
    <w:rsid w:val="359140AD"/>
    <w:rsid w:val="36DA3A0A"/>
    <w:rsid w:val="37223B8D"/>
    <w:rsid w:val="3870205A"/>
    <w:rsid w:val="39184B95"/>
    <w:rsid w:val="3A1D06A2"/>
    <w:rsid w:val="3A5B2196"/>
    <w:rsid w:val="3BC92571"/>
    <w:rsid w:val="3BCD2229"/>
    <w:rsid w:val="3C1708EF"/>
    <w:rsid w:val="3DAC4A93"/>
    <w:rsid w:val="3E816B3F"/>
    <w:rsid w:val="3EA66B58"/>
    <w:rsid w:val="3EC449D2"/>
    <w:rsid w:val="3FC60F24"/>
    <w:rsid w:val="40937A65"/>
    <w:rsid w:val="40C355D0"/>
    <w:rsid w:val="43670140"/>
    <w:rsid w:val="44110140"/>
    <w:rsid w:val="44A527A7"/>
    <w:rsid w:val="44BD0353"/>
    <w:rsid w:val="45C27613"/>
    <w:rsid w:val="46161889"/>
    <w:rsid w:val="47056F93"/>
    <w:rsid w:val="49F04A1D"/>
    <w:rsid w:val="49F650E8"/>
    <w:rsid w:val="4ABA69B4"/>
    <w:rsid w:val="4AEF1A7C"/>
    <w:rsid w:val="4B45006E"/>
    <w:rsid w:val="4B9B59E7"/>
    <w:rsid w:val="4BA44335"/>
    <w:rsid w:val="4C0E1ED4"/>
    <w:rsid w:val="4C263D95"/>
    <w:rsid w:val="4C2F0B83"/>
    <w:rsid w:val="4C9F770A"/>
    <w:rsid w:val="4D131782"/>
    <w:rsid w:val="4D724A1E"/>
    <w:rsid w:val="4DB77ACD"/>
    <w:rsid w:val="4DC009E7"/>
    <w:rsid w:val="4E013BC2"/>
    <w:rsid w:val="4E6B77B5"/>
    <w:rsid w:val="4FA56238"/>
    <w:rsid w:val="50DB2527"/>
    <w:rsid w:val="51060C48"/>
    <w:rsid w:val="51E67A6C"/>
    <w:rsid w:val="521149BE"/>
    <w:rsid w:val="5225627D"/>
    <w:rsid w:val="52AB4331"/>
    <w:rsid w:val="537D0515"/>
    <w:rsid w:val="53AB096C"/>
    <w:rsid w:val="565C123F"/>
    <w:rsid w:val="56E00E9C"/>
    <w:rsid w:val="574E783E"/>
    <w:rsid w:val="57E84249"/>
    <w:rsid w:val="5B56132F"/>
    <w:rsid w:val="5C6F7EB5"/>
    <w:rsid w:val="5D5B5EEA"/>
    <w:rsid w:val="5E1117E0"/>
    <w:rsid w:val="5F514A20"/>
    <w:rsid w:val="5F8E7CE7"/>
    <w:rsid w:val="6204045B"/>
    <w:rsid w:val="63EF4B04"/>
    <w:rsid w:val="6435341B"/>
    <w:rsid w:val="64A93F32"/>
    <w:rsid w:val="650467C3"/>
    <w:rsid w:val="66FA7955"/>
    <w:rsid w:val="68A51433"/>
    <w:rsid w:val="692152EC"/>
    <w:rsid w:val="69767F69"/>
    <w:rsid w:val="6A115F93"/>
    <w:rsid w:val="6A491913"/>
    <w:rsid w:val="6D812437"/>
    <w:rsid w:val="6D8E41D1"/>
    <w:rsid w:val="6E7F4D2B"/>
    <w:rsid w:val="6F30618C"/>
    <w:rsid w:val="6FD147E3"/>
    <w:rsid w:val="705F6A24"/>
    <w:rsid w:val="709A6050"/>
    <w:rsid w:val="715F110D"/>
    <w:rsid w:val="732A31CF"/>
    <w:rsid w:val="7393582A"/>
    <w:rsid w:val="748F4B1A"/>
    <w:rsid w:val="761E2B59"/>
    <w:rsid w:val="77116A65"/>
    <w:rsid w:val="77931A6B"/>
    <w:rsid w:val="77F86657"/>
    <w:rsid w:val="78D46A92"/>
    <w:rsid w:val="78E421E4"/>
    <w:rsid w:val="78F12270"/>
    <w:rsid w:val="7A7333A2"/>
    <w:rsid w:val="7B0C2AED"/>
    <w:rsid w:val="7B704D90"/>
    <w:rsid w:val="7B747AB9"/>
    <w:rsid w:val="7B782006"/>
    <w:rsid w:val="7D167CD1"/>
    <w:rsid w:val="7E84439E"/>
    <w:rsid w:val="7EB522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6"/>
    <w:semiHidden/>
    <w:unhideWhenUsed/>
    <w:qFormat/>
    <w:uiPriority w:val="99"/>
    <w:pPr>
      <w:spacing w:after="0" w:line="240" w:lineRule="auto"/>
    </w:pPr>
    <w:rPr>
      <w:rFonts w:ascii="Segoe UI" w:hAnsi="Segoe UI" w:cs="Segoe UI"/>
      <w:sz w:val="18"/>
      <w:szCs w:val="18"/>
    </w:rPr>
  </w:style>
  <w:style w:type="paragraph" w:styleId="5">
    <w:name w:val="footer"/>
    <w:basedOn w:val="1"/>
    <w:link w:val="15"/>
    <w:unhideWhenUsed/>
    <w:qFormat/>
    <w:uiPriority w:val="99"/>
    <w:pPr>
      <w:tabs>
        <w:tab w:val="center" w:pos="4680"/>
        <w:tab w:val="right" w:pos="9360"/>
      </w:tabs>
      <w:spacing w:after="0" w:line="240" w:lineRule="auto"/>
    </w:pPr>
  </w:style>
  <w:style w:type="paragraph" w:styleId="6">
    <w:name w:val="header"/>
    <w:basedOn w:val="1"/>
    <w:link w:val="14"/>
    <w:unhideWhenUsed/>
    <w:qFormat/>
    <w:uiPriority w:val="99"/>
    <w:pPr>
      <w:tabs>
        <w:tab w:val="center" w:pos="4680"/>
        <w:tab w:val="right" w:pos="9360"/>
      </w:tabs>
      <w:spacing w:after="0" w:line="240" w:lineRule="auto"/>
    </w:pPr>
  </w:style>
  <w:style w:type="paragraph" w:styleId="7">
    <w:name w:val="HTML Preformatted"/>
    <w:basedOn w:val="1"/>
    <w:unhideWhenUsed/>
    <w:qFormat/>
    <w:uiPriority w:val="99"/>
    <w:pPr>
      <w:spacing w:after="0" w:line="240" w:lineRule="auto"/>
    </w:pPr>
    <w:rPr>
      <w:rFonts w:ascii="Consolas" w:hAnsi="Consolas" w:eastAsia="Calibri" w:cs="Times New Roman"/>
      <w:sz w:val="20"/>
      <w:szCs w:val="20"/>
    </w:rPr>
  </w:style>
  <w:style w:type="paragraph" w:styleId="8">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9">
    <w:name w:val="Subtitle"/>
    <w:basedOn w:val="1"/>
    <w:next w:val="1"/>
    <w:link w:val="12"/>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 w:type="table" w:styleId="10">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link w:val="13"/>
    <w:qFormat/>
    <w:uiPriority w:val="34"/>
    <w:pPr>
      <w:ind w:left="720"/>
      <w:contextualSpacing/>
    </w:pPr>
  </w:style>
  <w:style w:type="character" w:customStyle="1" w:styleId="12">
    <w:name w:val="Subtitle Char"/>
    <w:basedOn w:val="2"/>
    <w:link w:val="9"/>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 w:type="character" w:customStyle="1" w:styleId="13">
    <w:name w:val="List Paragraph Char"/>
    <w:link w:val="11"/>
    <w:qFormat/>
    <w:locked/>
    <w:uiPriority w:val="34"/>
  </w:style>
  <w:style w:type="character" w:customStyle="1" w:styleId="14">
    <w:name w:val="Header Char"/>
    <w:basedOn w:val="2"/>
    <w:link w:val="6"/>
    <w:qFormat/>
    <w:uiPriority w:val="99"/>
  </w:style>
  <w:style w:type="character" w:customStyle="1" w:styleId="15">
    <w:name w:val="Footer Char"/>
    <w:basedOn w:val="2"/>
    <w:link w:val="5"/>
    <w:qFormat/>
    <w:uiPriority w:val="99"/>
  </w:style>
  <w:style w:type="character" w:customStyle="1" w:styleId="16">
    <w:name w:val="Balloon Text Char"/>
    <w:basedOn w:val="2"/>
    <w:link w:val="4"/>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26C1E-DE7A-4FC7-8DC3-35D1D43DC8E0}">
  <ds:schemaRefs/>
</ds:datastoreItem>
</file>

<file path=docProps/app.xml><?xml version="1.0" encoding="utf-8"?>
<Properties xmlns="http://schemas.openxmlformats.org/officeDocument/2006/extended-properties" xmlns:vt="http://schemas.openxmlformats.org/officeDocument/2006/docPropsVTypes">
  <Template>Normal</Template>
  <Pages>22</Pages>
  <Words>4111</Words>
  <Characters>23434</Characters>
  <Lines>195</Lines>
  <Paragraphs>54</Paragraphs>
  <TotalTime>157</TotalTime>
  <ScaleCrop>false</ScaleCrop>
  <LinksUpToDate>false</LinksUpToDate>
  <CharactersWithSpaces>27491</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2025-07-09T10:20:00Z</dcterms:created>
  <dc:creator>Nasemba Elinazi Mgonja</dc:creator>
  <cp:lastModifiedBy>Thinkpad</cp:lastModifiedBy>
  <cp:lastPrinted>2022-06-28T11:22:00Z</cp:lastPrinted>
  <dcterms:modified xsi:type="dcterms:W3CDTF">2025-09-05T08:55:36Z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46DF2EB8FFB34AA78804EF425FB00369_12</vt:lpwstr>
  </property>
</Properties>
</file>