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6644F" w14:textId="77777777" w:rsidR="007E47C3" w:rsidRDefault="007E47C3" w:rsidP="007E47C3">
      <w:pPr>
        <w:pStyle w:val="badge"/>
        <w:spacing w:after="200" w:afterAutospacing="0"/>
        <w:rPr>
          <w:rFonts w:ascii="Calibri" w:hAnsi="Calibri" w:cs="Calibri"/>
        </w:rPr>
      </w:pPr>
      <w:r>
        <w:rPr>
          <w:rFonts w:ascii="Calibri" w:hAnsi="Calibri" w:cs="Calibri"/>
        </w:rPr>
        <w:t>MM+M Awards 2026 | Use of Generative AI &amp; Synthetic Media</w:t>
      </w:r>
    </w:p>
    <w:p w14:paraId="2083036B" w14:textId="77777777" w:rsidR="007E47C3" w:rsidRDefault="007E47C3" w:rsidP="007E47C3">
      <w:pPr>
        <w:pStyle w:val="Heading1"/>
        <w:rPr>
          <w:rFonts w:ascii="Calibri" w:eastAsia="Times New Roman" w:hAnsi="Calibri" w:cs="Calibri"/>
          <w:color w:val="1A1A1A"/>
        </w:rPr>
      </w:pPr>
      <w:r>
        <w:rPr>
          <w:rFonts w:ascii="Calibri" w:eastAsia="Times New Roman" w:hAnsi="Calibri" w:cs="Calibri"/>
          <w:color w:val="1A1A1A"/>
        </w:rPr>
        <w:t>AI-first digital presence: how T2 Group built a knowledge-graph chatbot and interactive calculators to transform B2B healthcare IT engagement</w:t>
      </w:r>
    </w:p>
    <w:p w14:paraId="5D26D5BE" w14:textId="77777777" w:rsidR="007E47C3" w:rsidRDefault="007E47C3" w:rsidP="007E47C3">
      <w:pPr>
        <w:pStyle w:val="badge"/>
        <w:spacing w:after="200" w:afterAutospacing="0"/>
        <w:rPr>
          <w:rFonts w:ascii="Calibri" w:hAnsi="Calibri" w:cs="Calibri"/>
        </w:rPr>
      </w:pPr>
      <w:r>
        <w:rPr>
          <w:rFonts w:ascii="Calibri" w:hAnsi="Calibri" w:cs="Calibri"/>
        </w:rPr>
        <w:t xml:space="preserve">Award Submission — T2 Group | Live site: </w:t>
      </w:r>
      <w:hyperlink r:id="rId4" w:history="1">
        <w:r>
          <w:rPr>
            <w:rStyle w:val="Hyperlink"/>
            <w:rFonts w:ascii="Calibri" w:hAnsi="Calibri" w:cs="Calibri"/>
          </w:rPr>
          <w:t>t2group.com/awards-submission</w:t>
        </w:r>
      </w:hyperlink>
    </w:p>
    <w:p w14:paraId="35E2CADE" w14:textId="77777777" w:rsidR="007E47C3" w:rsidRDefault="007E47C3" w:rsidP="007E47C3">
      <w:pPr>
        <w:pStyle w:val="Heading2"/>
        <w:rPr>
          <w:rFonts w:ascii="Calibri" w:eastAsia="Times New Roman" w:hAnsi="Calibri" w:cs="Calibri"/>
          <w:color w:val="1A1A1A"/>
        </w:rPr>
      </w:pPr>
      <w:r>
        <w:rPr>
          <w:rFonts w:ascii="Calibri" w:eastAsia="Times New Roman" w:hAnsi="Calibri" w:cs="Calibri"/>
          <w:color w:val="1A1A1A"/>
        </w:rPr>
        <w:t>01. Campaign Overview</w:t>
      </w:r>
    </w:p>
    <w:p w14:paraId="588D6F41"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T2 Group, a healthcare IT consulting and workforce solutions firm serving leading health systems nationwide, reimagined its digital presence from the ground up using generative AI — not as a bolt-on feature, but as the foundation of the entire website experience.</w:t>
      </w:r>
    </w:p>
    <w:p w14:paraId="44F1EAD4"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 xml:space="preserve">The new t2group.com is an AI-generated website built to serve the complex, multi-layered needs of healthcare IT buyers across T2 Group's four business units: </w:t>
      </w:r>
      <w:r>
        <w:rPr>
          <w:rStyle w:val="Strong"/>
          <w:rFonts w:ascii="Calibri" w:hAnsi="Calibri" w:cs="Calibri"/>
          <w:color w:val="1A1A1A"/>
          <w:sz w:val="28"/>
          <w:szCs w:val="28"/>
        </w:rPr>
        <w:t>T2 Tech</w:t>
      </w:r>
      <w:r>
        <w:rPr>
          <w:rFonts w:ascii="Calibri" w:hAnsi="Calibri" w:cs="Calibri"/>
          <w:color w:val="1A1A1A"/>
          <w:sz w:val="28"/>
          <w:szCs w:val="28"/>
        </w:rPr>
        <w:t xml:space="preserve"> (Health IT Services), </w:t>
      </w:r>
      <w:r>
        <w:rPr>
          <w:rStyle w:val="Strong"/>
          <w:rFonts w:ascii="Calibri" w:hAnsi="Calibri" w:cs="Calibri"/>
          <w:color w:val="1A1A1A"/>
          <w:sz w:val="28"/>
          <w:szCs w:val="28"/>
        </w:rPr>
        <w:t>T2 Flex</w:t>
      </w:r>
      <w:r>
        <w:rPr>
          <w:rFonts w:ascii="Calibri" w:hAnsi="Calibri" w:cs="Calibri"/>
          <w:color w:val="1A1A1A"/>
          <w:sz w:val="28"/>
          <w:szCs w:val="28"/>
        </w:rPr>
        <w:t xml:space="preserve"> (Remote Workforce), </w:t>
      </w:r>
      <w:r>
        <w:rPr>
          <w:rStyle w:val="Strong"/>
          <w:rFonts w:ascii="Calibri" w:hAnsi="Calibri" w:cs="Calibri"/>
          <w:color w:val="1A1A1A"/>
          <w:sz w:val="28"/>
          <w:szCs w:val="28"/>
        </w:rPr>
        <w:t>T2 Ignite</w:t>
      </w:r>
      <w:r>
        <w:rPr>
          <w:rFonts w:ascii="Calibri" w:hAnsi="Calibri" w:cs="Calibri"/>
          <w:color w:val="1A1A1A"/>
          <w:sz w:val="28"/>
          <w:szCs w:val="28"/>
        </w:rPr>
        <w:t xml:space="preserve"> (Digital Innovation), and </w:t>
      </w:r>
      <w:r>
        <w:rPr>
          <w:rStyle w:val="Strong"/>
          <w:rFonts w:ascii="Calibri" w:hAnsi="Calibri" w:cs="Calibri"/>
          <w:color w:val="1A1A1A"/>
          <w:sz w:val="28"/>
          <w:szCs w:val="28"/>
        </w:rPr>
        <w:t>T2 Talent</w:t>
      </w:r>
      <w:r>
        <w:rPr>
          <w:rFonts w:ascii="Calibri" w:hAnsi="Calibri" w:cs="Calibri"/>
          <w:color w:val="1A1A1A"/>
          <w:sz w:val="28"/>
          <w:szCs w:val="28"/>
        </w:rPr>
        <w:t xml:space="preserve"> (Health IT Recruiting).</w:t>
      </w:r>
    </w:p>
    <w:p w14:paraId="0FCA952B"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Two AI-powered tools sit at the heart of the experience. The Agent Count Calculator (t2group.com/flex/calculator) uses dynamic inputs to help healthcare organizations model remote workforce sizing — turning a typically opaque, consultant-driven conversation into an instant, self-service decision tool. A knowledge graph-powered chatbot enables site visitors to ask nearly any question about T2 Group and receive accurate, contextually grounded answers sourced from T2 Group's full knowledge base.</w:t>
      </w:r>
    </w:p>
    <w:p w14:paraId="69C95767" w14:textId="4F2EDCCF"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 xml:space="preserve">Together, these tools represent a deliberate shift: from a static </w:t>
      </w:r>
      <w:proofErr w:type="spellStart"/>
      <w:r w:rsidR="00B71F7B">
        <w:rPr>
          <w:rFonts w:ascii="Calibri" w:hAnsi="Calibri" w:cs="Calibri"/>
          <w:color w:val="1A1A1A"/>
          <w:sz w:val="28"/>
          <w:szCs w:val="28"/>
        </w:rPr>
        <w:t>Wordpress</w:t>
      </w:r>
      <w:proofErr w:type="spellEnd"/>
      <w:r w:rsidR="00B71F7B">
        <w:rPr>
          <w:rFonts w:ascii="Calibri" w:hAnsi="Calibri" w:cs="Calibri"/>
          <w:color w:val="1A1A1A"/>
          <w:sz w:val="28"/>
          <w:szCs w:val="28"/>
        </w:rPr>
        <w:t xml:space="preserve"> </w:t>
      </w:r>
      <w:r>
        <w:rPr>
          <w:rFonts w:ascii="Calibri" w:hAnsi="Calibri" w:cs="Calibri"/>
          <w:color w:val="1A1A1A"/>
          <w:sz w:val="28"/>
          <w:szCs w:val="28"/>
        </w:rPr>
        <w:t>brochure site to an intelligent, conversational digital environment that meets healthcare IT decision-makers where they are. The result is a website that works as a 24/7 subject matter expert for T2 Group's prospects and clients.</w:t>
      </w:r>
    </w:p>
    <w:p w14:paraId="6C2B00E1" w14:textId="77777777" w:rsidR="007E47C3" w:rsidRDefault="007E47C3" w:rsidP="007E47C3">
      <w:pPr>
        <w:pStyle w:val="Heading2"/>
        <w:rPr>
          <w:rFonts w:ascii="Calibri" w:eastAsia="Times New Roman" w:hAnsi="Calibri" w:cs="Calibri"/>
          <w:color w:val="1A1A1A"/>
          <w:sz w:val="36"/>
          <w:szCs w:val="36"/>
        </w:rPr>
      </w:pPr>
      <w:r>
        <w:rPr>
          <w:rFonts w:ascii="Calibri" w:eastAsia="Times New Roman" w:hAnsi="Calibri" w:cs="Calibri"/>
          <w:color w:val="1A1A1A"/>
        </w:rPr>
        <w:t>02. Objective</w:t>
      </w:r>
    </w:p>
    <w:p w14:paraId="48CD983F"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 xml:space="preserve">T2 Group needed a digital presence that could communicate the breadth of its four business units to sophisticated healthcare IT buyers — without requiring a </w:t>
      </w:r>
      <w:r>
        <w:rPr>
          <w:rFonts w:ascii="Calibri" w:hAnsi="Calibri" w:cs="Calibri"/>
          <w:color w:val="1A1A1A"/>
          <w:sz w:val="28"/>
          <w:szCs w:val="28"/>
        </w:rPr>
        <w:lastRenderedPageBreak/>
        <w:t>sales call to answer basic questions. The goal was to reduce buyer friction, accelerate qualification, and demonstrate T2 Group's own technology leadership by deploying the same AI innovation it brings to clients.</w:t>
      </w:r>
    </w:p>
    <w:p w14:paraId="125680EE" w14:textId="77777777" w:rsidR="007E47C3" w:rsidRDefault="007E47C3" w:rsidP="007E47C3">
      <w:pPr>
        <w:pStyle w:val="Heading2"/>
        <w:rPr>
          <w:rFonts w:ascii="Calibri" w:eastAsia="Times New Roman" w:hAnsi="Calibri" w:cs="Calibri"/>
          <w:color w:val="1A1A1A"/>
          <w:sz w:val="36"/>
          <w:szCs w:val="36"/>
        </w:rPr>
      </w:pPr>
      <w:r>
        <w:rPr>
          <w:rFonts w:ascii="Calibri" w:eastAsia="Times New Roman" w:hAnsi="Calibri" w:cs="Calibri"/>
          <w:color w:val="1A1A1A"/>
        </w:rPr>
        <w:t>03. Strategy &amp; Execution</w:t>
      </w:r>
    </w:p>
    <w:p w14:paraId="1B9CEE59" w14:textId="15FA85E2"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 xml:space="preserve">Rather than retrofitting AI features onto an existing site, T2 Group chose to generate the site itself using AI, establishing generative AI as the creative and structural backbone of the experience. The knowledge graph chatbot was built to map T2 Group's full service offering into a structured, </w:t>
      </w:r>
      <w:proofErr w:type="spellStart"/>
      <w:r>
        <w:rPr>
          <w:rFonts w:ascii="Calibri" w:hAnsi="Calibri" w:cs="Calibri"/>
          <w:color w:val="1A1A1A"/>
          <w:sz w:val="28"/>
          <w:szCs w:val="28"/>
        </w:rPr>
        <w:t>queryable</w:t>
      </w:r>
      <w:proofErr w:type="spellEnd"/>
      <w:r>
        <w:rPr>
          <w:rFonts w:ascii="Calibri" w:hAnsi="Calibri" w:cs="Calibri"/>
          <w:color w:val="1A1A1A"/>
          <w:sz w:val="28"/>
          <w:szCs w:val="28"/>
        </w:rPr>
        <w:t xml:space="preserve"> knowledge </w:t>
      </w:r>
      <w:proofErr w:type="gramStart"/>
      <w:r>
        <w:rPr>
          <w:rFonts w:ascii="Calibri" w:hAnsi="Calibri" w:cs="Calibri"/>
          <w:color w:val="1A1A1A"/>
          <w:sz w:val="28"/>
          <w:szCs w:val="28"/>
        </w:rPr>
        <w:t>base</w:t>
      </w:r>
      <w:r w:rsidR="00AB287C">
        <w:rPr>
          <w:rFonts w:ascii="Calibri" w:hAnsi="Calibri" w:cs="Calibri"/>
          <w:color w:val="1A1A1A"/>
          <w:sz w:val="28"/>
          <w:szCs w:val="28"/>
        </w:rPr>
        <w:t xml:space="preserve">, </w:t>
      </w:r>
      <w:r>
        <w:rPr>
          <w:rFonts w:ascii="Calibri" w:hAnsi="Calibri" w:cs="Calibri"/>
          <w:color w:val="1A1A1A"/>
          <w:sz w:val="28"/>
          <w:szCs w:val="28"/>
        </w:rPr>
        <w:t xml:space="preserve"> enabling</w:t>
      </w:r>
      <w:proofErr w:type="gramEnd"/>
      <w:r>
        <w:rPr>
          <w:rFonts w:ascii="Calibri" w:hAnsi="Calibri" w:cs="Calibri"/>
          <w:color w:val="1A1A1A"/>
          <w:sz w:val="28"/>
          <w:szCs w:val="28"/>
        </w:rPr>
        <w:t xml:space="preserve"> it to answer nuanced questions about specific business units, service models, and use cases with an accuracy that a generic LLM-based chatbot could not provide.</w:t>
      </w:r>
    </w:p>
    <w:p w14:paraId="6E709589"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The Agent Count Calculator was developed to address a specific buyer friction point: healthcare organizations exploring remote workforce solutions often cannot self-assess their staffing needs without engaging a consultant first. The calculator turns that conversation into an interactive, self-service tool available on demand.</w:t>
      </w:r>
    </w:p>
    <w:p w14:paraId="7025945D" w14:textId="77777777" w:rsidR="007E47C3" w:rsidRDefault="007E47C3" w:rsidP="007E47C3">
      <w:pPr>
        <w:pStyle w:val="Heading3"/>
        <w:rPr>
          <w:rFonts w:ascii="Calibri" w:eastAsia="Times New Roman" w:hAnsi="Calibri" w:cs="Calibri"/>
          <w:color w:val="1A1A1A"/>
          <w:sz w:val="32"/>
          <w:szCs w:val="32"/>
        </w:rPr>
      </w:pPr>
      <w:r>
        <w:rPr>
          <w:rFonts w:ascii="Calibri" w:eastAsia="Times New Roman" w:hAnsi="Calibri" w:cs="Calibri"/>
          <w:color w:val="1A1A1A"/>
        </w:rPr>
        <w:t>Platform &amp; Build</w:t>
      </w:r>
    </w:p>
    <w:p w14:paraId="6CB9ADB1" w14:textId="46EEDB62"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The entire website —spanning 100+ pages, 5 interactive tools, and a fully operational AI agent — was built and deployed entirely within Base44 (base44.com), an AI-native application development platform. Base44 provides a full-stack backend-as-a-service layer including a real-time entity database, serverless backend functions (running on Deno Deploy), OAuth-based third-party integrations, built-in authentication, and a visual AI development environment. No traditional engineering team or external CMS was involved in the build.</w:t>
      </w:r>
    </w:p>
    <w:p w14:paraId="2A494D86" w14:textId="2E6D61A2"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 xml:space="preserve">The knowledge graph chatbot, branded "Ask Kevin," </w:t>
      </w:r>
      <w:r w:rsidR="00221C51">
        <w:rPr>
          <w:rFonts w:ascii="Calibri" w:hAnsi="Calibri" w:cs="Calibri"/>
          <w:color w:val="1A1A1A"/>
          <w:sz w:val="28"/>
          <w:szCs w:val="28"/>
        </w:rPr>
        <w:t xml:space="preserve">(T2 Group’s </w:t>
      </w:r>
      <w:r w:rsidR="0094207E">
        <w:rPr>
          <w:rFonts w:ascii="Calibri" w:hAnsi="Calibri" w:cs="Calibri"/>
          <w:color w:val="1A1A1A"/>
          <w:sz w:val="28"/>
          <w:szCs w:val="28"/>
        </w:rPr>
        <w:t>Managing Partner</w:t>
      </w:r>
      <w:r w:rsidR="00221C51">
        <w:rPr>
          <w:rFonts w:ascii="Calibri" w:hAnsi="Calibri" w:cs="Calibri"/>
          <w:color w:val="1A1A1A"/>
          <w:sz w:val="28"/>
          <w:szCs w:val="28"/>
        </w:rPr>
        <w:t xml:space="preserve"> is </w:t>
      </w:r>
      <w:r w:rsidR="00406D98">
        <w:rPr>
          <w:rFonts w:ascii="Calibri" w:hAnsi="Calibri" w:cs="Calibri"/>
          <w:color w:val="1A1A1A"/>
          <w:sz w:val="28"/>
          <w:szCs w:val="28"/>
        </w:rPr>
        <w:t xml:space="preserve">named </w:t>
      </w:r>
      <w:r w:rsidR="00221C51">
        <w:rPr>
          <w:rFonts w:ascii="Calibri" w:hAnsi="Calibri" w:cs="Calibri"/>
          <w:color w:val="1A1A1A"/>
          <w:sz w:val="28"/>
          <w:szCs w:val="28"/>
        </w:rPr>
        <w:t xml:space="preserve">Kevin Torf) </w:t>
      </w:r>
      <w:r>
        <w:rPr>
          <w:rFonts w:ascii="Calibri" w:hAnsi="Calibri" w:cs="Calibri"/>
          <w:color w:val="1A1A1A"/>
          <w:sz w:val="28"/>
          <w:szCs w:val="28"/>
        </w:rPr>
        <w:t xml:space="preserve">is powered by Base44's AI Agent system. The agent is configured with T2 Group's </w:t>
      </w:r>
      <w:r w:rsidR="00406D98">
        <w:rPr>
          <w:rFonts w:ascii="Calibri" w:hAnsi="Calibri" w:cs="Calibri"/>
          <w:color w:val="1A1A1A"/>
          <w:sz w:val="28"/>
          <w:szCs w:val="28"/>
        </w:rPr>
        <w:t>full-service</w:t>
      </w:r>
      <w:r>
        <w:rPr>
          <w:rFonts w:ascii="Calibri" w:hAnsi="Calibri" w:cs="Calibri"/>
          <w:color w:val="1A1A1A"/>
          <w:sz w:val="28"/>
          <w:szCs w:val="28"/>
        </w:rPr>
        <w:t xml:space="preserve"> catalog, team bios, case studies, and thought leadership content, enabling it to answer nuanced B2B questions with verified, on-brand accuracy. The agent is accessible on every page of the site via a persistent chat </w:t>
      </w:r>
      <w:proofErr w:type="gramStart"/>
      <w:r>
        <w:rPr>
          <w:rFonts w:ascii="Calibri" w:hAnsi="Calibri" w:cs="Calibri"/>
          <w:color w:val="1A1A1A"/>
          <w:sz w:val="28"/>
          <w:szCs w:val="28"/>
        </w:rPr>
        <w:t>widget, and</w:t>
      </w:r>
      <w:proofErr w:type="gramEnd"/>
      <w:r>
        <w:rPr>
          <w:rFonts w:ascii="Calibri" w:hAnsi="Calibri" w:cs="Calibri"/>
          <w:color w:val="1A1A1A"/>
          <w:sz w:val="28"/>
          <w:szCs w:val="28"/>
        </w:rPr>
        <w:t xml:space="preserve"> supports WhatsApp integration for off-site engagement.</w:t>
      </w:r>
    </w:p>
    <w:p w14:paraId="592FC8A6"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lastRenderedPageBreak/>
        <w:t>The Agent Count Calculator at t2group.com/flex/calculator is a custom React application built within Base44's frontend environment. It uses Erlang-C inspired staffing logic to compute agent headcount recommendations from user-supplied inputs (monthly call volume, average handle time, shift length, and efficiency factor), rendering real-time results without any backend call.</w:t>
      </w:r>
    </w:p>
    <w:p w14:paraId="19316046" w14:textId="083EB499"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 xml:space="preserve">What makes this execution notable is its origin: the site was conceived, architected, and launched by </w:t>
      </w:r>
      <w:r w:rsidR="00AF3F16">
        <w:rPr>
          <w:rFonts w:ascii="Calibri" w:hAnsi="Calibri" w:cs="Calibri"/>
          <w:color w:val="1A1A1A"/>
          <w:sz w:val="28"/>
          <w:szCs w:val="28"/>
        </w:rPr>
        <w:t xml:space="preserve">Dr. </w:t>
      </w:r>
      <w:r>
        <w:rPr>
          <w:rFonts w:ascii="Calibri" w:hAnsi="Calibri" w:cs="Calibri"/>
          <w:color w:val="1A1A1A"/>
          <w:sz w:val="28"/>
          <w:szCs w:val="28"/>
        </w:rPr>
        <w:t>Kevin Cooper, T2 Group's newly appointed Head of Marketing, within his first week on the job.</w:t>
      </w:r>
    </w:p>
    <w:p w14:paraId="16471A59" w14:textId="77777777" w:rsidR="007E47C3" w:rsidRDefault="007E47C3" w:rsidP="007E47C3">
      <w:pPr>
        <w:pStyle w:val="Heading3"/>
        <w:rPr>
          <w:rFonts w:ascii="Calibri" w:eastAsia="Times New Roman" w:hAnsi="Calibri" w:cs="Calibri"/>
          <w:color w:val="1A1A1A"/>
          <w:sz w:val="32"/>
          <w:szCs w:val="32"/>
        </w:rPr>
      </w:pPr>
      <w:r>
        <w:rPr>
          <w:rFonts w:ascii="Calibri" w:eastAsia="Times New Roman" w:hAnsi="Calibri" w:cs="Calibri"/>
          <w:color w:val="1A1A1A"/>
        </w:rPr>
        <w:t>Deployment Speed</w:t>
      </w:r>
    </w:p>
    <w:p w14:paraId="40CA95A9"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Total time from blank workspace to a fully live, SEO-optimized, multi-unit enterprise website: under 7 days.</w:t>
      </w:r>
    </w:p>
    <w:p w14:paraId="36DC3941" w14:textId="77777777" w:rsidR="007E47C3" w:rsidRDefault="007E47C3" w:rsidP="007E47C3">
      <w:pPr>
        <w:pStyle w:val="Heading2"/>
        <w:rPr>
          <w:rFonts w:ascii="Calibri" w:eastAsia="Times New Roman" w:hAnsi="Calibri" w:cs="Calibri"/>
          <w:color w:val="1A1A1A"/>
          <w:sz w:val="36"/>
          <w:szCs w:val="36"/>
        </w:rPr>
      </w:pPr>
      <w:r>
        <w:rPr>
          <w:rFonts w:ascii="Calibri" w:eastAsia="Times New Roman" w:hAnsi="Calibri" w:cs="Calibri"/>
          <w:color w:val="1A1A1A"/>
        </w:rPr>
        <w:t>04. Results</w:t>
      </w:r>
    </w:p>
    <w:p w14:paraId="398D49AE"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In its first full week live (Apr 2–8, 2026), t2group.com delivered dramatic year-over-year growth across every key metric, compared to the same 7-day window in 2025:</w:t>
      </w:r>
    </w:p>
    <w:tbl>
      <w:tblPr>
        <w:tblW w:w="5000" w:type="pct"/>
        <w:tblCellMar>
          <w:top w:w="15" w:type="dxa"/>
          <w:left w:w="15" w:type="dxa"/>
          <w:bottom w:w="15" w:type="dxa"/>
          <w:right w:w="15" w:type="dxa"/>
        </w:tblCellMar>
        <w:tblLook w:val="04A0" w:firstRow="1" w:lastRow="0" w:firstColumn="1" w:lastColumn="0" w:noHBand="0" w:noVBand="1"/>
      </w:tblPr>
      <w:tblGrid>
        <w:gridCol w:w="2091"/>
        <w:gridCol w:w="2523"/>
        <w:gridCol w:w="2523"/>
        <w:gridCol w:w="2207"/>
      </w:tblGrid>
      <w:tr w:rsidR="007E47C3" w14:paraId="5D6140DB" w14:textId="77777777" w:rsidTr="00DC1DA5">
        <w:tc>
          <w:tcPr>
            <w:tcW w:w="0" w:type="auto"/>
            <w:tcBorders>
              <w:top w:val="single" w:sz="6" w:space="0" w:color="CCCCCC"/>
              <w:left w:val="single" w:sz="6" w:space="0" w:color="CCCCCC"/>
              <w:bottom w:val="single" w:sz="6" w:space="0" w:color="CCCCCC"/>
              <w:right w:val="single" w:sz="6" w:space="0" w:color="CCCCCC"/>
            </w:tcBorders>
            <w:shd w:val="clear" w:color="auto" w:fill="F0F0F0"/>
            <w:tcMar>
              <w:top w:w="160" w:type="dxa"/>
              <w:left w:w="160" w:type="dxa"/>
              <w:bottom w:w="160" w:type="dxa"/>
              <w:right w:w="160" w:type="dxa"/>
            </w:tcMar>
            <w:vAlign w:val="center"/>
            <w:hideMark/>
          </w:tcPr>
          <w:p w14:paraId="7C507498" w14:textId="77777777" w:rsidR="007E47C3" w:rsidRDefault="007E47C3" w:rsidP="00DC1DA5">
            <w:pPr>
              <w:spacing w:after="280"/>
              <w:jc w:val="center"/>
              <w:rPr>
                <w:rFonts w:ascii="Calibri" w:eastAsia="Times New Roman" w:hAnsi="Calibri" w:cs="Calibri"/>
                <w:b/>
                <w:bCs/>
                <w:color w:val="1A1A1A"/>
                <w:sz w:val="26"/>
                <w:szCs w:val="26"/>
              </w:rPr>
            </w:pPr>
            <w:r>
              <w:rPr>
                <w:rFonts w:ascii="Calibri" w:eastAsia="Times New Roman" w:hAnsi="Calibri" w:cs="Calibri"/>
                <w:b/>
                <w:bCs/>
                <w:color w:val="1A1A1A"/>
                <w:sz w:val="26"/>
                <w:szCs w:val="26"/>
              </w:rPr>
              <w:t>Metric</w:t>
            </w:r>
          </w:p>
        </w:tc>
        <w:tc>
          <w:tcPr>
            <w:tcW w:w="0" w:type="auto"/>
            <w:tcBorders>
              <w:top w:val="single" w:sz="6" w:space="0" w:color="CCCCCC"/>
              <w:left w:val="single" w:sz="6" w:space="0" w:color="CCCCCC"/>
              <w:bottom w:val="single" w:sz="6" w:space="0" w:color="CCCCCC"/>
              <w:right w:val="single" w:sz="6" w:space="0" w:color="CCCCCC"/>
            </w:tcBorders>
            <w:shd w:val="clear" w:color="auto" w:fill="F0F0F0"/>
            <w:tcMar>
              <w:top w:w="160" w:type="dxa"/>
              <w:left w:w="160" w:type="dxa"/>
              <w:bottom w:w="160" w:type="dxa"/>
              <w:right w:w="160" w:type="dxa"/>
            </w:tcMar>
            <w:vAlign w:val="center"/>
            <w:hideMark/>
          </w:tcPr>
          <w:p w14:paraId="3595EA00" w14:textId="77777777" w:rsidR="007E47C3" w:rsidRDefault="007E47C3" w:rsidP="00DC1DA5">
            <w:pPr>
              <w:spacing w:after="280"/>
              <w:jc w:val="center"/>
              <w:rPr>
                <w:rFonts w:ascii="Calibri" w:eastAsia="Times New Roman" w:hAnsi="Calibri" w:cs="Calibri"/>
                <w:b/>
                <w:bCs/>
                <w:color w:val="1A1A1A"/>
                <w:sz w:val="26"/>
                <w:szCs w:val="26"/>
              </w:rPr>
            </w:pPr>
            <w:r>
              <w:rPr>
                <w:rFonts w:ascii="Calibri" w:eastAsia="Times New Roman" w:hAnsi="Calibri" w:cs="Calibri"/>
                <w:b/>
                <w:bCs/>
                <w:color w:val="1A1A1A"/>
                <w:sz w:val="26"/>
                <w:szCs w:val="26"/>
              </w:rPr>
              <w:t>Apr 2–8, 2026</w:t>
            </w:r>
          </w:p>
        </w:tc>
        <w:tc>
          <w:tcPr>
            <w:tcW w:w="0" w:type="auto"/>
            <w:tcBorders>
              <w:top w:val="single" w:sz="6" w:space="0" w:color="CCCCCC"/>
              <w:left w:val="single" w:sz="6" w:space="0" w:color="CCCCCC"/>
              <w:bottom w:val="single" w:sz="6" w:space="0" w:color="CCCCCC"/>
              <w:right w:val="single" w:sz="6" w:space="0" w:color="CCCCCC"/>
            </w:tcBorders>
            <w:shd w:val="clear" w:color="auto" w:fill="F0F0F0"/>
            <w:tcMar>
              <w:top w:w="160" w:type="dxa"/>
              <w:left w:w="160" w:type="dxa"/>
              <w:bottom w:w="160" w:type="dxa"/>
              <w:right w:w="160" w:type="dxa"/>
            </w:tcMar>
            <w:vAlign w:val="center"/>
            <w:hideMark/>
          </w:tcPr>
          <w:p w14:paraId="533EC25D" w14:textId="77777777" w:rsidR="007E47C3" w:rsidRDefault="007E47C3" w:rsidP="00DC1DA5">
            <w:pPr>
              <w:spacing w:after="280"/>
              <w:jc w:val="center"/>
              <w:rPr>
                <w:rFonts w:ascii="Calibri" w:eastAsia="Times New Roman" w:hAnsi="Calibri" w:cs="Calibri"/>
                <w:b/>
                <w:bCs/>
                <w:color w:val="1A1A1A"/>
                <w:sz w:val="26"/>
                <w:szCs w:val="26"/>
              </w:rPr>
            </w:pPr>
            <w:r>
              <w:rPr>
                <w:rFonts w:ascii="Calibri" w:eastAsia="Times New Roman" w:hAnsi="Calibri" w:cs="Calibri"/>
                <w:b/>
                <w:bCs/>
                <w:color w:val="1A1A1A"/>
                <w:sz w:val="26"/>
                <w:szCs w:val="26"/>
              </w:rPr>
              <w:t>Apr 2–8, 2025</w:t>
            </w:r>
          </w:p>
        </w:tc>
        <w:tc>
          <w:tcPr>
            <w:tcW w:w="0" w:type="auto"/>
            <w:tcBorders>
              <w:top w:val="single" w:sz="6" w:space="0" w:color="CCCCCC"/>
              <w:left w:val="single" w:sz="6" w:space="0" w:color="CCCCCC"/>
              <w:bottom w:val="single" w:sz="6" w:space="0" w:color="CCCCCC"/>
              <w:right w:val="single" w:sz="6" w:space="0" w:color="CCCCCC"/>
            </w:tcBorders>
            <w:shd w:val="clear" w:color="auto" w:fill="F0F0F0"/>
            <w:tcMar>
              <w:top w:w="160" w:type="dxa"/>
              <w:left w:w="160" w:type="dxa"/>
              <w:bottom w:w="160" w:type="dxa"/>
              <w:right w:w="160" w:type="dxa"/>
            </w:tcMar>
            <w:vAlign w:val="center"/>
            <w:hideMark/>
          </w:tcPr>
          <w:p w14:paraId="29B344C0" w14:textId="77777777" w:rsidR="007E47C3" w:rsidRDefault="007E47C3" w:rsidP="00DC1DA5">
            <w:pPr>
              <w:spacing w:after="280"/>
              <w:jc w:val="center"/>
              <w:rPr>
                <w:rFonts w:ascii="Calibri" w:eastAsia="Times New Roman" w:hAnsi="Calibri" w:cs="Calibri"/>
                <w:b/>
                <w:bCs/>
                <w:color w:val="1A1A1A"/>
                <w:sz w:val="26"/>
                <w:szCs w:val="26"/>
              </w:rPr>
            </w:pPr>
            <w:r>
              <w:rPr>
                <w:rFonts w:ascii="Calibri" w:eastAsia="Times New Roman" w:hAnsi="Calibri" w:cs="Calibri"/>
                <w:b/>
                <w:bCs/>
                <w:color w:val="1A1A1A"/>
                <w:sz w:val="26"/>
                <w:szCs w:val="26"/>
              </w:rPr>
              <w:t>YoY Change</w:t>
            </w:r>
          </w:p>
        </w:tc>
      </w:tr>
      <w:tr w:rsidR="007E47C3" w14:paraId="2BE44F14" w14:textId="77777777" w:rsidTr="00DC1DA5">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7701F9DB"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Total Users</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21DB40C5"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1,335</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735082EE"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576</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72BBDB98" w14:textId="77777777" w:rsidR="007E47C3" w:rsidRDefault="007E47C3" w:rsidP="00DC1DA5">
            <w:pPr>
              <w:spacing w:after="280"/>
              <w:rPr>
                <w:rFonts w:ascii="Calibri" w:eastAsia="Times New Roman" w:hAnsi="Calibri" w:cs="Calibri"/>
                <w:b/>
                <w:bCs/>
                <w:color w:val="1A1A1A"/>
                <w:sz w:val="26"/>
                <w:szCs w:val="26"/>
              </w:rPr>
            </w:pPr>
            <w:r>
              <w:rPr>
                <w:rFonts w:ascii="Calibri" w:eastAsia="Times New Roman" w:hAnsi="Calibri" w:cs="Calibri"/>
                <w:b/>
                <w:bCs/>
                <w:color w:val="1A1A1A"/>
                <w:sz w:val="26"/>
                <w:szCs w:val="26"/>
              </w:rPr>
              <w:t>+131.77%</w:t>
            </w:r>
          </w:p>
        </w:tc>
      </w:tr>
      <w:tr w:rsidR="007E47C3" w14:paraId="281A8187" w14:textId="77777777" w:rsidTr="00DC1DA5">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70BA8BA7"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New Users</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3F8C7A42"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1,314</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0B3B01BC"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550</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71BE2EE8" w14:textId="77777777" w:rsidR="007E47C3" w:rsidRDefault="007E47C3" w:rsidP="00DC1DA5">
            <w:pPr>
              <w:spacing w:after="280"/>
              <w:rPr>
                <w:rFonts w:ascii="Calibri" w:eastAsia="Times New Roman" w:hAnsi="Calibri" w:cs="Calibri"/>
                <w:b/>
                <w:bCs/>
                <w:color w:val="1A1A1A"/>
                <w:sz w:val="26"/>
                <w:szCs w:val="26"/>
              </w:rPr>
            </w:pPr>
            <w:r>
              <w:rPr>
                <w:rFonts w:ascii="Calibri" w:eastAsia="Times New Roman" w:hAnsi="Calibri" w:cs="Calibri"/>
                <w:b/>
                <w:bCs/>
                <w:color w:val="1A1A1A"/>
                <w:sz w:val="26"/>
                <w:szCs w:val="26"/>
              </w:rPr>
              <w:t>+138.91%</w:t>
            </w:r>
          </w:p>
        </w:tc>
      </w:tr>
      <w:tr w:rsidR="007E47C3" w14:paraId="4847D260" w14:textId="77777777" w:rsidTr="00DC1DA5">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1BE7ECA4"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Sessions</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2B6E05D4"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1,437</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36E25CF9"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540</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251596D3" w14:textId="77777777" w:rsidR="007E47C3" w:rsidRDefault="007E47C3" w:rsidP="00DC1DA5">
            <w:pPr>
              <w:spacing w:after="280"/>
              <w:rPr>
                <w:rFonts w:ascii="Calibri" w:eastAsia="Times New Roman" w:hAnsi="Calibri" w:cs="Calibri"/>
                <w:b/>
                <w:bCs/>
                <w:color w:val="1A1A1A"/>
                <w:sz w:val="26"/>
                <w:szCs w:val="26"/>
              </w:rPr>
            </w:pPr>
            <w:r>
              <w:rPr>
                <w:rFonts w:ascii="Calibri" w:eastAsia="Times New Roman" w:hAnsi="Calibri" w:cs="Calibri"/>
                <w:b/>
                <w:bCs/>
                <w:color w:val="1A1A1A"/>
                <w:sz w:val="26"/>
                <w:szCs w:val="26"/>
              </w:rPr>
              <w:t>+166.11%</w:t>
            </w:r>
          </w:p>
        </w:tc>
      </w:tr>
    </w:tbl>
    <w:p w14:paraId="065E8FC9" w14:textId="77777777" w:rsidR="007E47C3" w:rsidRDefault="007E47C3" w:rsidP="007E47C3">
      <w:pPr>
        <w:pStyle w:val="Heading3"/>
        <w:rPr>
          <w:rFonts w:ascii="Calibri" w:eastAsia="Times New Roman" w:hAnsi="Calibri" w:cs="Calibri"/>
          <w:b/>
          <w:bCs/>
          <w:color w:val="1A1A1A"/>
          <w:sz w:val="32"/>
          <w:szCs w:val="32"/>
        </w:rPr>
      </w:pPr>
      <w:r>
        <w:rPr>
          <w:rFonts w:ascii="Calibri" w:eastAsia="Times New Roman" w:hAnsi="Calibri" w:cs="Calibri"/>
          <w:color w:val="1A1A1A"/>
        </w:rPr>
        <w:t>Top Pages by Views (Apr 2–8, 2026)</w:t>
      </w:r>
    </w:p>
    <w:tbl>
      <w:tblPr>
        <w:tblW w:w="5000" w:type="pct"/>
        <w:tblCellMar>
          <w:top w:w="15" w:type="dxa"/>
          <w:left w:w="15" w:type="dxa"/>
          <w:bottom w:w="15" w:type="dxa"/>
          <w:right w:w="15" w:type="dxa"/>
        </w:tblCellMar>
        <w:tblLook w:val="04A0" w:firstRow="1" w:lastRow="0" w:firstColumn="1" w:lastColumn="0" w:noHBand="0" w:noVBand="1"/>
      </w:tblPr>
      <w:tblGrid>
        <w:gridCol w:w="805"/>
        <w:gridCol w:w="6819"/>
        <w:gridCol w:w="1720"/>
      </w:tblGrid>
      <w:tr w:rsidR="007E47C3" w14:paraId="5819B6BF" w14:textId="77777777" w:rsidTr="00DC1DA5">
        <w:tc>
          <w:tcPr>
            <w:tcW w:w="0" w:type="auto"/>
            <w:tcBorders>
              <w:top w:val="single" w:sz="6" w:space="0" w:color="CCCCCC"/>
              <w:left w:val="single" w:sz="6" w:space="0" w:color="CCCCCC"/>
              <w:bottom w:val="single" w:sz="6" w:space="0" w:color="CCCCCC"/>
              <w:right w:val="single" w:sz="6" w:space="0" w:color="CCCCCC"/>
            </w:tcBorders>
            <w:shd w:val="clear" w:color="auto" w:fill="F0F0F0"/>
            <w:tcMar>
              <w:top w:w="160" w:type="dxa"/>
              <w:left w:w="160" w:type="dxa"/>
              <w:bottom w:w="160" w:type="dxa"/>
              <w:right w:w="160" w:type="dxa"/>
            </w:tcMar>
            <w:vAlign w:val="center"/>
            <w:hideMark/>
          </w:tcPr>
          <w:p w14:paraId="74BEBC80" w14:textId="77777777" w:rsidR="007E47C3" w:rsidRDefault="007E47C3" w:rsidP="00DC1DA5">
            <w:pPr>
              <w:spacing w:after="280"/>
              <w:jc w:val="center"/>
              <w:rPr>
                <w:rFonts w:ascii="Calibri" w:eastAsia="Times New Roman" w:hAnsi="Calibri" w:cs="Calibri"/>
                <w:b/>
                <w:bCs/>
                <w:color w:val="1A1A1A"/>
                <w:sz w:val="26"/>
                <w:szCs w:val="26"/>
              </w:rPr>
            </w:pPr>
            <w:r>
              <w:rPr>
                <w:rFonts w:ascii="Calibri" w:eastAsia="Times New Roman" w:hAnsi="Calibri" w:cs="Calibri"/>
                <w:b/>
                <w:bCs/>
                <w:color w:val="1A1A1A"/>
                <w:sz w:val="26"/>
                <w:szCs w:val="26"/>
              </w:rPr>
              <w:t>#</w:t>
            </w:r>
          </w:p>
        </w:tc>
        <w:tc>
          <w:tcPr>
            <w:tcW w:w="0" w:type="auto"/>
            <w:tcBorders>
              <w:top w:val="single" w:sz="6" w:space="0" w:color="CCCCCC"/>
              <w:left w:val="single" w:sz="6" w:space="0" w:color="CCCCCC"/>
              <w:bottom w:val="single" w:sz="6" w:space="0" w:color="CCCCCC"/>
              <w:right w:val="single" w:sz="6" w:space="0" w:color="CCCCCC"/>
            </w:tcBorders>
            <w:shd w:val="clear" w:color="auto" w:fill="F0F0F0"/>
            <w:tcMar>
              <w:top w:w="160" w:type="dxa"/>
              <w:left w:w="160" w:type="dxa"/>
              <w:bottom w:w="160" w:type="dxa"/>
              <w:right w:w="160" w:type="dxa"/>
            </w:tcMar>
            <w:vAlign w:val="center"/>
            <w:hideMark/>
          </w:tcPr>
          <w:p w14:paraId="54527A54" w14:textId="77777777" w:rsidR="007E47C3" w:rsidRDefault="007E47C3" w:rsidP="00DC1DA5">
            <w:pPr>
              <w:spacing w:after="280"/>
              <w:jc w:val="center"/>
              <w:rPr>
                <w:rFonts w:ascii="Calibri" w:eastAsia="Times New Roman" w:hAnsi="Calibri" w:cs="Calibri"/>
                <w:b/>
                <w:bCs/>
                <w:color w:val="1A1A1A"/>
                <w:sz w:val="26"/>
                <w:szCs w:val="26"/>
              </w:rPr>
            </w:pPr>
            <w:r>
              <w:rPr>
                <w:rFonts w:ascii="Calibri" w:eastAsia="Times New Roman" w:hAnsi="Calibri" w:cs="Calibri"/>
                <w:b/>
                <w:bCs/>
                <w:color w:val="1A1A1A"/>
                <w:sz w:val="26"/>
                <w:szCs w:val="26"/>
              </w:rPr>
              <w:t>Page</w:t>
            </w:r>
          </w:p>
        </w:tc>
        <w:tc>
          <w:tcPr>
            <w:tcW w:w="0" w:type="auto"/>
            <w:tcBorders>
              <w:top w:val="single" w:sz="6" w:space="0" w:color="CCCCCC"/>
              <w:left w:val="single" w:sz="6" w:space="0" w:color="CCCCCC"/>
              <w:bottom w:val="single" w:sz="6" w:space="0" w:color="CCCCCC"/>
              <w:right w:val="single" w:sz="6" w:space="0" w:color="CCCCCC"/>
            </w:tcBorders>
            <w:shd w:val="clear" w:color="auto" w:fill="F0F0F0"/>
            <w:tcMar>
              <w:top w:w="160" w:type="dxa"/>
              <w:left w:w="160" w:type="dxa"/>
              <w:bottom w:w="160" w:type="dxa"/>
              <w:right w:w="160" w:type="dxa"/>
            </w:tcMar>
            <w:vAlign w:val="center"/>
            <w:hideMark/>
          </w:tcPr>
          <w:p w14:paraId="7B2BBDB5" w14:textId="77777777" w:rsidR="007E47C3" w:rsidRDefault="007E47C3" w:rsidP="00DC1DA5">
            <w:pPr>
              <w:spacing w:after="280"/>
              <w:jc w:val="center"/>
              <w:rPr>
                <w:rFonts w:ascii="Calibri" w:eastAsia="Times New Roman" w:hAnsi="Calibri" w:cs="Calibri"/>
                <w:b/>
                <w:bCs/>
                <w:color w:val="1A1A1A"/>
                <w:sz w:val="26"/>
                <w:szCs w:val="26"/>
              </w:rPr>
            </w:pPr>
            <w:r>
              <w:rPr>
                <w:rFonts w:ascii="Calibri" w:eastAsia="Times New Roman" w:hAnsi="Calibri" w:cs="Calibri"/>
                <w:b/>
                <w:bCs/>
                <w:color w:val="1A1A1A"/>
                <w:sz w:val="26"/>
                <w:szCs w:val="26"/>
              </w:rPr>
              <w:t>Views</w:t>
            </w:r>
          </w:p>
        </w:tc>
      </w:tr>
      <w:tr w:rsidR="007E47C3" w14:paraId="33AF830D" w14:textId="77777777" w:rsidTr="00DC1DA5">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6D84B019"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lastRenderedPageBreak/>
              <w:t>1</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1664B2CF"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patient-access | T2 Group</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302C6F1D"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983</w:t>
            </w:r>
          </w:p>
        </w:tc>
      </w:tr>
      <w:tr w:rsidR="007E47C3" w14:paraId="7FCFBDA1" w14:textId="77777777" w:rsidTr="00DC1DA5">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6F43698E"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2</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083552A4"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T2 Group (homepage)</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00B02032"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391</w:t>
            </w:r>
          </w:p>
        </w:tc>
      </w:tr>
      <w:tr w:rsidR="007E47C3" w14:paraId="7B2C1B56" w14:textId="77777777" w:rsidTr="00DC1DA5">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5FAAD4C8"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3</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37B1D54C"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Patient Access &amp; Contact Centers</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3C5099E1"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173</w:t>
            </w:r>
          </w:p>
        </w:tc>
      </w:tr>
      <w:tr w:rsidR="007E47C3" w14:paraId="0D27282E" w14:textId="77777777" w:rsidTr="00DC1DA5">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6621A0D6"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4</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33240F7B"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flex | T2 Group</w:t>
            </w:r>
          </w:p>
        </w:tc>
        <w:tc>
          <w:tcPr>
            <w:tcW w:w="0" w:type="auto"/>
            <w:tcBorders>
              <w:top w:val="single" w:sz="6" w:space="0" w:color="CCCCCC"/>
              <w:left w:val="single" w:sz="6" w:space="0" w:color="CCCCCC"/>
              <w:bottom w:val="single" w:sz="6" w:space="0" w:color="CCCCCC"/>
              <w:right w:val="single" w:sz="6" w:space="0" w:color="CCCCCC"/>
            </w:tcBorders>
            <w:tcMar>
              <w:top w:w="160" w:type="dxa"/>
              <w:left w:w="160" w:type="dxa"/>
              <w:bottom w:w="160" w:type="dxa"/>
              <w:right w:w="160" w:type="dxa"/>
            </w:tcMar>
            <w:vAlign w:val="center"/>
            <w:hideMark/>
          </w:tcPr>
          <w:p w14:paraId="09729E14" w14:textId="77777777" w:rsidR="007E47C3" w:rsidRDefault="007E47C3" w:rsidP="00DC1DA5">
            <w:pPr>
              <w:spacing w:after="280"/>
              <w:rPr>
                <w:rFonts w:ascii="Calibri" w:eastAsia="Times New Roman" w:hAnsi="Calibri" w:cs="Calibri"/>
                <w:color w:val="1A1A1A"/>
                <w:sz w:val="26"/>
                <w:szCs w:val="26"/>
              </w:rPr>
            </w:pPr>
            <w:r>
              <w:rPr>
                <w:rFonts w:ascii="Calibri" w:eastAsia="Times New Roman" w:hAnsi="Calibri" w:cs="Calibri"/>
                <w:color w:val="1A1A1A"/>
                <w:sz w:val="26"/>
                <w:szCs w:val="26"/>
              </w:rPr>
              <w:t>108</w:t>
            </w:r>
          </w:p>
        </w:tc>
      </w:tr>
    </w:tbl>
    <w:p w14:paraId="323D280E"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Traffic arrived through a healthy mix of direct, email, organic search, and referral channels. All three headline metrics (users, new users, sessions) more than doubled year over year.</w:t>
      </w:r>
    </w:p>
    <w:p w14:paraId="6F367587"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The site contains: 107 routed pages; 6 custom backend functions; and 1 active AI agent ("Ask Kevin") available 24/7 on every page.</w:t>
      </w:r>
    </w:p>
    <w:p w14:paraId="1747B115" w14:textId="77777777" w:rsidR="007E47C3" w:rsidRDefault="007E47C3" w:rsidP="007E47C3">
      <w:pPr>
        <w:pStyle w:val="Heading2"/>
        <w:rPr>
          <w:rFonts w:ascii="Calibri" w:eastAsia="Times New Roman" w:hAnsi="Calibri" w:cs="Calibri"/>
          <w:color w:val="1A1A1A"/>
          <w:sz w:val="36"/>
          <w:szCs w:val="36"/>
        </w:rPr>
      </w:pPr>
      <w:r>
        <w:rPr>
          <w:rFonts w:ascii="Calibri" w:eastAsia="Times New Roman" w:hAnsi="Calibri" w:cs="Calibri"/>
          <w:color w:val="1A1A1A"/>
        </w:rPr>
        <w:t>05. Why This Entry Deserves Recognition</w:t>
      </w:r>
    </w:p>
    <w:p w14:paraId="346141D4" w14:textId="03CC2AC1"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 xml:space="preserve">T2 Group did not add AI to its </w:t>
      </w:r>
      <w:proofErr w:type="gramStart"/>
      <w:r>
        <w:rPr>
          <w:rFonts w:ascii="Calibri" w:hAnsi="Calibri" w:cs="Calibri"/>
          <w:color w:val="1A1A1A"/>
          <w:sz w:val="28"/>
          <w:szCs w:val="28"/>
        </w:rPr>
        <w:t>marketing</w:t>
      </w:r>
      <w:r w:rsidR="000067C0">
        <w:rPr>
          <w:rFonts w:ascii="Calibri" w:hAnsi="Calibri" w:cs="Calibri"/>
          <w:color w:val="1A1A1A"/>
          <w:sz w:val="28"/>
          <w:szCs w:val="28"/>
        </w:rPr>
        <w:t>,</w:t>
      </w:r>
      <w:proofErr w:type="gramEnd"/>
      <w:r>
        <w:rPr>
          <w:rFonts w:ascii="Calibri" w:hAnsi="Calibri" w:cs="Calibri"/>
          <w:color w:val="1A1A1A"/>
          <w:sz w:val="28"/>
          <w:szCs w:val="28"/>
        </w:rPr>
        <w:t xml:space="preserve"> it built its marketing with AI. The site is a proof of concept in miniature: a healthcare IT firm that advises health systems on AI adoption used that same conviction to rebuild how it presents itself to the world.</w:t>
      </w:r>
    </w:p>
    <w:p w14:paraId="12273BA2" w14:textId="3B073ADF"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The knowledge graph chatbot and Agent Count Calculator are not cosmetic features. They are functional tools that reduce real friction in a high-consideration B2B buying process. And the early data validates the approach: 132% more users, 139% more new visitors, and 166% more sessions year over year</w:t>
      </w:r>
      <w:r w:rsidR="00A371AF">
        <w:rPr>
          <w:rFonts w:ascii="Calibri" w:hAnsi="Calibri" w:cs="Calibri"/>
          <w:color w:val="1A1A1A"/>
          <w:sz w:val="28"/>
          <w:szCs w:val="28"/>
        </w:rPr>
        <w:t>,</w:t>
      </w:r>
      <w:r>
        <w:rPr>
          <w:rFonts w:ascii="Calibri" w:hAnsi="Calibri" w:cs="Calibri"/>
          <w:color w:val="1A1A1A"/>
          <w:sz w:val="28"/>
          <w:szCs w:val="28"/>
        </w:rPr>
        <w:t xml:space="preserve"> in the site's very first full week live (launched March 31, 2026).</w:t>
      </w:r>
    </w:p>
    <w:p w14:paraId="0627729F"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For a small business operating in a competitive healthcare IT market, this level of AI-native digital execution is rare. The entry is also a human story: a new marketing leader, armed with AI tools and a clear vision, built something meaningful in his first week on the job. That is what modern healthcare marketing looks like.</w:t>
      </w:r>
    </w:p>
    <w:p w14:paraId="3264FD27" w14:textId="77777777" w:rsidR="007E47C3" w:rsidRDefault="007E47C3" w:rsidP="007E47C3">
      <w:pPr>
        <w:pStyle w:val="Heading3"/>
        <w:rPr>
          <w:rFonts w:ascii="Calibri" w:eastAsia="Times New Roman" w:hAnsi="Calibri" w:cs="Calibri"/>
          <w:color w:val="1A1A1A"/>
          <w:sz w:val="32"/>
          <w:szCs w:val="32"/>
        </w:rPr>
      </w:pPr>
      <w:r>
        <w:rPr>
          <w:rFonts w:ascii="Calibri" w:eastAsia="Times New Roman" w:hAnsi="Calibri" w:cs="Calibri"/>
          <w:color w:val="1A1A1A"/>
        </w:rPr>
        <w:lastRenderedPageBreak/>
        <w:t>Strategic Differentiation</w:t>
      </w:r>
    </w:p>
    <w:p w14:paraId="67508E44"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The platform underpinning this work, Base44, represents a new category of AI-native development tooling that enables non-engineers to build and deploy production-grade web applications at enterprise scale. T2 Group's adoption of Base44 as its primary digital infrastructure is itself a strategic signal: the same firm that guides health systems through technology transformation chose an AI-first platform to run its own digital operations.</w:t>
      </w:r>
    </w:p>
    <w:p w14:paraId="186EC363" w14:textId="77777777" w:rsidR="007E47C3" w:rsidRDefault="007E47C3" w:rsidP="007E47C3">
      <w:pPr>
        <w:pStyle w:val="Heading2"/>
        <w:rPr>
          <w:rFonts w:ascii="Calibri" w:eastAsia="Times New Roman" w:hAnsi="Calibri" w:cs="Calibri"/>
          <w:color w:val="1A1A1A"/>
          <w:sz w:val="36"/>
          <w:szCs w:val="36"/>
        </w:rPr>
      </w:pPr>
      <w:r>
        <w:rPr>
          <w:rFonts w:ascii="Calibri" w:eastAsia="Times New Roman" w:hAnsi="Calibri" w:cs="Calibri"/>
          <w:color w:val="1A1A1A"/>
        </w:rPr>
        <w:t>Supporting Links</w:t>
      </w:r>
    </w:p>
    <w:p w14:paraId="6C4A6A07"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 xml:space="preserve">Live award submission page: </w:t>
      </w:r>
      <w:hyperlink r:id="rId5" w:history="1">
        <w:r>
          <w:rPr>
            <w:rStyle w:val="Hyperlink"/>
            <w:rFonts w:ascii="Calibri" w:hAnsi="Calibri" w:cs="Calibri"/>
            <w:sz w:val="28"/>
            <w:szCs w:val="28"/>
          </w:rPr>
          <w:t>t2group.com/awards-submission</w:t>
        </w:r>
      </w:hyperlink>
    </w:p>
    <w:p w14:paraId="7DD2902A"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 xml:space="preserve">Agent Count Calculator: </w:t>
      </w:r>
      <w:hyperlink r:id="rId6" w:history="1">
        <w:r>
          <w:rPr>
            <w:rStyle w:val="Hyperlink"/>
            <w:rFonts w:ascii="Calibri" w:hAnsi="Calibri" w:cs="Calibri"/>
            <w:sz w:val="28"/>
            <w:szCs w:val="28"/>
          </w:rPr>
          <w:t>t2group.com/flex/calculator</w:t>
        </w:r>
      </w:hyperlink>
    </w:p>
    <w:p w14:paraId="11F1A49B" w14:textId="77777777" w:rsidR="007E47C3" w:rsidRDefault="007E47C3" w:rsidP="007E47C3">
      <w:pPr>
        <w:pStyle w:val="NormalWeb"/>
        <w:rPr>
          <w:rFonts w:ascii="Calibri" w:hAnsi="Calibri" w:cs="Calibri"/>
          <w:color w:val="1A1A1A"/>
          <w:sz w:val="28"/>
          <w:szCs w:val="28"/>
        </w:rPr>
      </w:pPr>
      <w:r>
        <w:rPr>
          <w:rFonts w:ascii="Calibri" w:hAnsi="Calibri" w:cs="Calibri"/>
          <w:color w:val="1A1A1A"/>
          <w:sz w:val="28"/>
          <w:szCs w:val="28"/>
        </w:rPr>
        <w:t xml:space="preserve">Main website: </w:t>
      </w:r>
      <w:hyperlink r:id="rId7" w:history="1">
        <w:r>
          <w:rPr>
            <w:rStyle w:val="Hyperlink"/>
            <w:rFonts w:ascii="Calibri" w:hAnsi="Calibri" w:cs="Calibri"/>
            <w:sz w:val="28"/>
            <w:szCs w:val="28"/>
          </w:rPr>
          <w:t>t2group.com</w:t>
        </w:r>
      </w:hyperlink>
    </w:p>
    <w:p w14:paraId="7053BCE3" w14:textId="77777777" w:rsidR="007E47C3" w:rsidRDefault="007E47C3"/>
    <w:sectPr w:rsidR="007E47C3" w:rsidSect="007E47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7C3"/>
    <w:rsid w:val="000067C0"/>
    <w:rsid w:val="00221C51"/>
    <w:rsid w:val="00406D98"/>
    <w:rsid w:val="006D21ED"/>
    <w:rsid w:val="007E47C3"/>
    <w:rsid w:val="0094207E"/>
    <w:rsid w:val="00A371AF"/>
    <w:rsid w:val="00AB287C"/>
    <w:rsid w:val="00AF3F16"/>
    <w:rsid w:val="00B71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38CA44"/>
  <w15:chartTrackingRefBased/>
  <w15:docId w15:val="{66CE904F-45E4-0241-87AF-885F72DEE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7C3"/>
    <w:pPr>
      <w:spacing w:after="0" w:line="240" w:lineRule="auto"/>
    </w:pPr>
    <w:rPr>
      <w:rFonts w:ascii="Times New Roman" w:eastAsiaTheme="minorEastAsia" w:hAnsi="Times New Roman" w:cs="Times New Roman"/>
      <w:kern w:val="0"/>
      <w14:ligatures w14:val="none"/>
    </w:rPr>
  </w:style>
  <w:style w:type="paragraph" w:styleId="Heading1">
    <w:name w:val="heading 1"/>
    <w:basedOn w:val="Normal"/>
    <w:next w:val="Normal"/>
    <w:link w:val="Heading1Char"/>
    <w:uiPriority w:val="9"/>
    <w:qFormat/>
    <w:rsid w:val="007E47C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7E47C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7E47C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E47C3"/>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E47C3"/>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E47C3"/>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E47C3"/>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E47C3"/>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E47C3"/>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7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47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47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47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47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47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7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7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7C3"/>
    <w:rPr>
      <w:rFonts w:eastAsiaTheme="majorEastAsia" w:cstheme="majorBidi"/>
      <w:color w:val="272727" w:themeColor="text1" w:themeTint="D8"/>
    </w:rPr>
  </w:style>
  <w:style w:type="paragraph" w:styleId="Title">
    <w:name w:val="Title"/>
    <w:basedOn w:val="Normal"/>
    <w:next w:val="Normal"/>
    <w:link w:val="TitleChar"/>
    <w:uiPriority w:val="10"/>
    <w:qFormat/>
    <w:rsid w:val="007E47C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E47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7C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E47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7C3"/>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7E47C3"/>
    <w:rPr>
      <w:i/>
      <w:iCs/>
      <w:color w:val="404040" w:themeColor="text1" w:themeTint="BF"/>
    </w:rPr>
  </w:style>
  <w:style w:type="paragraph" w:styleId="ListParagraph">
    <w:name w:val="List Paragraph"/>
    <w:basedOn w:val="Normal"/>
    <w:uiPriority w:val="34"/>
    <w:qFormat/>
    <w:rsid w:val="007E47C3"/>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7E47C3"/>
    <w:rPr>
      <w:i/>
      <w:iCs/>
      <w:color w:val="0F4761" w:themeColor="accent1" w:themeShade="BF"/>
    </w:rPr>
  </w:style>
  <w:style w:type="paragraph" w:styleId="IntenseQuote">
    <w:name w:val="Intense Quote"/>
    <w:basedOn w:val="Normal"/>
    <w:next w:val="Normal"/>
    <w:link w:val="IntenseQuoteChar"/>
    <w:uiPriority w:val="30"/>
    <w:qFormat/>
    <w:rsid w:val="007E47C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E47C3"/>
    <w:rPr>
      <w:i/>
      <w:iCs/>
      <w:color w:val="0F4761" w:themeColor="accent1" w:themeShade="BF"/>
    </w:rPr>
  </w:style>
  <w:style w:type="character" w:styleId="IntenseReference">
    <w:name w:val="Intense Reference"/>
    <w:basedOn w:val="DefaultParagraphFont"/>
    <w:uiPriority w:val="32"/>
    <w:qFormat/>
    <w:rsid w:val="007E47C3"/>
    <w:rPr>
      <w:b/>
      <w:bCs/>
      <w:smallCaps/>
      <w:color w:val="0F4761" w:themeColor="accent1" w:themeShade="BF"/>
      <w:spacing w:val="5"/>
    </w:rPr>
  </w:style>
  <w:style w:type="character" w:styleId="Hyperlink">
    <w:name w:val="Hyperlink"/>
    <w:basedOn w:val="DefaultParagraphFont"/>
    <w:uiPriority w:val="99"/>
    <w:semiHidden/>
    <w:unhideWhenUsed/>
    <w:rsid w:val="007E47C3"/>
    <w:rPr>
      <w:color w:val="2563EB"/>
      <w:u w:val="single"/>
    </w:rPr>
  </w:style>
  <w:style w:type="paragraph" w:styleId="NormalWeb">
    <w:name w:val="Normal (Web)"/>
    <w:basedOn w:val="Normal"/>
    <w:uiPriority w:val="99"/>
    <w:semiHidden/>
    <w:unhideWhenUsed/>
    <w:rsid w:val="007E47C3"/>
    <w:pPr>
      <w:spacing w:before="100" w:beforeAutospacing="1" w:after="200"/>
    </w:pPr>
  </w:style>
  <w:style w:type="paragraph" w:customStyle="1" w:styleId="badge">
    <w:name w:val="badge"/>
    <w:basedOn w:val="Normal"/>
    <w:rsid w:val="007E47C3"/>
    <w:pPr>
      <w:spacing w:before="100" w:beforeAutospacing="1" w:after="100" w:afterAutospacing="1"/>
    </w:pPr>
    <w:rPr>
      <w:color w:val="555555"/>
    </w:rPr>
  </w:style>
  <w:style w:type="character" w:styleId="Strong">
    <w:name w:val="Strong"/>
    <w:basedOn w:val="DefaultParagraphFont"/>
    <w:uiPriority w:val="22"/>
    <w:qFormat/>
    <w:rsid w:val="007E47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2group.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2group.com/flex/calculator" TargetMode="External"/><Relationship Id="rId5" Type="http://schemas.openxmlformats.org/officeDocument/2006/relationships/hyperlink" Target="https://t2group.com/awards-submission" TargetMode="External"/><Relationship Id="rId4" Type="http://schemas.openxmlformats.org/officeDocument/2006/relationships/hyperlink" Target="https://t2group.com/awards-submission"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1077</Words>
  <Characters>6141</Characters>
  <Application>Microsoft Office Word</Application>
  <DocSecurity>0</DocSecurity>
  <Lines>142</Lines>
  <Paragraphs>80</Paragraphs>
  <ScaleCrop>false</ScaleCrop>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Cooper</dc:creator>
  <cp:keywords/>
  <dc:description/>
  <cp:lastModifiedBy>Kevin Cooper</cp:lastModifiedBy>
  <cp:revision>9</cp:revision>
  <dcterms:created xsi:type="dcterms:W3CDTF">2026-04-09T21:47:00Z</dcterms:created>
  <dcterms:modified xsi:type="dcterms:W3CDTF">2026-04-09T22:01:00Z</dcterms:modified>
</cp:coreProperties>
</file>