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5500"/>
        <w:gridCol w:w="3860"/>
      </w:tblGrid>
      <w:tr>
        <w:tc>
          <w:tcPr>
            <w:tcW w:type="dxa" w:w="5500"/>
            <w:tcBorders>
              <w:top w:val="none" w:color="FFFFFF" w:sz="0"/>
              <w:left w:val="none" w:color="FFFFFF" w:sz="0"/>
              <w:bottom w:val="none" w:color="FFFFFF" w:sz="0"/>
              <w:right w:val="none" w:color="FFFFFF" w:sz="0"/>
            </w:tcBorders>
            <w:shd w:fill="FFFFFF" w:val="clear"/>
            <w:tcMar>
              <w:top w:type="dxa" w:w="0"/>
              <w:left w:type="dxa" w:w="0"/>
              <w:bottom w:type="dxa" w:w="0"/>
              <w:right w:type="dxa" w:w="0"/>
            </w:tcMar>
            <w:vAlign w:val="center"/>
          </w:tcPr>
          <w:p>
            <w:pPr>
              <w:jc w:val="left"/>
            </w:pPr>
            <w:r>
              <w:drawing>
                <wp:inline distT="0" distB="0" distL="0" distR="0">
                  <wp:extent cx="1905000" cy="48577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1905000" cy="485775"/>
                          </a:xfrm>
                          <a:prstGeom prst="rect">
                            <a:avLst/>
                          </a:prstGeom>
                        </pic:spPr>
                      </pic:pic>
                    </a:graphicData>
                  </a:graphic>
                </wp:inline>
              </w:drawing>
            </w:r>
          </w:p>
        </w:tc>
        <w:tc>
          <w:tcPr>
            <w:tcW w:type="dxa" w:w="3860"/>
            <w:tcBorders>
              <w:top w:val="none" w:color="FFFFFF" w:sz="0"/>
              <w:left w:val="none" w:color="FFFFFF" w:sz="0"/>
              <w:bottom w:val="none" w:color="FFFFFF" w:sz="0"/>
              <w:right w:val="none" w:color="FFFFFF" w:sz="0"/>
            </w:tcBorders>
            <w:shd w:fill="FFFFFF" w:val="clear"/>
            <w:tcMar>
              <w:top w:type="dxa" w:w="0"/>
              <w:left w:type="dxa" w:w="0"/>
              <w:bottom w:type="dxa" w:w="0"/>
              <w:right w:type="dxa" w:w="0"/>
            </w:tcMar>
            <w:vAlign w:val="center"/>
          </w:tcPr>
          <w:p>
            <w:pPr>
              <w:jc w:val="right"/>
            </w:pPr>
            <w:r>
              <w:drawing>
                <wp:inline distT="0" distB="0" distL="0" distR="0">
                  <wp:extent cx="914400" cy="4000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914400" cy="400050"/>
                          </a:xfrm>
                          <a:prstGeom prst="rect">
                            <a:avLst/>
                          </a:prstGeom>
                        </pic:spPr>
                      </pic:pic>
                    </a:graphicData>
                  </a:graphic>
                </wp:inline>
              </w:drawing>
            </w:r>
          </w:p>
          <w:p>
            <w:pPr>
              <w:spacing w:before="20"/>
              <w:jc w:val="right"/>
            </w:pPr>
            <w:r>
              <w:rPr>
                <w:rFonts w:ascii="Calibri" w:cs="Calibri" w:eastAsia="Calibri" w:hAnsi="Calibri"/>
                <w:i/>
                <w:iCs/>
                <w:color w:val="666666"/>
                <w:sz w:val="14"/>
                <w:szCs w:val="14"/>
              </w:rPr>
              <w:t xml:space="preserve">A Habib Group Company</w:t>
            </w:r>
          </w:p>
        </w:tc>
      </w:tr>
    </w:tbl>
    <w:p>
      <w:pPr>
        <w:spacing w:after="360" w:before="0"/>
      </w:pPr>
      <w:r>
        <w:t xml:space="preserve"/>
      </w:r>
    </w:p>
    <w:p>
      <w:pPr>
        <w:spacing w:after="0" w:before="0"/>
      </w:pPr>
      <w:r>
        <w:rPr>
          <w:rFonts w:ascii="Calibri" w:cs="Calibri" w:eastAsia="Calibri" w:hAnsi="Calibri"/>
          <w:b/>
          <w:bCs/>
          <w:color w:val="1A1A1A"/>
          <w:sz w:val="72"/>
          <w:szCs w:val="72"/>
        </w:rPr>
        <w:t xml:space="preserve">INCLUSIVE ENERGY</w:t>
      </w:r>
    </w:p>
    <w:p>
      <w:pPr>
        <w:spacing w:after="120" w:before="0"/>
      </w:pPr>
      <w:r>
        <w:rPr>
          <w:rFonts w:ascii="Calibri" w:cs="Calibri" w:eastAsia="Calibri" w:hAnsi="Calibri"/>
          <w:b/>
          <w:bCs/>
          <w:color w:val="1A1A1A"/>
          <w:sz w:val="72"/>
          <w:szCs w:val="72"/>
        </w:rPr>
        <w:t xml:space="preserve">UPSTREAM INVESTMENT PLATFORM</w:t>
      </w:r>
    </w:p>
    <w:p>
      <w:pPr>
        <w:pBdr>
          <w:bottom w:val="single" w:color="0A658D" w:sz="28" w:space="0"/>
        </w:pBdr>
        <w:spacing w:after="0" w:before="0"/>
        <w:ind w:right="7560"/>
      </w:pPr>
      <w:r>
        <w:t xml:space="preserve"/>
      </w:r>
    </w:p>
    <w:p>
      <w:pPr>
        <w:spacing w:after="320" w:before="0"/>
      </w:pPr>
      <w:r>
        <w:t xml:space="preserve"/>
      </w:r>
    </w:p>
    <w:p>
      <w:pPr>
        <w:spacing w:after="320" w:before="0"/>
      </w:pPr>
      <w:r>
        <w:rPr>
          <w:rFonts w:ascii="Calibri" w:cs="Calibri" w:eastAsia="Calibri" w:hAnsi="Calibri"/>
          <w:b w:val="false"/>
          <w:bCs w:val="false"/>
          <w:i w:val="false"/>
          <w:iCs w:val="false"/>
          <w:color w:val="0A658D"/>
          <w:sz w:val="26"/>
          <w:szCs w:val="26"/>
        </w:rPr>
        <w:t xml:space="preserve">Inclusive Energy Ltd. is a recognized Canadian market leader in oilfield equipment services and a dedicated capital partner for upstream oil &amp; gas companies across North America.</w:t>
      </w:r>
    </w:p>
    <w:p>
      <w:pPr>
        <w:pBdr>
          <w:bottom w:val="single" w:color="0A658D" w:sz="6" w:space="3"/>
        </w:pBdr>
        <w:spacing w:after="100" w:before="0"/>
      </w:pPr>
      <w:r>
        <w:rPr>
          <w:rFonts w:ascii="Calibri" w:cs="Calibri" w:eastAsia="Calibri" w:hAnsi="Calibri"/>
          <w:b/>
          <w:bCs/>
          <w:color w:val="0A658D"/>
          <w:sz w:val="20"/>
          <w:szCs w:val="20"/>
        </w:rPr>
        <w:t xml:space="preserve">INVESTMENT STRATEGY</w:t>
      </w:r>
    </w:p>
    <w:p>
      <w:pPr>
        <w:spacing w:after="120" w:before="0"/>
      </w:pPr>
      <w:r>
        <w:t xml:space="preserve"/>
      </w:r>
    </w:p>
    <w:p>
      <w:pPr>
        <w:pStyle w:val="ListParagraph"/>
        <w:numPr>
          <w:ilvl w:val="0"/>
          <w:numId w:val="2"/>
        </w:numPr>
        <w:spacing w:after="60" w:before="60"/>
        <w:ind w:left="360" w:hanging="220"/>
      </w:pPr>
      <w:r>
        <w:rPr>
          <w:rFonts w:ascii="Calibri" w:cs="Calibri" w:eastAsia="Calibri" w:hAnsi="Calibri"/>
          <w:color w:val="222222"/>
          <w:sz w:val="19"/>
          <w:szCs w:val="19"/>
        </w:rPr>
        <w:t xml:space="preserve">Appetite to provide capital at all levels of the balance sheet, including equity, senior and subordinated debt, revolving facilities, or any combination thereof.</w:t>
      </w:r>
    </w:p>
    <w:p>
      <w:pPr>
        <w:pStyle w:val="ListParagraph"/>
        <w:numPr>
          <w:ilvl w:val="0"/>
          <w:numId w:val="2"/>
        </w:numPr>
        <w:spacing w:after="60" w:before="60"/>
        <w:ind w:left="360" w:hanging="220"/>
      </w:pPr>
      <w:r>
        <w:rPr>
          <w:rFonts w:ascii="Calibri" w:cs="Calibri" w:eastAsia="Calibri" w:hAnsi="Calibri"/>
          <w:color w:val="222222"/>
          <w:sz w:val="19"/>
          <w:szCs w:val="19"/>
        </w:rPr>
        <w:t xml:space="preserve">Capacity to work directly with management teams to customize financing solutions to meet a company's distinct capital needs. Typical uses of proceeds include acquisitions, development drilling, optimization projects, refinancing existing lenders, and management buyouts.</w:t>
      </w:r>
    </w:p>
    <w:p>
      <w:pPr>
        <w:pStyle w:val="ListParagraph"/>
        <w:numPr>
          <w:ilvl w:val="0"/>
          <w:numId w:val="2"/>
        </w:numPr>
        <w:spacing w:after="60" w:before="60"/>
        <w:ind w:left="360" w:hanging="220"/>
      </w:pPr>
      <w:r>
        <w:rPr>
          <w:rFonts w:ascii="Calibri" w:cs="Calibri" w:eastAsia="Calibri" w:hAnsi="Calibri"/>
          <w:color w:val="222222"/>
          <w:sz w:val="19"/>
          <w:szCs w:val="19"/>
        </w:rPr>
        <w:t xml:space="preserve">Target investment amounts from C$1MM (minimum) to C$30MM+ depending on investment type and associated term. Inclusive may also gain economic participation through direct investments or joint ventures.</w:t>
      </w:r>
    </w:p>
    <w:p>
      <w:pPr>
        <w:spacing w:after="400" w:before="0"/>
      </w:pPr>
      <w:r>
        <w:t xml:space="preserve"/>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3120"/>
        <w:gridCol w:w="3120"/>
        <w:gridCol w:w="3120"/>
      </w:tblGrid>
      <w:tr>
        <w:tc>
          <w:tcPr>
            <w:tcW w:type="dxa" w:w="3120"/>
            <w:tcBorders>
              <w:top w:val="none" w:color="FFFFFF" w:sz="0"/>
              <w:left w:val="none" w:color="FFFFFF" w:sz="0"/>
              <w:bottom w:val="none" w:color="FFFFFF" w:sz="0"/>
              <w:right w:val="none" w:color="FFFFFF" w:sz="0"/>
            </w:tcBorders>
            <w:shd w:fill="FFFFFF" w:val="clear"/>
            <w:tcMar>
              <w:top w:type="dxa" w:w="0"/>
              <w:left w:type="dxa" w:w="120"/>
              <w:bottom w:type="dxa" w:w="0"/>
              <w:right w:type="dxa" w:w="120"/>
            </w:tcMar>
          </w:tcPr>
          <w:p>
            <w:pPr>
              <w:pBdr>
                <w:bottom w:val="single" w:color="0A658D" w:sz="6" w:space="3"/>
              </w:pBdr>
              <w:spacing w:after="80" w:before="0"/>
            </w:pPr>
            <w:r>
              <w:rPr>
                <w:rFonts w:ascii="Calibri" w:cs="Calibri" w:eastAsia="Calibri" w:hAnsi="Calibri"/>
                <w:b/>
                <w:bCs/>
                <w:color w:val="0A658D"/>
                <w:sz w:val="20"/>
                <w:szCs w:val="20"/>
              </w:rPr>
              <w:t xml:space="preserve">INDUSTRY EXPERTISE</w:t>
            </w:r>
          </w:p>
          <w:p>
            <w:pPr>
              <w:spacing w:after="80" w:before="0"/>
            </w:pPr>
            <w:r>
              <w:t xml:space="preserve"/>
            </w:r>
          </w:p>
          <w:p>
            <w:pPr>
              <w:pStyle w:val="ListParagraph"/>
              <w:numPr>
                <w:ilvl w:val="0"/>
                <w:numId w:val="2"/>
              </w:numPr>
              <w:spacing w:after="60" w:before="60"/>
            </w:pPr>
            <w:r>
              <w:rPr>
                <w:rFonts w:ascii="Calibri" w:cs="Calibri" w:eastAsia="Calibri" w:hAnsi="Calibri"/>
                <w:color w:val="222222"/>
                <w:sz w:val="19"/>
                <w:szCs w:val="19"/>
              </w:rPr>
              <w:t xml:space="preserve">Extensive experience across the oilfield equipment and energy services value chain</w:t>
            </w:r>
          </w:p>
          <w:p>
            <w:pPr>
              <w:pStyle w:val="ListParagraph"/>
              <w:numPr>
                <w:ilvl w:val="0"/>
                <w:numId w:val="2"/>
              </w:numPr>
              <w:spacing w:after="60" w:before="60"/>
            </w:pPr>
            <w:r>
              <w:rPr>
                <w:rFonts w:ascii="Calibri" w:cs="Calibri" w:eastAsia="Calibri" w:hAnsi="Calibri"/>
                <w:color w:val="222222"/>
                <w:sz w:val="19"/>
                <w:szCs w:val="19"/>
              </w:rPr>
              <w:t xml:space="preserve">Deep understanding of the upstream oil &amp; gas market, commodity price cycles, and capital requirements of junior producers</w:t>
            </w:r>
          </w:p>
          <w:p>
            <w:pPr>
              <w:pStyle w:val="ListParagraph"/>
              <w:numPr>
                <w:ilvl w:val="0"/>
                <w:numId w:val="2"/>
              </w:numPr>
              <w:spacing w:after="60" w:before="60"/>
            </w:pPr>
            <w:r>
              <w:rPr>
                <w:rFonts w:ascii="Calibri" w:cs="Calibri" w:eastAsia="Calibri" w:hAnsi="Calibri"/>
                <w:color w:val="222222"/>
                <w:sz w:val="19"/>
                <w:szCs w:val="19"/>
              </w:rPr>
              <w:t xml:space="preserve">Proven track record of investing in the energy sector through multiple commodity cycles</w:t>
            </w:r>
          </w:p>
        </w:tc>
        <w:tc>
          <w:tcPr>
            <w:tcW w:type="dxa" w:w="3120"/>
            <w:tcBorders>
              <w:top w:val="none" w:color="FFFFFF" w:sz="0"/>
              <w:left w:val="none" w:color="FFFFFF" w:sz="0"/>
              <w:bottom w:val="none" w:color="FFFFFF" w:sz="0"/>
              <w:right w:val="none" w:color="FFFFFF" w:sz="0"/>
            </w:tcBorders>
            <w:shd w:fill="FFFFFF" w:val="clear"/>
            <w:tcMar>
              <w:top w:type="dxa" w:w="0"/>
              <w:left w:type="dxa" w:w="120"/>
              <w:bottom w:type="dxa" w:w="0"/>
              <w:right w:type="dxa" w:w="120"/>
            </w:tcMar>
          </w:tcPr>
          <w:p>
            <w:pPr>
              <w:pBdr>
                <w:bottom w:val="single" w:color="0A658D" w:sz="6" w:space="3"/>
              </w:pBdr>
              <w:spacing w:after="80" w:before="0"/>
            </w:pPr>
            <w:r>
              <w:rPr>
                <w:rFonts w:ascii="Calibri" w:cs="Calibri" w:eastAsia="Calibri" w:hAnsi="Calibri"/>
                <w:b/>
                <w:bCs/>
                <w:color w:val="0A658D"/>
                <w:sz w:val="20"/>
                <w:szCs w:val="20"/>
              </w:rPr>
              <w:t xml:space="preserve">KEY FEATURES</w:t>
            </w:r>
          </w:p>
          <w:p>
            <w:pPr>
              <w:spacing w:after="80" w:before="0"/>
            </w:pPr>
            <w:r>
              <w:t xml:space="preserve"/>
            </w:r>
          </w:p>
          <w:p>
            <w:pPr>
              <w:pStyle w:val="ListParagraph"/>
              <w:numPr>
                <w:ilvl w:val="0"/>
                <w:numId w:val="2"/>
              </w:numPr>
              <w:spacing w:after="60" w:before="60"/>
            </w:pPr>
            <w:r>
              <w:rPr>
                <w:rFonts w:ascii="Calibri" w:cs="Calibri" w:eastAsia="Calibri" w:hAnsi="Calibri"/>
                <w:color w:val="222222"/>
                <w:sz w:val="19"/>
                <w:szCs w:val="19"/>
              </w:rPr>
              <w:t xml:space="preserve">Stable source of capital through economic and commodity cycles</w:t>
            </w:r>
          </w:p>
          <w:p>
            <w:pPr>
              <w:pStyle w:val="ListParagraph"/>
              <w:numPr>
                <w:ilvl w:val="0"/>
                <w:numId w:val="2"/>
              </w:numPr>
              <w:spacing w:after="60" w:before="60"/>
            </w:pPr>
            <w:r>
              <w:rPr>
                <w:rFonts w:ascii="Calibri" w:cs="Calibri" w:eastAsia="Calibri" w:hAnsi="Calibri"/>
                <w:color w:val="222222"/>
                <w:sz w:val="19"/>
                <w:szCs w:val="19"/>
              </w:rPr>
              <w:t xml:space="preserve">Unique advantage: financial capital combined with direct oilfield equipment supply</w:t>
            </w:r>
          </w:p>
          <w:p>
            <w:pPr>
              <w:pStyle w:val="ListParagraph"/>
              <w:numPr>
                <w:ilvl w:val="0"/>
                <w:numId w:val="2"/>
              </w:numPr>
              <w:spacing w:after="60" w:before="60"/>
            </w:pPr>
            <w:r>
              <w:rPr>
                <w:rFonts w:ascii="Calibri" w:cs="Calibri" w:eastAsia="Calibri" w:hAnsi="Calibri"/>
                <w:color w:val="222222"/>
                <w:sz w:val="19"/>
                <w:szCs w:val="19"/>
              </w:rPr>
              <w:t xml:space="preserve">Speed of execution with a streamlined investment process</w:t>
            </w:r>
          </w:p>
          <w:p>
            <w:pPr>
              <w:pStyle w:val="ListParagraph"/>
              <w:numPr>
                <w:ilvl w:val="0"/>
                <w:numId w:val="2"/>
              </w:numPr>
              <w:spacing w:after="60" w:before="60"/>
            </w:pPr>
            <w:r>
              <w:rPr>
                <w:rFonts w:ascii="Calibri" w:cs="Calibri" w:eastAsia="Calibri" w:hAnsi="Calibri"/>
                <w:color w:val="222222"/>
                <w:sz w:val="19"/>
                <w:szCs w:val="19"/>
              </w:rPr>
              <w:t xml:space="preserve">Ability to provide capital across the full capital structure</w:t>
            </w:r>
          </w:p>
          <w:p>
            <w:pPr>
              <w:pStyle w:val="ListParagraph"/>
              <w:numPr>
                <w:ilvl w:val="0"/>
                <w:numId w:val="2"/>
              </w:numPr>
              <w:spacing w:after="60" w:before="60"/>
            </w:pPr>
            <w:r>
              <w:rPr>
                <w:rFonts w:ascii="Calibri" w:cs="Calibri" w:eastAsia="Calibri" w:hAnsi="Calibri"/>
                <w:color w:val="222222"/>
                <w:sz w:val="19"/>
                <w:szCs w:val="19"/>
              </w:rPr>
              <w:t xml:space="preserve">Patient capital with capacity to grow with a company and adapt to market changes</w:t>
            </w:r>
          </w:p>
        </w:tc>
        <w:tc>
          <w:tcPr>
            <w:tcW w:type="dxa" w:w="3120"/>
            <w:tcBorders>
              <w:top w:val="none" w:color="FFFFFF" w:sz="0"/>
              <w:left w:val="none" w:color="FFFFFF" w:sz="0"/>
              <w:bottom w:val="none" w:color="FFFFFF" w:sz="0"/>
              <w:right w:val="none" w:color="FFFFFF" w:sz="0"/>
            </w:tcBorders>
            <w:shd w:fill="FFFFFF" w:val="clear"/>
            <w:tcMar>
              <w:top w:type="dxa" w:w="0"/>
              <w:left w:type="dxa" w:w="120"/>
              <w:bottom w:type="dxa" w:w="0"/>
              <w:right w:type="dxa" w:w="120"/>
            </w:tcMar>
          </w:tcPr>
          <w:p>
            <w:pPr>
              <w:pBdr>
                <w:bottom w:val="single" w:color="0A658D" w:sz="6" w:space="3"/>
              </w:pBdr>
              <w:spacing w:after="80" w:before="0"/>
            </w:pPr>
            <w:r>
              <w:rPr>
                <w:rFonts w:ascii="Calibri" w:cs="Calibri" w:eastAsia="Calibri" w:hAnsi="Calibri"/>
                <w:b/>
                <w:bCs/>
                <w:color w:val="0A658D"/>
                <w:sz w:val="20"/>
                <w:szCs w:val="20"/>
              </w:rPr>
              <w:t xml:space="preserve">INVESTING CAPABILITIES  C$1MM – C$30MM+</w:t>
            </w:r>
          </w:p>
          <w:p>
            <w:pPr>
              <w:spacing w:after="80" w:before="0"/>
            </w:pPr>
            <w:r>
              <w:t xml:space="preserve"/>
            </w:r>
          </w:p>
          <w:p>
            <w:pPr>
              <w:pStyle w:val="ListParagraph"/>
              <w:numPr>
                <w:ilvl w:val="0"/>
                <w:numId w:val="2"/>
              </w:numPr>
              <w:spacing w:after="60" w:before="60"/>
            </w:pPr>
            <w:r>
              <w:rPr>
                <w:rFonts w:ascii="Calibri" w:cs="Calibri" w:eastAsia="Calibri" w:hAnsi="Calibri"/>
                <w:color w:val="222222"/>
                <w:sz w:val="19"/>
                <w:szCs w:val="19"/>
              </w:rPr>
              <w:t xml:space="preserve">Senior Debt</w:t>
            </w:r>
          </w:p>
          <w:p>
            <w:pPr>
              <w:pStyle w:val="ListParagraph"/>
              <w:numPr>
                <w:ilvl w:val="0"/>
                <w:numId w:val="3"/>
              </w:numPr>
              <w:spacing w:after="40" w:before="40"/>
              <w:ind w:left="580" w:hanging="200"/>
            </w:pPr>
            <w:r>
              <w:rPr>
                <w:rFonts w:ascii="Calibri" w:cs="Calibri" w:eastAsia="Calibri" w:hAnsi="Calibri"/>
                <w:color w:val="222222"/>
                <w:sz w:val="19"/>
                <w:szCs w:val="19"/>
              </w:rPr>
              <w:t xml:space="preserve">Revolving Credit Facility</w:t>
            </w:r>
          </w:p>
          <w:p>
            <w:pPr>
              <w:pStyle w:val="ListParagraph"/>
              <w:numPr>
                <w:ilvl w:val="0"/>
                <w:numId w:val="3"/>
              </w:numPr>
              <w:spacing w:after="40" w:before="40"/>
              <w:ind w:left="580" w:hanging="200"/>
            </w:pPr>
            <w:r>
              <w:rPr>
                <w:rFonts w:ascii="Calibri" w:cs="Calibri" w:eastAsia="Calibri" w:hAnsi="Calibri"/>
                <w:color w:val="222222"/>
                <w:sz w:val="19"/>
                <w:szCs w:val="19"/>
              </w:rPr>
              <w:t xml:space="preserve">Term Debt</w:t>
            </w:r>
          </w:p>
          <w:p>
            <w:pPr>
              <w:pStyle w:val="ListParagraph"/>
              <w:numPr>
                <w:ilvl w:val="0"/>
                <w:numId w:val="3"/>
              </w:numPr>
              <w:spacing w:after="40" w:before="40"/>
              <w:ind w:left="580" w:hanging="200"/>
            </w:pPr>
            <w:r>
              <w:rPr>
                <w:rFonts w:ascii="Calibri" w:cs="Calibri" w:eastAsia="Calibri" w:hAnsi="Calibri"/>
                <w:color w:val="222222"/>
                <w:sz w:val="19"/>
                <w:szCs w:val="19"/>
              </w:rPr>
              <w:t xml:space="preserve">Deferred Draw Term Loan</w:t>
            </w:r>
          </w:p>
          <w:p>
            <w:pPr>
              <w:pStyle w:val="ListParagraph"/>
              <w:numPr>
                <w:ilvl w:val="0"/>
                <w:numId w:val="2"/>
              </w:numPr>
              <w:spacing w:after="60" w:before="60"/>
            </w:pPr>
            <w:r>
              <w:rPr>
                <w:rFonts w:ascii="Calibri" w:cs="Calibri" w:eastAsia="Calibri" w:hAnsi="Calibri"/>
                <w:color w:val="222222"/>
                <w:sz w:val="19"/>
                <w:szCs w:val="19"/>
              </w:rPr>
              <w:t xml:space="preserve">Subordinated Debt</w:t>
            </w:r>
          </w:p>
          <w:p>
            <w:pPr>
              <w:pStyle w:val="ListParagraph"/>
              <w:numPr>
                <w:ilvl w:val="0"/>
                <w:numId w:val="3"/>
              </w:numPr>
              <w:spacing w:after="40" w:before="40"/>
              <w:ind w:left="580" w:hanging="200"/>
            </w:pPr>
            <w:r>
              <w:rPr>
                <w:rFonts w:ascii="Calibri" w:cs="Calibri" w:eastAsia="Calibri" w:hAnsi="Calibri"/>
                <w:color w:val="222222"/>
                <w:sz w:val="19"/>
                <w:szCs w:val="19"/>
              </w:rPr>
              <w:t xml:space="preserve">Subordinated 2nd Lien</w:t>
            </w:r>
          </w:p>
          <w:p>
            <w:pPr>
              <w:pStyle w:val="ListParagraph"/>
              <w:numPr>
                <w:ilvl w:val="0"/>
                <w:numId w:val="3"/>
              </w:numPr>
              <w:spacing w:after="40" w:before="40"/>
              <w:ind w:left="580" w:hanging="200"/>
            </w:pPr>
            <w:r>
              <w:rPr>
                <w:rFonts w:ascii="Calibri" w:cs="Calibri" w:eastAsia="Calibri" w:hAnsi="Calibri"/>
                <w:color w:val="222222"/>
                <w:sz w:val="19"/>
                <w:szCs w:val="19"/>
              </w:rPr>
              <w:t xml:space="preserve">Unsecured Note</w:t>
            </w:r>
          </w:p>
          <w:p>
            <w:pPr>
              <w:pStyle w:val="ListParagraph"/>
              <w:numPr>
                <w:ilvl w:val="0"/>
                <w:numId w:val="2"/>
              </w:numPr>
              <w:spacing w:after="60" w:before="60"/>
            </w:pPr>
            <w:r>
              <w:rPr>
                <w:rFonts w:ascii="Calibri" w:cs="Calibri" w:eastAsia="Calibri" w:hAnsi="Calibri"/>
                <w:color w:val="222222"/>
                <w:sz w:val="19"/>
                <w:szCs w:val="19"/>
              </w:rPr>
              <w:t xml:space="preserve">Equity</w:t>
            </w:r>
          </w:p>
          <w:p>
            <w:pPr>
              <w:pStyle w:val="ListParagraph"/>
              <w:numPr>
                <w:ilvl w:val="0"/>
                <w:numId w:val="3"/>
              </w:numPr>
              <w:spacing w:after="40" w:before="40"/>
              <w:ind w:left="580" w:hanging="200"/>
            </w:pPr>
            <w:r>
              <w:rPr>
                <w:rFonts w:ascii="Calibri" w:cs="Calibri" w:eastAsia="Calibri" w:hAnsi="Calibri"/>
                <w:color w:val="222222"/>
                <w:sz w:val="19"/>
                <w:szCs w:val="19"/>
              </w:rPr>
              <w:t xml:space="preserve">Structured Equity</w:t>
            </w:r>
          </w:p>
          <w:p>
            <w:pPr>
              <w:pStyle w:val="ListParagraph"/>
              <w:numPr>
                <w:ilvl w:val="0"/>
                <w:numId w:val="3"/>
              </w:numPr>
              <w:spacing w:after="40" w:before="40"/>
              <w:ind w:left="580" w:hanging="200"/>
            </w:pPr>
            <w:r>
              <w:rPr>
                <w:rFonts w:ascii="Calibri" w:cs="Calibri" w:eastAsia="Calibri" w:hAnsi="Calibri"/>
                <w:color w:val="222222"/>
                <w:sz w:val="19"/>
                <w:szCs w:val="19"/>
              </w:rPr>
              <w:t xml:space="preserve">Minority Equity</w:t>
            </w:r>
          </w:p>
          <w:p>
            <w:pPr>
              <w:pStyle w:val="ListParagraph"/>
              <w:numPr>
                <w:ilvl w:val="0"/>
                <w:numId w:val="3"/>
              </w:numPr>
              <w:spacing w:after="40" w:before="40"/>
              <w:ind w:left="580" w:hanging="200"/>
            </w:pPr>
            <w:r>
              <w:rPr>
                <w:rFonts w:ascii="Calibri" w:cs="Calibri" w:eastAsia="Calibri" w:hAnsi="Calibri"/>
                <w:color w:val="222222"/>
                <w:sz w:val="19"/>
                <w:szCs w:val="19"/>
              </w:rPr>
              <w:t xml:space="preserve">Joint Ventures</w:t>
            </w:r>
          </w:p>
        </w:tc>
      </w:tr>
    </w:tbl>
    <w:p>
      <w:pPr>
        <w:spacing w:after="440" w:before="0"/>
      </w:pPr>
      <w:r>
        <w:t xml:space="preserve"/>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9360"/>
      </w:tblGrid>
      <w:tr>
        <w:tc>
          <w:tcPr>
            <w:tcW w:type="dxa" w:w="9360"/>
            <w:tcBorders>
              <w:top w:val="none" w:color="FFFFFF" w:sz="0"/>
              <w:left w:val="none" w:color="FFFFFF" w:sz="0"/>
              <w:bottom w:val="none" w:color="FFFFFF" w:sz="0"/>
              <w:right w:val="none" w:color="FFFFFF" w:sz="0"/>
            </w:tcBorders>
            <w:shd w:fill="F0F4F7" w:val="clear"/>
            <w:tcMar>
              <w:top w:type="dxa" w:w="200"/>
              <w:left w:type="dxa" w:w="240"/>
              <w:bottom w:type="dxa" w:w="200"/>
              <w:right w:type="dxa" w:w="240"/>
            </w:tcMar>
          </w:tcPr>
          <w:p>
            <w:pPr>
              <w:pBdr>
                <w:bottom w:val="single" w:color="0A658D" w:sz="6" w:space="3"/>
              </w:pBdr>
              <w:spacing w:after="100" w:before="0"/>
            </w:pPr>
            <w:r>
              <w:rPr>
                <w:rFonts w:ascii="Calibri" w:cs="Calibri" w:eastAsia="Calibri" w:hAnsi="Calibri"/>
                <w:b/>
                <w:bCs/>
                <w:color w:val="0A658D"/>
                <w:sz w:val="20"/>
                <w:szCs w:val="20"/>
              </w:rPr>
              <w:t xml:space="preserve">ESTABLISHED CAPITAL PROVIDER</w:t>
            </w:r>
          </w:p>
          <w:p>
            <w:pPr>
              <w:spacing w:after="120" w:before="0"/>
            </w:pPr>
            <w:r>
              <w:t xml:space="preserve"/>
            </w:r>
          </w:p>
          <w:p>
            <w:pPr>
              <w:spacing w:after="60" w:before="80"/>
            </w:pPr>
            <w:r>
              <w:rPr>
                <w:rFonts w:ascii="Calibri" w:cs="Calibri" w:eastAsia="Calibri" w:hAnsi="Calibri"/>
                <w:b/>
                <w:bCs/>
                <w:color w:val="222222"/>
                <w:sz w:val="20"/>
                <w:szCs w:val="20"/>
              </w:rPr>
              <w:t xml:space="preserve">Inclusive Energy Ltd.</w:t>
            </w:r>
          </w:p>
          <w:p>
            <w:pPr>
              <w:pStyle w:val="ListParagraph"/>
              <w:numPr>
                <w:ilvl w:val="0"/>
                <w:numId w:val="2"/>
              </w:numPr>
              <w:spacing w:after="60" w:before="60"/>
              <w:ind w:left="360" w:hanging="220"/>
            </w:pPr>
            <w:r>
              <w:rPr>
                <w:rFonts w:ascii="Calibri" w:cs="Calibri" w:eastAsia="Calibri" w:hAnsi="Calibri"/>
                <w:color w:val="222222"/>
                <w:sz w:val="19"/>
                <w:szCs w:val="19"/>
              </w:rPr>
              <w:t xml:space="preserve">Recognized Canadian market leader in oilfield equipment supply, sales, and rental since 2010, operating three facilities across Alberta and serving clients across Canada and the United States.</w:t>
            </w:r>
          </w:p>
          <w:p>
            <w:pPr>
              <w:pStyle w:val="ListParagraph"/>
              <w:numPr>
                <w:ilvl w:val="0"/>
                <w:numId w:val="2"/>
              </w:numPr>
              <w:spacing w:after="60" w:before="60"/>
              <w:ind w:left="360" w:hanging="220"/>
            </w:pPr>
            <w:r>
              <w:rPr>
                <w:rFonts w:ascii="Calibri" w:cs="Calibri" w:eastAsia="Calibri" w:hAnsi="Calibri"/>
                <w:color w:val="222222"/>
                <w:sz w:val="19"/>
                <w:szCs w:val="19"/>
              </w:rPr>
              <w:t xml:space="preserve">Proven model of acquiring distressed and surplus equipment at significant discounts, refurbishing where required, and reselling or renting at considerable premiums — generating attractive returns on capital.</w:t>
            </w:r>
          </w:p>
          <w:p>
            <w:pPr>
              <w:spacing w:after="160" w:before="0"/>
            </w:pPr>
            <w:r>
              <w:t xml:space="preserve"/>
            </w:r>
          </w:p>
          <w:p>
            <w:pPr>
              <w:spacing w:after="60" w:before="0"/>
            </w:pPr>
            <w:r>
              <w:rPr>
                <w:rFonts w:ascii="Calibri" w:cs="Calibri" w:eastAsia="Calibri" w:hAnsi="Calibri"/>
                <w:b/>
                <w:bCs/>
                <w:color w:val="222222"/>
                <w:sz w:val="20"/>
                <w:szCs w:val="20"/>
              </w:rPr>
              <w:t xml:space="preserve">Habib Group</w:t>
            </w:r>
          </w:p>
          <w:p>
            <w:pPr>
              <w:pStyle w:val="ListParagraph"/>
              <w:numPr>
                <w:ilvl w:val="0"/>
                <w:numId w:val="2"/>
              </w:numPr>
              <w:spacing w:after="60" w:before="60"/>
              <w:ind w:left="360" w:hanging="220"/>
            </w:pPr>
            <w:r>
              <w:rPr>
                <w:rFonts w:ascii="Calibri" w:cs="Calibri" w:eastAsia="Calibri" w:hAnsi="Calibri"/>
                <w:color w:val="222222"/>
                <w:sz w:val="19"/>
                <w:szCs w:val="19"/>
              </w:rPr>
              <w:t xml:space="preserve">Global conglomerate founded in 1912, providing financial and banking services worldwide across banking, asset management, equity brokerage, manufacturing, and Oil &amp; Gas services.</w:t>
            </w:r>
          </w:p>
          <w:p>
            <w:pPr>
              <w:pStyle w:val="ListParagraph"/>
              <w:numPr>
                <w:ilvl w:val="0"/>
                <w:numId w:val="2"/>
              </w:numPr>
              <w:spacing w:after="60" w:before="60"/>
              <w:ind w:left="360" w:hanging="220"/>
            </w:pPr>
            <w:r>
              <w:rPr>
                <w:rFonts w:ascii="Calibri" w:cs="Calibri" w:eastAsia="Calibri" w:hAnsi="Calibri"/>
                <w:color w:val="222222"/>
                <w:sz w:val="19"/>
                <w:szCs w:val="19"/>
              </w:rPr>
              <w:t xml:space="preserve">Active in over 10 countries including Canada, the United Kingdom, Switzerland, UAE, Pakistan, and China. The management team of Inclusive Energy carries decades of specialized experience in financial, banking, and energy sectors.</w:t>
            </w:r>
          </w:p>
          <w:p>
            <w:pPr>
              <w:spacing w:after="160" w:before="0"/>
            </w:pPr>
            <w:r>
              <w:t xml:space="preserve"/>
            </w:r>
          </w:p>
          <w:p>
            <w:pPr>
              <w:spacing w:after="0" w:before="60"/>
            </w:pPr>
            <w:r>
              <w:rPr>
                <w:rFonts w:ascii="Calibri" w:cs="Calibri" w:eastAsia="Calibri" w:hAnsi="Calibri"/>
                <w:i/>
                <w:iCs/>
                <w:color w:val="666666"/>
                <w:sz w:val="14"/>
                <w:szCs w:val="14"/>
              </w:rPr>
              <w:t xml:space="preserve">This document is intended for institutional and accredited investors only. All investments subject to applicable Canadian and U.S. securities regulations.</w:t>
            </w:r>
          </w:p>
        </w:tc>
      </w:tr>
    </w:tbl>
    <w:p>
      <w:pPr>
        <w:spacing w:after="440" w:before="0"/>
      </w:pPr>
      <w:r>
        <w:t xml:space="preserve"/>
      </w:r>
    </w:p>
    <w:p>
      <w:pPr>
        <w:pBdr>
          <w:bottom w:val="single" w:color="BBBBBB" w:sz="6" w:space="0"/>
        </w:pBdr>
        <w:spacing w:after="120" w:before="0"/>
      </w:pPr>
      <w:r>
        <w:t xml:space="preserve"/>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872"/>
        <w:gridCol w:w="1872"/>
        <w:gridCol w:w="1872"/>
        <w:gridCol w:w="1872"/>
        <w:gridCol w:w="1872"/>
      </w:tblGrid>
      <w:tr>
        <w:tc>
          <w:tcPr>
            <w:tcW w:type="dxa" w:w="1872"/>
            <w:tcBorders>
              <w:top w:val="none" w:color="FFFFFF" w:sz="0"/>
              <w:left w:val="none" w:color="FFFFFF" w:sz="0"/>
              <w:bottom w:val="none" w:color="FFFFFF" w:sz="0"/>
              <w:right w:val="none" w:color="FFFFFF" w:sz="0"/>
            </w:tcBorders>
            <w:shd w:fill="FFFFFF" w:val="clear"/>
            <w:tcMar>
              <w:top w:type="dxa" w:w="0"/>
              <w:left w:type="dxa" w:w="0"/>
              <w:bottom w:type="dxa" w:w="0"/>
              <w:right w:type="dxa" w:w="80"/>
            </w:tcMar>
          </w:tcPr>
          <w:p>
            <w:pPr>
              <w:spacing w:after="30"/>
            </w:pPr>
            <w:r>
              <w:rPr>
                <w:rFonts w:ascii="Calibri" w:cs="Calibri" w:eastAsia="Calibri" w:hAnsi="Calibri"/>
                <w:b/>
                <w:bCs/>
                <w:color w:val="222222"/>
                <w:sz w:val="18"/>
                <w:szCs w:val="18"/>
              </w:rPr>
              <w:t xml:space="preserve">Bilal Hydrie</w:t>
            </w:r>
          </w:p>
          <w:p>
            <w:pPr>
              <w:spacing w:after="30"/>
            </w:pPr>
            <w:r>
              <w:rPr>
                <w:rFonts w:ascii="Calibri" w:cs="Calibri" w:eastAsia="Calibri" w:hAnsi="Calibri"/>
                <w:color w:val="444444"/>
                <w:sz w:val="17"/>
                <w:szCs w:val="17"/>
              </w:rPr>
              <w:t xml:space="preserve">President &amp; CEO</w:t>
            </w:r>
          </w:p>
          <w:p>
            <w:pPr>
              <w:spacing w:after="0"/>
            </w:pPr>
            <w:r>
              <w:rPr>
                <w:rFonts w:ascii="Calibri" w:cs="Calibri" w:eastAsia="Calibri" w:hAnsi="Calibri"/>
                <w:color w:val="444444"/>
                <w:sz w:val="17"/>
                <w:szCs w:val="17"/>
              </w:rPr>
              <w:t xml:space="preserve">info@inclusivenergy.com</w:t>
            </w:r>
          </w:p>
        </w:tc>
        <w:tc>
          <w:tcPr>
            <w:tcW w:type="dxa" w:w="1872"/>
            <w:tcBorders>
              <w:top w:val="none" w:color="FFFFFF" w:sz="0"/>
              <w:left w:val="none" w:color="FFFFFF" w:sz="0"/>
              <w:bottom w:val="none" w:color="FFFFFF" w:sz="0"/>
              <w:right w:val="none" w:color="FFFFFF" w:sz="0"/>
            </w:tcBorders>
            <w:shd w:fill="FFFFFF" w:val="clear"/>
            <w:tcMar>
              <w:top w:type="dxa" w:w="0"/>
              <w:left w:type="dxa" w:w="0"/>
              <w:bottom w:type="dxa" w:w="0"/>
              <w:right w:type="dxa" w:w="80"/>
            </w:tcMar>
          </w:tcPr>
          <w:p>
            <w:pPr>
              <w:spacing w:after="30"/>
            </w:pPr>
            <w:r>
              <w:rPr>
                <w:rFonts w:ascii="Calibri" w:cs="Calibri" w:eastAsia="Calibri" w:hAnsi="Calibri"/>
                <w:b/>
                <w:bCs/>
                <w:color w:val="222222"/>
                <w:sz w:val="18"/>
                <w:szCs w:val="18"/>
              </w:rPr>
              <w:t xml:space="preserve">Capital Inquiries</w:t>
            </w:r>
          </w:p>
          <w:p>
            <w:pPr>
              <w:spacing w:after="30"/>
            </w:pPr>
            <w:r>
              <w:rPr>
                <w:rFonts w:ascii="Calibri" w:cs="Calibri" w:eastAsia="Calibri" w:hAnsi="Calibri"/>
                <w:color w:val="444444"/>
                <w:sz w:val="17"/>
                <w:szCs w:val="17"/>
              </w:rPr>
              <w:t xml:space="preserve">Investment &amp; Partnerships</w:t>
            </w:r>
          </w:p>
          <w:p>
            <w:pPr>
              <w:spacing w:after="0"/>
            </w:pPr>
            <w:r>
              <w:rPr>
                <w:rFonts w:ascii="Calibri" w:cs="Calibri" w:eastAsia="Calibri" w:hAnsi="Calibri"/>
                <w:color w:val="444444"/>
                <w:sz w:val="17"/>
                <w:szCs w:val="17"/>
              </w:rPr>
              <w:t xml:space="preserve">sales@inclusivenergy.com</w:t>
            </w:r>
          </w:p>
        </w:tc>
        <w:tc>
          <w:tcPr>
            <w:tcW w:type="dxa" w:w="1872"/>
            <w:tcBorders>
              <w:top w:val="none" w:color="FFFFFF" w:sz="0"/>
              <w:left w:val="none" w:color="FFFFFF" w:sz="0"/>
              <w:bottom w:val="none" w:color="FFFFFF" w:sz="0"/>
              <w:right w:val="none" w:color="FFFFFF" w:sz="0"/>
            </w:tcBorders>
            <w:shd w:fill="FFFFFF" w:val="clear"/>
            <w:tcMar>
              <w:top w:type="dxa" w:w="0"/>
              <w:left w:type="dxa" w:w="0"/>
              <w:bottom w:type="dxa" w:w="0"/>
              <w:right w:type="dxa" w:w="80"/>
            </w:tcMar>
          </w:tcPr>
          <w:p>
            <w:pPr>
              <w:spacing w:after="30"/>
            </w:pPr>
            <w:r>
              <w:rPr>
                <w:rFonts w:ascii="Calibri" w:cs="Calibri" w:eastAsia="Calibri" w:hAnsi="Calibri"/>
                <w:b/>
                <w:bCs/>
                <w:color w:val="222222"/>
                <w:sz w:val="18"/>
                <w:szCs w:val="18"/>
              </w:rPr>
              <w:t xml:space="preserve">Central Alberta</w:t>
            </w:r>
          </w:p>
          <w:p>
            <w:pPr>
              <w:spacing w:after="30"/>
            </w:pPr>
            <w:r>
              <w:rPr>
                <w:rFonts w:ascii="Calibri" w:cs="Calibri" w:eastAsia="Calibri" w:hAnsi="Calibri"/>
                <w:color w:val="444444"/>
                <w:sz w:val="17"/>
                <w:szCs w:val="17"/>
              </w:rPr>
              <w:t xml:space="preserve">Equipment &amp; Rentals</w:t>
            </w:r>
          </w:p>
          <w:p>
            <w:pPr>
              <w:spacing w:after="0"/>
            </w:pPr>
            <w:r>
              <w:rPr>
                <w:rFonts w:ascii="Calibri" w:cs="Calibri" w:eastAsia="Calibri" w:hAnsi="Calibri"/>
                <w:color w:val="444444"/>
                <w:sz w:val="17"/>
                <w:szCs w:val="17"/>
              </w:rPr>
              <w:t xml:space="preserve">+1 780.712.8881</w:t>
            </w:r>
          </w:p>
        </w:tc>
        <w:tc>
          <w:tcPr>
            <w:tcW w:type="dxa" w:w="1872"/>
            <w:tcBorders>
              <w:top w:val="none" w:color="FFFFFF" w:sz="0"/>
              <w:left w:val="none" w:color="FFFFFF" w:sz="0"/>
              <w:bottom w:val="none" w:color="FFFFFF" w:sz="0"/>
              <w:right w:val="none" w:color="FFFFFF" w:sz="0"/>
            </w:tcBorders>
            <w:shd w:fill="FFFFFF" w:val="clear"/>
            <w:tcMar>
              <w:top w:type="dxa" w:w="0"/>
              <w:left w:type="dxa" w:w="0"/>
              <w:bottom w:type="dxa" w:w="0"/>
              <w:right w:type="dxa" w:w="80"/>
            </w:tcMar>
          </w:tcPr>
          <w:p>
            <w:pPr>
              <w:spacing w:after="30"/>
            </w:pPr>
            <w:r>
              <w:rPr>
                <w:rFonts w:ascii="Calibri" w:cs="Calibri" w:eastAsia="Calibri" w:hAnsi="Calibri"/>
                <w:b/>
                <w:bCs/>
                <w:color w:val="222222"/>
                <w:sz w:val="18"/>
                <w:szCs w:val="18"/>
              </w:rPr>
              <w:t xml:space="preserve">Calgary Office</w:t>
            </w:r>
          </w:p>
          <w:p>
            <w:pPr>
              <w:spacing w:after="30"/>
            </w:pPr>
            <w:r>
              <w:rPr>
                <w:rFonts w:ascii="Calibri" w:cs="Calibri" w:eastAsia="Calibri" w:hAnsi="Calibri"/>
                <w:color w:val="444444"/>
                <w:sz w:val="17"/>
                <w:szCs w:val="17"/>
              </w:rPr>
              <w:t xml:space="preserve">Headquarters</w:t>
            </w:r>
          </w:p>
          <w:p>
            <w:pPr>
              <w:spacing w:after="0"/>
            </w:pPr>
            <w:r>
              <w:rPr>
                <w:rFonts w:ascii="Calibri" w:cs="Calibri" w:eastAsia="Calibri" w:hAnsi="Calibri"/>
                <w:color w:val="444444"/>
                <w:sz w:val="17"/>
                <w:szCs w:val="17"/>
              </w:rPr>
              <w:t xml:space="preserve">+1 403.444.6897</w:t>
            </w:r>
          </w:p>
        </w:tc>
        <w:tc>
          <w:tcPr>
            <w:tcW w:type="dxa" w:w="1872"/>
            <w:tcBorders>
              <w:top w:val="none" w:color="FFFFFF" w:sz="0"/>
              <w:left w:val="none" w:color="FFFFFF" w:sz="0"/>
              <w:bottom w:val="none" w:color="FFFFFF" w:sz="0"/>
              <w:right w:val="none" w:color="FFFFFF" w:sz="0"/>
            </w:tcBorders>
            <w:shd w:fill="FFFFFF" w:val="clear"/>
            <w:tcMar>
              <w:top w:type="dxa" w:w="0"/>
              <w:left w:type="dxa" w:w="0"/>
              <w:bottom w:type="dxa" w:w="0"/>
              <w:right w:type="dxa" w:w="80"/>
            </w:tcMar>
          </w:tcPr>
          <w:p>
            <w:pPr>
              <w:spacing w:after="30"/>
            </w:pPr>
            <w:r>
              <w:rPr>
                <w:rFonts w:ascii="Calibri" w:cs="Calibri" w:eastAsia="Calibri" w:hAnsi="Calibri"/>
                <w:b/>
                <w:bCs/>
                <w:color w:val="222222"/>
                <w:sz w:val="18"/>
                <w:szCs w:val="18"/>
              </w:rPr>
              <w:t xml:space="preserve">inclusivenergy.com</w:t>
            </w:r>
          </w:p>
          <w:p>
            <w:pPr>
              <w:spacing w:after="30"/>
            </w:pPr>
            <w:r>
              <w:rPr>
                <w:rFonts w:ascii="Calibri" w:cs="Calibri" w:eastAsia="Calibri" w:hAnsi="Calibri"/>
                <w:color w:val="444444"/>
                <w:sz w:val="17"/>
                <w:szCs w:val="17"/>
              </w:rPr>
              <w:t xml:space="preserve">Web &amp; Media</w:t>
            </w:r>
          </w:p>
          <w:p>
            <w:pPr>
              <w:spacing w:after="0"/>
            </w:pPr>
            <w:r>
              <w:rPr>
                <w:rFonts w:ascii="Calibri" w:cs="Calibri" w:eastAsia="Calibri" w:hAnsi="Calibri"/>
                <w:color w:val="444444"/>
                <w:sz w:val="17"/>
                <w:szCs w:val="17"/>
              </w:rPr>
              <w:t xml:space="preserve">Crossfield, AB</w:t>
            </w:r>
          </w:p>
        </w:tc>
      </w:tr>
    </w:tbl>
    <w:sectPr>
      <w:pgSz w:w="12240" w:h="15840" w:orient="portrait"/>
      <w:pgMar w:top="1224" w:right="1440" w:bottom="1224"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360" w:hanging="220"/>
      </w:pPr>
      <w:rPr>
        <w:rFonts w:ascii="Calibri" w:cs="Calibri" w:eastAsia="Calibri" w:hAnsi="Calibri"/>
        <w:color w:val="222222"/>
        <w:sz w:val="19"/>
        <w:szCs w:val="19"/>
      </w:rPr>
    </w:lvl>
  </w:abstractNum>
  <w:abstractNum w:abstractNumId="3" w15:restartNumberingAfterBreak="0">
    <w:multiLevelType w:val="hybridMultilevel"/>
    <w:lvl w:ilvl="0" w15:tentative="1">
      <w:start w:val="1"/>
      <w:numFmt w:val="bullet"/>
      <w:lvlText w:val="–"/>
      <w:lvlJc w:val="left"/>
      <w:pPr>
        <w:ind w:left="580" w:hanging="200"/>
      </w:pPr>
      <w:rPr>
        <w:rFonts w:ascii="Calibri" w:cs="Calibri" w:eastAsia="Calibri" w:hAnsi="Calibri"/>
        <w:color w:val="222222"/>
        <w:sz w:val="19"/>
        <w:szCs w:val="19"/>
      </w:rPr>
    </w:lvl>
  </w:abstractNum>
  <w:num w:numId="1">
    <w:abstractNumId w:val="1"/>
    <w:lvlOverride w:ilvl="0">
      <w:startOverride w:val="1"/>
    </w:lvlOverride>
  </w:num>
  <w:num w:numId="2">
    <w:abstractNumId w:val="2"/>
    <w:lvlOverride w:ilvl="0">
      <w:startOverride w:val="1"/>
    </w:lvlOverride>
  </w:num>
  <w:num w:numId="3">
    <w:abstractNumId w:val="3"/>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222222"/>
        <w:sz w:val="20"/>
        <w:szCs w:val="20"/>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image" Target="media/d8c61d04f2d7dddc1cc27d628651598c6573c69b.png"/><Relationship Id="rId8" Type="http://schemas.openxmlformats.org/officeDocument/2006/relationships/image" Target="media/79568c8c5cfa94d1ab1ce1e8171708d809ac3999.png"/><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2026-04-06T20:15:45.620Z</dcterms:created>
  <dcterms:modified xsi:type="dcterms:W3CDTF">2026-04-06T20:15:45.621Z</dcterms:modified>
</cp:coreProperties>
</file>

<file path=docProps/custom.xml><?xml version="1.0" encoding="utf-8"?>
<Properties xmlns="http://schemas.openxmlformats.org/officeDocument/2006/custom-properties" xmlns:vt="http://schemas.openxmlformats.org/officeDocument/2006/docPropsVTypes"/>
</file>