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aps/>
          <w:color w:val="9C7A3C"/>
          <w:spacing w:val="20"/>
          <w:sz w:val="20"/>
          <w:szCs w:val="20"/>
        </w:rPr>
        <w:t xml:space="preserve">ARAW SCIENCE</w:t>
      </w:r>
    </w:p>
    <w:p>
      <w:pPr>
        <w:pBdr>
          <w:bottom w:val="single" w:color="13294B" w:sz="12" w:space="6"/>
        </w:pBdr>
        <w:spacing w:after="260"/>
        <w:jc w:val="center"/>
      </w:pPr>
      <w:r>
        <w:rPr>
          <w:i/>
          <w:iCs/>
          <w:color w:val="555555"/>
          <w:sz w:val="18"/>
          <w:szCs w:val="18"/>
        </w:rPr>
        <w:t xml:space="preserve">The Discerning Practitioner Series — Clinical Reference</w:t>
      </w:r>
    </w:p>
    <w:p>
      <w:pPr>
        <w:spacing w:after="100"/>
        <w:jc w:val="center"/>
      </w:pPr>
      <w:r>
        <w:rPr>
          <w:b/>
          <w:bCs/>
          <w:color w:val="13294B"/>
          <w:sz w:val="34"/>
          <w:szCs w:val="34"/>
        </w:rPr>
        <w:t xml:space="preserve">Donor Age, Tissue Source, and the Inflammatory Bias of the Regenerative Secretome</w:t>
      </w:r>
    </w:p>
    <w:p>
      <w:pPr>
        <w:spacing w:after="60"/>
        <w:jc w:val="center"/>
      </w:pPr>
      <w:r>
        <w:rPr>
          <w:i/>
          <w:iCs/>
          <w:color w:val="555555"/>
          <w:sz w:val="22"/>
          <w:szCs w:val="22"/>
        </w:rPr>
        <w:t xml:space="preserve">Why the Biological Age of the Donor Determines Whether a Cell-Free Therapy Calms or Inflames the Tissue It Is Meant to Regenerate</w:t>
      </w:r>
    </w:p>
    <w:p>
      <w:pPr>
        <w:spacing w:after="420"/>
        <w:jc w:val="center"/>
      </w:pPr>
      <w:r>
        <w:rPr>
          <w:color w:val="555555"/>
          <w:sz w:val="18"/>
          <w:szCs w:val="18"/>
        </w:rPr>
        <w:t xml:space="preserve">Prepared for RCX Network Partner Clinics — Hair Restoration &amp; Regenerative Aesthetics</w:t>
      </w:r>
    </w:p>
    <w:p>
      <w:pPr>
        <w:pStyle w:val="Heading1"/>
        <w:pBdr>
          <w:bottom w:val="single" w:color="9C7A3C" w:sz="6" w:space="4"/>
        </w:pBdr>
        <w:spacing w:after="160" w:before="360"/>
      </w:pPr>
      <w:r>
        <w:rPr>
          <w:b/>
          <w:bCs/>
          <w:color w:val="13294B"/>
          <w:sz w:val="27"/>
          <w:szCs w:val="27"/>
        </w:rPr>
        <w:t xml:space="preserve">Purpose</w:t>
      </w:r>
    </w:p>
    <w:p>
      <w:pPr>
        <w:spacing w:after="160" w:line="300"/>
      </w:pPr>
      <w:r>
        <w:rPr>
          <w:color w:val="222222"/>
          <w:sz w:val="22"/>
          <w:szCs w:val="22"/>
        </w:rPr>
        <w:t xml:space="preserve">This reference is written for physicians, PAs, NPs, and estheticians evaluating autologous hair-restoration technologies — including autologous PRP, exosome, and hair-follicle-secretome protocols — against allogeneic, perinatal-tissue-derived cell-free platforms such as Cellavé. It summarizes peer-reviewed evidence on a variable that is rarely disclosed to patients or practitioners: the chronological age of the cell donor measurably shifts the inflammatory character of the secretome itself, independent of technique or preparation quality.</w:t>
      </w:r>
    </w:p>
    <w:p>
      <w:pPr>
        <w:pStyle w:val="Heading1"/>
        <w:pBdr>
          <w:bottom w:val="single" w:color="9C7A3C" w:sz="6" w:space="4"/>
        </w:pBdr>
        <w:spacing w:after="160" w:before="360"/>
      </w:pPr>
      <w:r>
        <w:rPr>
          <w:b/>
          <w:bCs/>
          <w:color w:val="13294B"/>
          <w:sz w:val="27"/>
          <w:szCs w:val="27"/>
        </w:rPr>
        <w:t xml:space="preserve">The Core Clinical Question</w:t>
      </w:r>
    </w:p>
    <w:p>
      <w:pPr>
        <w:spacing w:after="160" w:line="300"/>
      </w:pPr>
      <w:r>
        <w:rPr>
          <w:color w:val="222222"/>
          <w:sz w:val="22"/>
          <w:szCs w:val="22"/>
        </w:rPr>
        <w:t xml:space="preserve">Autologous regenerative protocols — whether harvested from a patient's adipose tissue, bone marrow, or plucked hair follicles — use the patient as their own donor. This is often marketed as an advantage: no immune mismatch, no allogeneic sourcing concerns. What is far less discussed is that the same biological age responsible for the hair loss, skin laxity, or slow healing a patient is seeking to treat is also the age of the cells being harvested to treat it.</w:t>
      </w:r>
    </w:p>
    <w:p>
      <w:pPr>
        <w:spacing w:after="160" w:line="300"/>
      </w:pPr>
      <w:r>
        <w:rPr>
          <w:color w:val="222222"/>
          <w:sz w:val="22"/>
          <w:szCs w:val="22"/>
        </w:rPr>
        <w:t xml:space="preserve">A growing body of stem cell biology shows that donor age does not merely reduce the potency of a secretome — it changes its composition, shifting it toward a pro-inflammatory signature and away from the reparative, anti-inflammatory signaling that regenerative therapy is meant to deliver.</w:t>
      </w:r>
    </w:p>
    <w:p>
      <w:pPr>
        <w:pStyle w:val="Heading1"/>
        <w:pBdr>
          <w:bottom w:val="single" w:color="9C7A3C" w:sz="6" w:space="4"/>
        </w:pBdr>
        <w:spacing w:after="160" w:before="360"/>
      </w:pPr>
      <w:r>
        <w:rPr>
          <w:b/>
          <w:bCs/>
          <w:color w:val="13294B"/>
          <w:sz w:val="27"/>
          <w:szCs w:val="27"/>
        </w:rPr>
        <w:t xml:space="preserve">The Mechanism: Senescence-Associated Secretory Phenotype (SASP)</w:t>
      </w:r>
    </w:p>
    <w:p>
      <w:pPr>
        <w:spacing w:after="160" w:line="300"/>
      </w:pPr>
      <w:r>
        <w:rPr>
          <w:color w:val="222222"/>
          <w:sz w:val="22"/>
          <w:szCs w:val="22"/>
        </w:rPr>
        <w:t xml:space="preserve">As mesenchymal stem cells (MSCs) age — whether through chronological donor aging or replicative senescence in culture — they acquire a distinct secretory signature known as the senescence-associated secretory phenotype, or SASP. SASP is characterized by elevated secretion of pro-inflammatory cytokines and chemokines, including IL-6, IL-8, and monocyte chemoattractant protein-1 (MCP-1), alongside chemotactic signals (CCL8, CCL3, CXCL9, CXCL10) that recruit immune cells into the tissue niche rather than resolving inflammation within it.</w:t>
      </w:r>
    </w:p>
    <w:p>
      <w:pPr>
        <w:spacing w:after="160" w:line="300"/>
      </w:pPr>
      <w:r>
        <w:rPr>
          <w:color w:val="222222"/>
          <w:sz w:val="22"/>
          <w:szCs w:val="22"/>
        </w:rPr>
        <w:t xml:space="preserve">This is not a hypothetical concern confined to elderly donors. SASP-driven pro-inflammatory drift has been documented across a range of adult chronological ages, and its downstream effect is a measurable decline in the cell's capacity to suppress local immune activation — the opposite of what a patient undergoing a regenerative procedure is seeking.</w:t>
      </w:r>
    </w:p>
    <w:p>
      <w:pPr>
        <w:pStyle w:val="Heading1"/>
        <w:pBdr>
          <w:bottom w:val="single" w:color="9C7A3C" w:sz="6" w:space="4"/>
        </w:pBdr>
        <w:spacing w:after="160" w:before="360"/>
      </w:pPr>
      <w:r>
        <w:rPr>
          <w:b/>
          <w:bCs/>
          <w:color w:val="13294B"/>
          <w:sz w:val="27"/>
          <w:szCs w:val="27"/>
        </w:rPr>
        <w:t xml:space="preserve">The Published Evidence</w:t>
      </w:r>
    </w:p>
    <w:p>
      <w:pPr>
        <w:pStyle w:val="Heading2"/>
        <w:spacing w:after="120" w:before="260"/>
      </w:pPr>
      <w:r>
        <w:rPr>
          <w:b/>
          <w:bCs/>
          <w:color w:val="13294B"/>
          <w:sz w:val="24"/>
          <w:szCs w:val="24"/>
        </w:rPr>
        <w:t xml:space="preserve">1. Bone marrow and adipose-derived MSCs: older donors, more inflammatory output</w:t>
      </w:r>
    </w:p>
    <w:p>
      <w:pPr>
        <w:spacing w:after="160" w:line="300"/>
      </w:pPr>
      <w:r>
        <w:rPr>
          <w:color w:val="222222"/>
          <w:sz w:val="22"/>
          <w:szCs w:val="22"/>
        </w:rPr>
        <w:t xml:space="preserve">A widely cited review in Frontiers in Cell and Developmental Biology synthesizes multiple donor-age studies and reports that bone-marrow MSCs from older donors secrete significantly more IL-6 than those from younger donors, and that adipose-derived MSCs isolated from patients over 65 display a pro-inflammatory secretome — elevated IL-6, IL-8, and MCP-1 — paired with a reduced ability to suppress T-cell proliferation and activation. Neutralizing these elevated cytokines in the laboratory restored the cells' immunosuppressive capacity, directly demonstrating that the inflammatory shift is attributable to secretome composition rather than cell number or viability.</w:t>
      </w:r>
    </w:p>
    <w:p>
      <w:pPr>
        <w:pStyle w:val="Heading2"/>
        <w:spacing w:after="120" w:before="260"/>
      </w:pPr>
      <w:r>
        <w:rPr>
          <w:b/>
          <w:bCs/>
          <w:color w:val="13294B"/>
          <w:sz w:val="24"/>
          <w:szCs w:val="24"/>
        </w:rPr>
        <w:t xml:space="preserve">2. Tissue source and donor age jointly shape the secretome</w:t>
      </w:r>
    </w:p>
    <w:p>
      <w:pPr>
        <w:spacing w:after="160" w:line="300"/>
      </w:pPr>
      <w:r>
        <w:rPr>
          <w:color w:val="222222"/>
          <w:sz w:val="22"/>
          <w:szCs w:val="22"/>
        </w:rPr>
        <w:t xml:space="preserve">A 2023 study in the journal Stem Cells (Turlo et al., University of Liverpool) used mass spectrometry to profile the full secreted-protein output of MSCs across donor ages and tissue sources. The study found that donor age was independently associated with increased secretion of MCP-1 — the same SASP marker implicated in chronic, low-grade tissue inflammation — and with a decline in proteins that support healthy extracellular-matrix remodeling (CTHRC1, lysyl oxidase). The authors concluded that both tissue source and donor age should be treated as clinical variables when selecting an MSC source for therapeutic use, not as incidental details of manufacturing.</w:t>
      </w:r>
    </w:p>
    <w:p>
      <w:pPr>
        <w:pStyle w:val="Heading2"/>
        <w:spacing w:after="120" w:before="260"/>
      </w:pPr>
      <w:r>
        <w:rPr>
          <w:b/>
          <w:bCs/>
          <w:color w:val="13294B"/>
          <w:sz w:val="24"/>
          <w:szCs w:val="24"/>
        </w:rPr>
        <w:t xml:space="preserve">3. Extracellular vesicle cargo shifts with age from birth onward</w:t>
      </w:r>
    </w:p>
    <w:p>
      <w:pPr>
        <w:spacing w:after="160" w:line="300"/>
      </w:pPr>
      <w:r>
        <w:rPr>
          <w:color w:val="222222"/>
          <w:sz w:val="22"/>
          <w:szCs w:val="22"/>
        </w:rPr>
        <w:t xml:space="preserve">A Nature Scientific Reports study (Fafián-Labora et al.) sequenced extracellular vesicles from bone-marrow MSCs across six donor age groups, from newborn through adult. Newborn-derived cells served as the study's low-inflammation reference point: the young, pre-pubertal, and adult donor groups all showed substantially more differentially expressed inflammation- and chemokine-signaling genes relative to that newborn baseline. In other words, the inflammatory drift begins accumulating from the earliest years of life onward — it is not a phenomenon exclusive to older or elderly patients.</w:t>
      </w:r>
    </w:p>
    <w:p>
      <w:pPr>
        <w:pStyle w:val="Heading2"/>
        <w:spacing w:after="120" w:before="260"/>
      </w:pPr>
      <w:r>
        <w:rPr>
          <w:b/>
          <w:bCs/>
          <w:color w:val="13294B"/>
          <w:sz w:val="24"/>
          <w:szCs w:val="24"/>
        </w:rPr>
        <w:t xml:space="preserve">4. Perinatal tissue sits at the opposite end of the spectrum from adult autologous sources</w:t>
      </w:r>
    </w:p>
    <w:p>
      <w:pPr>
        <w:spacing w:after="160" w:line="300"/>
      </w:pPr>
      <w:r>
        <w:rPr>
          <w:color w:val="222222"/>
          <w:sz w:val="22"/>
          <w:szCs w:val="22"/>
        </w:rPr>
        <w:t xml:space="preserve">Comparative secretome profiling across tissue types — adipose, bone marrow, placenta, and Wharton's Jelly (Shin et al., International Journal of Molecular Sciences, 2021) — has repeatedly shown that Wharton's-Jelly-derived MSCs express a distinct paracrine profile from adult tissue sources, generally richer in the trophic and anti-inflammatory factors associated with tissue repair. This is consistent with the broader aging literature above: perinatal donor tissue has not yet accumulated the SASP-driven inflammatory burden that adult and aged tissue carries.</w:t>
      </w:r>
    </w:p>
    <w:tbl>
      <w:tblPr>
        <w:tblW w:type="pct" w:w="100%"/>
        <w:tblBorders>
          <w:top w:val="single" w:color="9C7A3C" w:sz="4"/>
          <w:left w:val="single" w:color="9C7A3C" w:sz="4"/>
          <w:bottom w:val="single" w:color="9C7A3C" w:sz="4"/>
          <w:right w:val="single" w:color="9C7A3C" w:sz="4"/>
          <w:insideH w:val="none" w:color="FFFFFF" w:sz="0"/>
          <w:insideV w:val="none" w:color="FFFFFF" w:sz="0"/>
        </w:tblBorders>
      </w:tblPr>
      <w:tblGrid>
        <w:gridCol w:w="100"/>
      </w:tblGrid>
      <w:tr>
        <w:tc>
          <w:tcPr>
            <w:tcW w:type="pct" w:w="100%"/>
            <w:shd w:fill="F2F1EE" w:val="clear"/>
            <w:tcMar>
              <w:top w:type="dxa" w:w="200"/>
              <w:left w:type="dxa" w:w="240"/>
              <w:bottom w:type="dxa" w:w="200"/>
              <w:right w:type="dxa" w:w="240"/>
            </w:tcMar>
          </w:tcPr>
          <w:p>
            <w:pPr>
              <w:spacing w:after="80"/>
            </w:pPr>
            <w:r>
              <w:rPr>
                <w:b/>
                <w:bCs/>
                <w:color w:val="13294B"/>
                <w:sz w:val="21"/>
                <w:szCs w:val="21"/>
              </w:rPr>
              <w:t xml:space="preserve">Clinical translation for hair restoration</w:t>
            </w:r>
          </w:p>
          <w:p>
            <w:pPr>
              <w:spacing w:after="0" w:line="276"/>
            </w:pPr>
            <w:r>
              <w:rPr>
                <w:color w:val="222222"/>
                <w:sz w:val="21"/>
                <w:szCs w:val="21"/>
              </w:rPr>
              <w:t xml:space="preserve">A patient's own plucked hair follicles or PRP are, by definition, harvested from a donor who is exactly as old as the condition being treated — whether that is androgenetic alopecia, telogen effluvium, or age-related follicular miniaturization. The secretome those autologous cells produce carries the same age-related inflammatory bias documented above. </w:t>
            </w:r>
            <w:r>
              <w:rPr>
                <w:b/>
                <w:bCs/>
                <w:color w:val="222222"/>
                <w:sz w:val="21"/>
                <w:szCs w:val="21"/>
              </w:rPr>
              <w:t xml:space="preserve">Cellavé is sourced from Wharton's Jelly of the umbilical cord vein, placing it at the opposite end of the donor-age spectrum from any autologous adult tissue — the biological rationale for why it is formulated to deliver anti-inflammatory, reparative signaling rather than the pro-inflammatory drift associated with an aged autologous donor source.</w:t>
            </w:r>
          </w:p>
        </w:tc>
      </w:tr>
    </w:tbl>
    <w:p>
      <w:pPr>
        <w:pStyle w:val="Heading1"/>
        <w:pBdr>
          <w:bottom w:val="single" w:color="9C7A3C" w:sz="6" w:space="4"/>
        </w:pBdr>
        <w:spacing w:after="160" w:before="360"/>
      </w:pPr>
      <w:r>
        <w:rPr>
          <w:b/>
          <w:bCs/>
          <w:color w:val="13294B"/>
          <w:sz w:val="27"/>
          <w:szCs w:val="27"/>
        </w:rPr>
        <w:t xml:space="preserve">Key Takeaways for Practitioners</w:t>
      </w:r>
    </w:p>
    <w:p>
      <w:pPr>
        <w:pStyle w:val="ListParagraph"/>
        <w:numPr>
          <w:ilvl w:val="0"/>
          <w:numId w:val="2"/>
        </w:numPr>
        <w:spacing w:after="90" w:line="288"/>
      </w:pPr>
      <w:r>
        <w:rPr>
          <w:color w:val="222222"/>
          <w:sz w:val="22"/>
          <w:szCs w:val="22"/>
        </w:rPr>
        <w:t xml:space="preserve">Donor age is a biological variable in secretome composition, not just a proxy for cell yield or viability — it changes what the cells secrete, not only how many cells there are.</w:t>
      </w:r>
    </w:p>
    <w:p>
      <w:pPr>
        <w:pStyle w:val="ListParagraph"/>
        <w:numPr>
          <w:ilvl w:val="0"/>
          <w:numId w:val="2"/>
        </w:numPr>
        <w:spacing w:after="90" w:line="288"/>
      </w:pPr>
      <w:r>
        <w:rPr>
          <w:color w:val="222222"/>
          <w:sz w:val="22"/>
          <w:szCs w:val="22"/>
        </w:rPr>
        <w:t xml:space="preserve">The senescence-associated secretory phenotype (SASP) drives a measurable shift toward IL-6, IL-8, and MCP-1 — and away from the anti-inflammatory, tissue-repair signaling patients are seeking.</w:t>
      </w:r>
    </w:p>
    <w:p>
      <w:pPr>
        <w:pStyle w:val="ListParagraph"/>
        <w:numPr>
          <w:ilvl w:val="0"/>
          <w:numId w:val="2"/>
        </w:numPr>
        <w:spacing w:after="90" w:line="288"/>
      </w:pPr>
      <w:r>
        <w:rPr>
          <w:color w:val="222222"/>
          <w:sz w:val="22"/>
          <w:szCs w:val="22"/>
        </w:rPr>
        <w:t xml:space="preserve">This inflammatory drift has been documented across chronological donor ages in humans and, in equine models, is independently associated with age even after accounting for tissue source.</w:t>
      </w:r>
    </w:p>
    <w:p>
      <w:pPr>
        <w:pStyle w:val="ListParagraph"/>
        <w:numPr>
          <w:ilvl w:val="0"/>
          <w:numId w:val="2"/>
        </w:numPr>
        <w:spacing w:after="90" w:line="288"/>
      </w:pPr>
      <w:r>
        <w:rPr>
          <w:color w:val="222222"/>
          <w:sz w:val="22"/>
          <w:szCs w:val="22"/>
        </w:rPr>
        <w:t xml:space="preserve">Perinatal (Wharton's Jelly) tissue sourcing represents the opposite end of this age spectrum from any autologous adult harvest — including hair-follicle, adipose, and bone-marrow sources.</w:t>
      </w:r>
    </w:p>
    <w:p>
      <w:pPr>
        <w:pStyle w:val="ListParagraph"/>
        <w:numPr>
          <w:ilvl w:val="0"/>
          <w:numId w:val="2"/>
        </w:numPr>
        <w:spacing w:after="90" w:line="288"/>
      </w:pPr>
      <w:r>
        <w:rPr>
          <w:color w:val="222222"/>
          <w:sz w:val="22"/>
          <w:szCs w:val="22"/>
        </w:rPr>
        <w:t xml:space="preserve">This is a scientific rationale for patient education, not a claim of clinical superiority in outcomes — head-to-head trials directly comparing autologous hair-follicle secretome to perinatal allogeneic secretome for hair restoration are still needed and, to date, have not been published.</w:t>
      </w:r>
    </w:p>
    <w:p>
      <w:pPr>
        <w:pStyle w:val="Heading1"/>
        <w:pBdr>
          <w:bottom w:val="single" w:color="9C7A3C" w:sz="6" w:space="4"/>
        </w:pBdr>
        <w:spacing w:after="160" w:before="360"/>
      </w:pPr>
      <w:r>
        <w:rPr>
          <w:b/>
          <w:bCs/>
          <w:color w:val="13294B"/>
          <w:sz w:val="27"/>
          <w:szCs w:val="27"/>
        </w:rPr>
        <w:t xml:space="preserve">A Note on Scientific Framing</w:t>
      </w:r>
    </w:p>
    <w:p>
      <w:pPr>
        <w:spacing w:after="160" w:line="300"/>
      </w:pPr>
      <w:r>
        <w:rPr>
          <w:color w:val="222222"/>
          <w:sz w:val="22"/>
          <w:szCs w:val="22"/>
        </w:rPr>
        <w:t xml:space="preserve">The studies cited here establish donor-age-related shifts in secretome composition as a documented biological phenomenon — they do not, on their own, constitute a head-to-head clinical trial proving one therapy outperforms another for hair regrowth. Practitioners should present this evidence to patients as mechanistic context for an informed choice between autologous and allogeneic options, consistent with FDA guidance on regenerative product claims and each clinic's own scope-of-practice and informed-consent standards.</w:t>
      </w:r>
    </w:p>
    <w:p>
      <w:pPr>
        <w:pStyle w:val="Heading1"/>
        <w:pBdr>
          <w:bottom w:val="single" w:color="9C7A3C" w:sz="6" w:space="4"/>
        </w:pBdr>
        <w:spacing w:after="160" w:before="360"/>
      </w:pPr>
      <w:r>
        <w:rPr>
          <w:b/>
          <w:bCs/>
          <w:color w:val="13294B"/>
          <w:sz w:val="27"/>
          <w:szCs w:val="27"/>
        </w:rPr>
        <w:t xml:space="preserve">References</w:t>
      </w:r>
    </w:p>
    <w:p>
      <w:pPr>
        <w:pStyle w:val="ListParagraph"/>
        <w:numPr>
          <w:ilvl w:val="0"/>
          <w:numId w:val="3"/>
        </w:numPr>
        <w:spacing w:after="130" w:line="276"/>
      </w:pPr>
      <w:r>
        <w:rPr>
          <w:i w:val="false"/>
          <w:iCs w:val="false"/>
          <w:color w:val="333333"/>
          <w:sz w:val="20"/>
          <w:szCs w:val="20"/>
        </w:rPr>
        <w:t xml:space="preserve">Turlo AJ, Hammond DE, Ramsbottom KA, Soul J, Gillen A, McDonald K, Peffers MJ. Mesenchymal Stromal Cell Secretome Is Affected by Tissue Source and Donor Age. Stem Cells. 2023;41(11):1047-1059. doi:10.1093/stmcls/sxad060.</w:t>
      </w:r>
    </w:p>
    <w:p>
      <w:pPr>
        <w:pStyle w:val="ListParagraph"/>
        <w:numPr>
          <w:ilvl w:val="0"/>
          <w:numId w:val="3"/>
        </w:numPr>
        <w:spacing w:after="130" w:line="276"/>
      </w:pPr>
      <w:r>
        <w:rPr>
          <w:i w:val="false"/>
          <w:iCs w:val="false"/>
          <w:color w:val="333333"/>
          <w:sz w:val="20"/>
          <w:szCs w:val="20"/>
        </w:rPr>
        <w:t xml:space="preserve">Fafián-Labora J, Lesende-Rodriguez I, Fernández-Pernas P, Sangiao-Alvarellos S, Monserrat L, Arntz OJ, van de Loo FJ, Mateos J, Arufe MC. Effect of age on pro-inflammatory miRNAs contained in mesenchymal stem cell-derived extracellular vesicles. Scientific Reports. 2017;7:43923. doi:10.1038/srep43923.</w:t>
      </w:r>
    </w:p>
    <w:p>
      <w:pPr>
        <w:pStyle w:val="ListParagraph"/>
        <w:numPr>
          <w:ilvl w:val="0"/>
          <w:numId w:val="3"/>
        </w:numPr>
        <w:spacing w:after="130" w:line="276"/>
      </w:pPr>
      <w:r>
        <w:rPr>
          <w:i w:val="false"/>
          <w:iCs w:val="false"/>
          <w:color w:val="333333"/>
          <w:sz w:val="20"/>
          <w:szCs w:val="20"/>
        </w:rPr>
        <w:t xml:space="preserve">Age-Related Changes in the Inflammatory Status of Human Mesenchymal Stem Cells: Implications for Cell Therapy. Frontiers in Cell and Developmental Biology (PMC8072029).</w:t>
      </w:r>
    </w:p>
    <w:p>
      <w:pPr>
        <w:pStyle w:val="ListParagraph"/>
        <w:numPr>
          <w:ilvl w:val="0"/>
          <w:numId w:val="3"/>
        </w:numPr>
        <w:spacing w:after="130" w:line="276"/>
      </w:pPr>
      <w:r>
        <w:rPr>
          <w:i w:val="false"/>
          <w:iCs w:val="false"/>
          <w:color w:val="333333"/>
          <w:sz w:val="20"/>
          <w:szCs w:val="20"/>
        </w:rPr>
        <w:t xml:space="preserve">Kizilay Mancini D, et al. Age- and disease-related changes in adipose-derived mesenchymal stem cell secretome and immunomodulatory function, as cited in the SASP literature above (2017).</w:t>
      </w:r>
    </w:p>
    <w:p>
      <w:pPr>
        <w:pStyle w:val="ListParagraph"/>
        <w:numPr>
          <w:ilvl w:val="0"/>
          <w:numId w:val="3"/>
        </w:numPr>
        <w:spacing w:after="130" w:line="276"/>
      </w:pPr>
      <w:r>
        <w:rPr>
          <w:i w:val="false"/>
          <w:iCs w:val="false"/>
          <w:color w:val="333333"/>
          <w:sz w:val="20"/>
          <w:szCs w:val="20"/>
        </w:rPr>
        <w:t xml:space="preserve">Shin S, Lee J, Kwon Y, et al. Comparative Proteomic Analysis of the Mesenchymal Stem Cells Secretome from Adipose, Bone Marrow, Placenta and Wharton's Jelly. International Journal of Molecular Sciences. 2021;22(2):845. doi:10.3390/ijms22020845.</w:t>
      </w:r>
    </w:p>
    <w:p>
      <w:pPr>
        <w:pStyle w:val="ListParagraph"/>
        <w:numPr>
          <w:ilvl w:val="0"/>
          <w:numId w:val="3"/>
        </w:numPr>
        <w:spacing w:after="130" w:line="276"/>
      </w:pPr>
      <w:r>
        <w:rPr>
          <w:i w:val="false"/>
          <w:iCs w:val="false"/>
          <w:color w:val="333333"/>
          <w:sz w:val="20"/>
          <w:szCs w:val="20"/>
        </w:rPr>
        <w:t xml:space="preserve">Gnani D, Crippa S, della Volpe L, et al. An early-senescence state in aged mesenchymal stromal cells contributes to hematopoietic stem and progenitor cell clonogenic impairment through the activation of a pro-inflammatory program. Aging Cell. 2019;18(3):e12933. doi:10.1111/acel.12933.</w:t>
      </w:r>
    </w:p>
    <w:p>
      <w:pPr>
        <w:pBdr>
          <w:top w:val="single" w:color="9C7A3C" w:sz="6" w:space="6"/>
        </w:pBdr>
        <w:spacing w:before="420"/>
      </w:pPr>
      <w:r>
        <w:rPr>
          <w:i/>
          <w:iCs/>
          <w:color w:val="555555"/>
          <w:sz w:val="16"/>
          <w:szCs w:val="16"/>
        </w:rPr>
        <w:t xml:space="preserve">© ARAW Science / JCA Global Regenerative Advisory LLC. Prepared for clinical and educational reference within the RCX Network partner community. Not intended as a substitute for FDA-cleared labeling, informed consent materials, or individualized medical judgment.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abstractNum w:abstractNumId="3" w15:restartNumberingAfterBreak="0">
    <w:multiLevelType w:val="hybridMultilevel"/>
    <w:lvl w:ilvl="0" w15:tentative="1">
      <w:start w:val="1"/>
      <w:numFmt w:val="decimal"/>
      <w:lvlText w:val="%1."/>
      <w:lvlJc w:val="left"/>
      <w:pPr>
        <w:ind w:left="504" w:hanging="504"/>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2026-09-10T02:39:06.824Z</dcterms:created>
  <dcterms:modified xsi:type="dcterms:W3CDTF">2026-09-10T02:39:06.837Z</dcterms:modified>
</cp:coreProperties>
</file>

<file path=docProps/custom.xml><?xml version="1.0" encoding="utf-8"?>
<Properties xmlns="http://schemas.openxmlformats.org/officeDocument/2006/custom-properties" xmlns:vt="http://schemas.openxmlformats.org/officeDocument/2006/docPropsVTypes"/>
</file>