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C9973A"/>
          <w:spacing w:val="40"/>
          <w:sz w:val="18"/>
          <w:szCs w:val="18"/>
        </w:rPr>
        <w:t xml:space="preserve">THE ARCHITECTURE OF INCLUSION · ESSAY SERIES</w:t>
      </w:r>
    </w:p>
    <w:p>
      <w:pPr>
        <w:spacing w:after="140"/>
      </w:pPr>
      <w:r>
        <w:rPr>
          <w:rFonts w:ascii="Georgia" w:cs="Georgia" w:eastAsia="Georgia" w:hAnsi="Georgia"/>
          <w:b/>
          <w:bCs/>
          <w:color w:val="0D1B3E"/>
          <w:sz w:val="56"/>
          <w:szCs w:val="56"/>
        </w:rPr>
        <w:t xml:space="preserve">Triangulation</w:t>
      </w:r>
    </w:p>
    <w:p>
      <w:pPr>
        <w:spacing w:after="200"/>
      </w:pPr>
      <w:r>
        <w:rPr>
          <w:rFonts w:ascii="Georgia" w:cs="Georgia" w:eastAsia="Georgia" w:hAnsi="Georgia"/>
          <w:i/>
          <w:iCs/>
          <w:color w:val="1D7A8A"/>
          <w:sz w:val="28"/>
          <w:szCs w:val="28"/>
        </w:rPr>
        <w:t xml:space="preserve">How Pushback Against Diversity, Equity, and Inclusion Is Normalized</w:t>
      </w:r>
    </w:p>
    <w:p>
      <w:pPr>
        <w:spacing w:after="120"/>
      </w:pPr>
      <w:r>
        <w:rPr>
          <w:rFonts w:ascii="Calibri" w:cs="Calibri" w:eastAsia="Calibri" w:hAnsi="Calibri"/>
          <w:color w:val="5A6472"/>
          <w:sz w:val="20"/>
          <w:szCs w:val="20"/>
        </w:rPr>
        <w:t xml:space="preserve">Effenus Henderson  ·  HenderWorks, Inc.  ·  July 2026</w:t>
      </w:r>
    </w:p>
    <w:p>
      <w:pPr>
        <w:pBdr>
          <w:bottom w:val="single" w:color="C9973A" w:sz="8" w:space="1"/>
        </w:pBdr>
        <w:spacing w:after="240" w:before="120"/>
      </w:pPr>
    </w:p>
    <w:p>
      <w:pPr>
        <w:spacing w:after="220" w:line="300"/>
      </w:pPr>
      <w:r>
        <w:rPr>
          <w:rFonts w:ascii="Calibri" w:cs="Calibri" w:eastAsia="Calibri" w:hAnsi="Calibri"/>
          <w:color w:val="1E2230"/>
          <w:sz w:val="22"/>
          <w:szCs w:val="22"/>
        </w:rPr>
        <w:t xml:space="preserve">The most consequential attacks on inclusion are not launched by the people who benefit from them. They are routed. They travel through intermediaries. They arrive wearing someone else's authority — a court's, a shareholder's, a statute's, a concerned colleague's — and by the time they reach their target, the original hand is nowhere in the frame. This is not an accident of how institutional conflict works. It is a design. Family systems theorists gave it a name decades ago: triangulation.</w:t>
      </w:r>
    </w:p>
    <w:p>
      <w:pPr>
        <w:spacing w:after="220" w:line="300"/>
      </w:pPr>
      <w:r>
        <w:rPr>
          <w:rFonts w:ascii="Calibri" w:cs="Calibri" w:eastAsia="Calibri" w:hAnsi="Calibri"/>
          <w:color w:val="1E2230"/>
          <w:sz w:val="22"/>
          <w:szCs w:val="22"/>
        </w:rPr>
        <w:t xml:space="preserve">In its original clinical sense, triangulation describes what happens when a two-person conflict becomes intolerable to the party who started it, and a third party is recruited to absorb, transmit, or legitimize the tension. The aggressor never confronts the target directly. The third vertex does the work. The conflict stabilizes — not by resolving, but by redistributing — and the person who engineered it acquires something more valuable than victory: deniability.</w:t>
      </w:r>
    </w:p>
    <w:p>
      <w:pPr>
        <w:spacing w:after="220" w:line="300"/>
      </w:pPr>
      <w:r>
        <w:rPr>
          <w:rFonts w:ascii="Calibri" w:cs="Calibri" w:eastAsia="Calibri" w:hAnsi="Calibri"/>
          <w:color w:val="1E2230"/>
          <w:sz w:val="22"/>
          <w:szCs w:val="22"/>
        </w:rPr>
        <w:t xml:space="preserve">What began as a description of family dysfunction has become the operating logic of the campaign against diversity, equity, and inclusion. The direct argument — </w:t>
      </w:r>
      <w:r>
        <w:rPr>
          <w:rFonts w:ascii="Calibri" w:cs="Calibri" w:eastAsia="Calibri" w:hAnsi="Calibri"/>
          <w:i/>
          <w:iCs/>
          <w:color w:val="1E2230"/>
          <w:sz w:val="22"/>
          <w:szCs w:val="22"/>
        </w:rPr>
        <w:t xml:space="preserve">we do not want these people advancing, we do not want these systems examined</w:t>
      </w:r>
      <w:r>
        <w:rPr>
          <w:rFonts w:ascii="Calibri" w:cs="Calibri" w:eastAsia="Calibri" w:hAnsi="Calibri"/>
          <w:color w:val="1E2230"/>
          <w:sz w:val="22"/>
          <w:szCs w:val="22"/>
        </w:rPr>
        <w:t xml:space="preserve"> — is socially unsayable and legally hazardous. So it is not said. It is triangulated. And triangulation, executed at institutional scale, does something the direct attack never could: it makes the pushback look normal.</w:t>
      </w:r>
    </w:p>
    <w:p>
      <w:pPr>
        <w:pStyle w:val="Heading1"/>
        <w:spacing w:after="200" w:before="420"/>
      </w:pPr>
      <w:r>
        <w:rPr>
          <w:rFonts w:ascii="Georgia" w:cs="Georgia" w:eastAsia="Georgia" w:hAnsi="Georgia"/>
          <w:b/>
          <w:bCs/>
          <w:color w:val="0D1B3E"/>
          <w:sz w:val="32"/>
          <w:szCs w:val="32"/>
        </w:rPr>
        <w:t xml:space="preserve">The Geometry of Deniability</w:t>
      </w:r>
    </w:p>
    <w:p>
      <w:pPr>
        <w:spacing w:after="220" w:line="300"/>
      </w:pPr>
      <w:r>
        <w:rPr>
          <w:rFonts w:ascii="Calibri" w:cs="Calibri" w:eastAsia="Calibri" w:hAnsi="Calibri"/>
          <w:color w:val="1E2230"/>
          <w:sz w:val="22"/>
          <w:szCs w:val="22"/>
        </w:rPr>
        <w:t xml:space="preserve">Every triangulated attack has three vertices, and the entire strategy depends on the middle one.</w:t>
      </w:r>
    </w:p>
    <w:p>
      <w:pPr>
        <w:spacing w:after="220" w:line="300"/>
      </w:pPr>
      <w:r>
        <w:rPr>
          <w:rFonts w:ascii="Calibri" w:cs="Calibri" w:eastAsia="Calibri" w:hAnsi="Calibri"/>
          <w:b/>
          <w:bCs/>
          <w:color w:val="0D1B3E"/>
          <w:sz w:val="22"/>
          <w:szCs w:val="22"/>
        </w:rPr>
        <w:t xml:space="preserve">The Actor. </w:t>
      </w:r>
      <w:r>
        <w:rPr>
          <w:rFonts w:ascii="Calibri" w:cs="Calibri" w:eastAsia="Calibri" w:hAnsi="Calibri"/>
          <w:color w:val="1E2230"/>
          <w:sz w:val="22"/>
          <w:szCs w:val="22"/>
        </w:rPr>
        <w:t xml:space="preserve">The party with the interest — in preserving existing advantage, in preventing scrutiny of systems that produce unequal outcomes. The actor's defining behavior is absence: never appearing as the author of the objection.</w:t>
      </w:r>
    </w:p>
    <w:p>
      <w:pPr>
        <w:spacing w:after="220" w:line="300"/>
      </w:pPr>
      <w:r>
        <w:rPr>
          <w:rFonts w:ascii="Calibri" w:cs="Calibri" w:eastAsia="Calibri" w:hAnsi="Calibri"/>
          <w:b/>
          <w:bCs/>
          <w:color w:val="0D1B3E"/>
          <w:sz w:val="22"/>
          <w:szCs w:val="22"/>
        </w:rPr>
        <w:t xml:space="preserve">The Proxy. </w:t>
      </w:r>
      <w:r>
        <w:rPr>
          <w:rFonts w:ascii="Calibri" w:cs="Calibri" w:eastAsia="Calibri" w:hAnsi="Calibri"/>
          <w:color w:val="1E2230"/>
          <w:sz w:val="22"/>
          <w:szCs w:val="22"/>
        </w:rPr>
        <w:t xml:space="preserve">The recruited third vertex — a court ruling, a fiduciary duty, a compliance office, an anonymous complaint, a “neutral” principle. The proxy launders intent into procedure and preference into obligation.</w:t>
      </w:r>
    </w:p>
    <w:p>
      <w:pPr>
        <w:spacing w:after="220" w:line="300"/>
      </w:pPr>
      <w:r>
        <w:rPr>
          <w:rFonts w:ascii="Calibri" w:cs="Calibri" w:eastAsia="Calibri" w:hAnsi="Calibri"/>
          <w:b/>
          <w:bCs/>
          <w:color w:val="0D1B3E"/>
          <w:sz w:val="22"/>
          <w:szCs w:val="22"/>
        </w:rPr>
        <w:t xml:space="preserve">The Target. </w:t>
      </w:r>
      <w:r>
        <w:rPr>
          <w:rFonts w:ascii="Calibri" w:cs="Calibri" w:eastAsia="Calibri" w:hAnsi="Calibri"/>
          <w:color w:val="1E2230"/>
          <w:sz w:val="22"/>
          <w:szCs w:val="22"/>
        </w:rPr>
        <w:t xml:space="preserve">The inclusion architecture itself — and the people it serves. The target cannot answer the actor, because the actor is not officially present. It can only argue with the proxy, which was chosen precisely because arguing with it looks unreasonable.</w:t>
      </w:r>
    </w:p>
    <w:p>
      <w:pPr>
        <w:spacing w:after="220" w:line="300"/>
      </w:pPr>
      <w:r>
        <w:rPr>
          <w:rFonts w:ascii="Calibri" w:cs="Calibri" w:eastAsia="Calibri" w:hAnsi="Calibri"/>
          <w:color w:val="1E2230"/>
          <w:sz w:val="22"/>
          <w:szCs w:val="22"/>
        </w:rPr>
        <w:t xml:space="preserve">Notice what this geometry accomplishes. A direct attack invites a direct defense: evidence, counter-argument, accountability. A triangulated attack forecloses all three. You cannot cross-examine a “legal climate.” You cannot hold a “market signal” accountable. You cannot demand that “concerns being raised internally” identify themselves. The proxy converts a contest of interests — which inclusion could win on the evidence — into a contest with an abstraction, which no one can win at all.</w:t>
      </w:r>
    </w:p>
    <w:p>
      <w:pPr>
        <w:pBdr>
          <w:left w:val="single" w:color="C9973A" w:sz="24" w:space="12"/>
        </w:pBdr>
        <w:spacing w:after="280" w:before="240"/>
        <w:ind w:left="480" w:right="480"/>
      </w:pPr>
      <w:r>
        <w:rPr>
          <w:rFonts w:ascii="Georgia" w:cs="Georgia" w:eastAsia="Georgia" w:hAnsi="Georgia"/>
          <w:i/>
          <w:iCs/>
          <w:color w:val="0D1B3E"/>
          <w:sz w:val="25"/>
          <w:szCs w:val="25"/>
        </w:rPr>
        <w:t xml:space="preserve">The triangle's genius is not that it hides the attack. It is that it relocates authorship — so that dismantling inclusion appears to be something happening to the institution rather than something being done by anyone.</w:t>
      </w:r>
    </w:p>
    <w:p>
      <w:pPr>
        <w:pStyle w:val="Heading1"/>
        <w:spacing w:after="200" w:before="420"/>
      </w:pPr>
      <w:r>
        <w:rPr>
          <w:rFonts w:ascii="Georgia" w:cs="Georgia" w:eastAsia="Georgia" w:hAnsi="Georgia"/>
          <w:b/>
          <w:bCs/>
          <w:color w:val="0D1B3E"/>
          <w:sz w:val="32"/>
          <w:szCs w:val="32"/>
        </w:rPr>
        <w:t xml:space="preserve">Five Forms of Institutional Triangulation</w:t>
      </w:r>
    </w:p>
    <w:p>
      <w:pPr>
        <w:spacing w:after="220" w:line="300"/>
      </w:pPr>
      <w:r>
        <w:rPr>
          <w:rFonts w:ascii="Calibri" w:cs="Calibri" w:eastAsia="Calibri" w:hAnsi="Calibri"/>
          <w:color w:val="1E2230"/>
          <w:sz w:val="22"/>
          <w:szCs w:val="22"/>
        </w:rPr>
        <w:t xml:space="preserve">Once the pattern is named, it becomes visible everywhere. Five forms dominate the current landscape.</w:t>
      </w:r>
    </w:p>
    <w:p>
      <w:pPr>
        <w:pStyle w:val="Heading2"/>
        <w:spacing w:after="160" w:before="320"/>
      </w:pPr>
      <w:r>
        <w:rPr>
          <w:rFonts w:ascii="Georgia" w:cs="Georgia" w:eastAsia="Georgia" w:hAnsi="Georgia"/>
          <w:b/>
          <w:bCs/>
          <w:color w:val="1D7A8A"/>
          <w:sz w:val="26"/>
          <w:szCs w:val="26"/>
        </w:rPr>
        <w:t xml:space="preserve">Form One: Legal Triangulation</w:t>
      </w:r>
    </w:p>
    <w:p>
      <w:pPr>
        <w:spacing w:after="160"/>
        <w:ind w:left="360"/>
      </w:pPr>
      <w:r>
        <w:rPr>
          <w:rFonts w:ascii="Georgia" w:cs="Georgia" w:eastAsia="Georgia" w:hAnsi="Georgia"/>
          <w:i/>
          <w:iCs/>
          <w:color w:val="1D7A8A"/>
          <w:sz w:val="23"/>
          <w:szCs w:val="23"/>
        </w:rPr>
        <w:t xml:space="preserve">“Our hands are tied. The legal environment has changed.”</w:t>
      </w:r>
    </w:p>
    <w:p>
      <w:pPr>
        <w:spacing w:after="220" w:line="300"/>
      </w:pPr>
      <w:r>
        <w:rPr>
          <w:rFonts w:ascii="Calibri" w:cs="Calibri" w:eastAsia="Calibri" w:hAnsi="Calibri"/>
          <w:color w:val="1E2230"/>
          <w:sz w:val="22"/>
          <w:szCs w:val="22"/>
        </w:rPr>
        <w:t xml:space="preserve">Litigation risk becomes the proxy. Organizations abandon programs that no court has enjoined, citing rulings that do not reach their conduct, on the advice of counsel asked a question engineered to produce a cautious answer. The actor's preference — retreat — is re-presented as legal necessity. What the law actually requires and what the organization chooses to do under cover of the law are collapsed into a single word: compliance. This is where Recall Literacy matters most — the disciplined ability to distinguish what a ruling held from what a headline implied it held.</w:t>
      </w:r>
    </w:p>
    <w:p>
      <w:pPr>
        <w:pStyle w:val="Heading2"/>
        <w:spacing w:after="160" w:before="320"/>
      </w:pPr>
      <w:r>
        <w:rPr>
          <w:rFonts w:ascii="Georgia" w:cs="Georgia" w:eastAsia="Georgia" w:hAnsi="Georgia"/>
          <w:b/>
          <w:bCs/>
          <w:color w:val="1D7A8A"/>
          <w:sz w:val="26"/>
          <w:szCs w:val="26"/>
        </w:rPr>
        <w:t xml:space="preserve">Form Two: Fiduciary Triangulation</w:t>
      </w:r>
    </w:p>
    <w:p>
      <w:pPr>
        <w:spacing w:after="160"/>
        <w:ind w:left="360"/>
      </w:pPr>
      <w:r>
        <w:rPr>
          <w:rFonts w:ascii="Georgia" w:cs="Georgia" w:eastAsia="Georgia" w:hAnsi="Georgia"/>
          <w:i/>
          <w:iCs/>
          <w:color w:val="1D7A8A"/>
          <w:sz w:val="23"/>
          <w:szCs w:val="23"/>
        </w:rPr>
        <w:t xml:space="preserve">“Shareholders are demanding we refocus on core business.”</w:t>
      </w:r>
    </w:p>
    <w:p>
      <w:pPr>
        <w:spacing w:after="220" w:line="300"/>
      </w:pPr>
      <w:r>
        <w:rPr>
          <w:rFonts w:ascii="Calibri" w:cs="Calibri" w:eastAsia="Calibri" w:hAnsi="Calibri"/>
          <w:color w:val="1E2230"/>
          <w:sz w:val="22"/>
          <w:szCs w:val="22"/>
        </w:rPr>
        <w:t xml:space="preserve">The abstraction of “shareholder interest” is recruited as the third vertex — typically on behalf of a small number of activist filers whose proposals routinely fail, while the decades of evidence connecting inclusive systems to performance, innovation, and risk reduction is quietly excluded from the fiduciary calculation. The proxy inverts the actual duty: dismantling systems that protect talent pipelines and market legitimacy is framed as prudence, and maintaining them as indulgence.</w:t>
      </w:r>
    </w:p>
    <w:p>
      <w:pPr>
        <w:pStyle w:val="Heading2"/>
        <w:spacing w:after="160" w:before="320"/>
      </w:pPr>
      <w:r>
        <w:rPr>
          <w:rFonts w:ascii="Georgia" w:cs="Georgia" w:eastAsia="Georgia" w:hAnsi="Georgia"/>
          <w:b/>
          <w:bCs/>
          <w:color w:val="1D7A8A"/>
          <w:sz w:val="26"/>
          <w:szCs w:val="26"/>
        </w:rPr>
        <w:t xml:space="preserve">Form Three: Linguistic Triangulation</w:t>
      </w:r>
    </w:p>
    <w:p>
      <w:pPr>
        <w:spacing w:after="160"/>
        <w:ind w:left="360"/>
      </w:pPr>
      <w:r>
        <w:rPr>
          <w:rFonts w:ascii="Georgia" w:cs="Georgia" w:eastAsia="Georgia" w:hAnsi="Georgia"/>
          <w:i/>
          <w:iCs/>
          <w:color w:val="1D7A8A"/>
          <w:sz w:val="23"/>
          <w:szCs w:val="23"/>
        </w:rPr>
        <w:t xml:space="preserve">“We simply believe in merit and neutrality.”</w:t>
      </w:r>
    </w:p>
    <w:p>
      <w:pPr>
        <w:spacing w:after="220" w:line="300"/>
      </w:pPr>
      <w:r>
        <w:rPr>
          <w:rFonts w:ascii="Calibri" w:cs="Calibri" w:eastAsia="Calibri" w:hAnsi="Calibri"/>
          <w:color w:val="1E2230"/>
          <w:sz w:val="22"/>
          <w:szCs w:val="22"/>
        </w:rPr>
        <w:t xml:space="preserve">Here the proxy is a principle no one can oppose. “Merit” is positioned as the neutral third party adjudicating between inclusion and its critics — while the question of whether existing systems actually measure merit, or merely reproduce familiarity, is ruled out of order. The vocabulary of fairness is conscripted to defend arrangements that were never audited for fairness. The target is forced into the impossible posture of appearing to argue against merit itself.</w:t>
      </w:r>
    </w:p>
    <w:p>
      <w:pPr>
        <w:pStyle w:val="Heading2"/>
        <w:spacing w:after="160" w:before="320"/>
      </w:pPr>
      <w:r>
        <w:rPr>
          <w:rFonts w:ascii="Georgia" w:cs="Georgia" w:eastAsia="Georgia" w:hAnsi="Georgia"/>
          <w:b/>
          <w:bCs/>
          <w:color w:val="1D7A8A"/>
          <w:sz w:val="26"/>
          <w:szCs w:val="26"/>
        </w:rPr>
        <w:t xml:space="preserve">Form Four: Procedural Triangulation</w:t>
      </w:r>
    </w:p>
    <w:p>
      <w:pPr>
        <w:spacing w:after="160"/>
        <w:ind w:left="360"/>
      </w:pPr>
      <w:r>
        <w:rPr>
          <w:rFonts w:ascii="Georgia" w:cs="Georgia" w:eastAsia="Georgia" w:hAnsi="Georgia"/>
          <w:i/>
          <w:iCs/>
          <w:color w:val="1D7A8A"/>
          <w:sz w:val="23"/>
          <w:szCs w:val="23"/>
        </w:rPr>
        <w:t xml:space="preserve">“This is just going through standard review.”</w:t>
      </w:r>
    </w:p>
    <w:p>
      <w:pPr>
        <w:spacing w:after="220" w:line="300"/>
      </w:pPr>
      <w:r>
        <w:rPr>
          <w:rFonts w:ascii="Calibri" w:cs="Calibri" w:eastAsia="Calibri" w:hAnsi="Calibri"/>
          <w:color w:val="1E2230"/>
          <w:sz w:val="22"/>
          <w:szCs w:val="22"/>
        </w:rPr>
        <w:t xml:space="preserve">The proxy is process. Programs are not cancelled; they are “paused for evaluation.” Language is not banned; it is “under review for alignment.” Budgets are not cut; they are “consolidated.” Each procedural step is individually defensible and collectively fatal. The actor never has to decide anything — the process decides, and the process has no face, no interest, and no accountability. Death by review is still death. It is simply death with paperwork.</w:t>
      </w:r>
    </w:p>
    <w:p>
      <w:pPr>
        <w:pStyle w:val="Heading2"/>
        <w:spacing w:after="160" w:before="320"/>
      </w:pPr>
      <w:r>
        <w:rPr>
          <w:rFonts w:ascii="Georgia" w:cs="Georgia" w:eastAsia="Georgia" w:hAnsi="Georgia"/>
          <w:b/>
          <w:bCs/>
          <w:color w:val="1D7A8A"/>
          <w:sz w:val="26"/>
          <w:szCs w:val="26"/>
        </w:rPr>
        <w:t xml:space="preserve">Form Five: Social Triangulation</w:t>
      </w:r>
    </w:p>
    <w:p>
      <w:pPr>
        <w:spacing w:after="160"/>
        <w:ind w:left="360"/>
      </w:pPr>
      <w:r>
        <w:rPr>
          <w:rFonts w:ascii="Georgia" w:cs="Georgia" w:eastAsia="Georgia" w:hAnsi="Georgia"/>
          <w:i/>
          <w:iCs/>
          <w:color w:val="1D7A8A"/>
          <w:sz w:val="23"/>
          <w:szCs w:val="23"/>
        </w:rPr>
        <w:t xml:space="preserve">“Some employees have expressed concerns.”</w:t>
      </w:r>
    </w:p>
    <w:p>
      <w:pPr>
        <w:spacing w:after="220" w:line="300"/>
      </w:pPr>
      <w:r>
        <w:rPr>
          <w:rFonts w:ascii="Calibri" w:cs="Calibri" w:eastAsia="Calibri" w:hAnsi="Calibri"/>
          <w:color w:val="1E2230"/>
          <w:sz w:val="22"/>
          <w:szCs w:val="22"/>
        </w:rPr>
        <w:t xml:space="preserve">The proxy is an unnamed constituency. Anonymous discomfort is elevated to institutional evidence, while the documented experience of exclusion — gathered through surveys, exit interviews, and grievance data — is discounted as anecdote. The asymmetry is the tell: one group's unease triggers retreat; another group's measured harm triggers a request for more data. When feelings are admissible for one vertex of the triangle and inadmissible for another, you are not watching deliberation. You are watching triangulation.</w:t>
      </w:r>
    </w:p>
    <w:p>
      <w:pPr>
        <w:pStyle w:val="Heading1"/>
        <w:spacing w:after="200" w:before="420"/>
      </w:pPr>
      <w:r>
        <w:rPr>
          <w:rFonts w:ascii="Georgia" w:cs="Georgia" w:eastAsia="Georgia" w:hAnsi="Georgia"/>
          <w:b/>
          <w:bCs/>
          <w:color w:val="0D1B3E"/>
          <w:sz w:val="32"/>
          <w:szCs w:val="32"/>
        </w:rPr>
        <w:t xml:space="preserve">How the Triangle Normalizes</w:t>
      </w:r>
    </w:p>
    <w:p>
      <w:pPr>
        <w:spacing w:after="220" w:line="300"/>
      </w:pPr>
      <w:r>
        <w:rPr>
          <w:rFonts w:ascii="Calibri" w:cs="Calibri" w:eastAsia="Calibri" w:hAnsi="Calibri"/>
          <w:color w:val="1E2230"/>
          <w:sz w:val="22"/>
          <w:szCs w:val="22"/>
        </w:rPr>
        <w:t xml:space="preserve">Triangulation does not merely deliver the attack. It performs the deeper function named in this essay's title: it makes pushback normal. Four mechanisms do that work.</w:t>
      </w:r>
    </w:p>
    <w:p>
      <w:pPr>
        <w:spacing w:after="220" w:line="300"/>
      </w:pPr>
      <w:r>
        <w:rPr>
          <w:rFonts w:ascii="Calibri" w:cs="Calibri" w:eastAsia="Calibri" w:hAnsi="Calibri"/>
          <w:b/>
          <w:bCs/>
          <w:color w:val="0D1B3E"/>
          <w:sz w:val="22"/>
          <w:szCs w:val="22"/>
        </w:rPr>
        <w:t xml:space="preserve">First, it diffuses authorship. </w:t>
      </w:r>
      <w:r>
        <w:rPr>
          <w:rFonts w:ascii="Calibri" w:cs="Calibri" w:eastAsia="Calibri" w:hAnsi="Calibri"/>
          <w:color w:val="1E2230"/>
          <w:sz w:val="22"/>
          <w:szCs w:val="22"/>
        </w:rPr>
        <w:t xml:space="preserve">When no one is attacking, no one can be held accountable for attacking. The retreat from inclusion registers as weather — an environment, a climate, a shift — rather than as a series of decisions made by identifiable people with identifiable interests. Weather is normal. Decisions are contestable. Triangulation converts the second into the first.</w:t>
      </w:r>
    </w:p>
    <w:p>
      <w:pPr>
        <w:spacing w:after="220" w:line="300"/>
      </w:pPr>
      <w:r>
        <w:rPr>
          <w:rFonts w:ascii="Calibri" w:cs="Calibri" w:eastAsia="Calibri" w:hAnsi="Calibri"/>
          <w:b/>
          <w:bCs/>
          <w:color w:val="0D1B3E"/>
          <w:sz w:val="22"/>
          <w:szCs w:val="22"/>
        </w:rPr>
        <w:t xml:space="preserve">Second, it manufactures neutrality. </w:t>
      </w:r>
      <w:r>
        <w:rPr>
          <w:rFonts w:ascii="Calibri" w:cs="Calibri" w:eastAsia="Calibri" w:hAnsi="Calibri"/>
          <w:color w:val="1E2230"/>
          <w:sz w:val="22"/>
          <w:szCs w:val="22"/>
        </w:rPr>
        <w:t xml:space="preserve">Each proxy — the law, the fiduciary duty, the merit principle, the process — arrives pre-loaded with legitimacy. Objecting to the dismantling of inclusion now looks like objecting to law, prudence, fairness, or order. The frame is inverted: the defenders of equity are recast as the aggressors, and the aggression is recast as stewardship.</w:t>
      </w:r>
    </w:p>
    <w:p>
      <w:pPr>
        <w:spacing w:after="220" w:line="300"/>
      </w:pPr>
      <w:r>
        <w:rPr>
          <w:rFonts w:ascii="Calibri" w:cs="Calibri" w:eastAsia="Calibri" w:hAnsi="Calibri"/>
          <w:b/>
          <w:bCs/>
          <w:color w:val="0D1B3E"/>
          <w:sz w:val="22"/>
          <w:szCs w:val="22"/>
        </w:rPr>
        <w:t xml:space="preserve">Third, it exploits repetition. </w:t>
      </w:r>
      <w:r>
        <w:rPr>
          <w:rFonts w:ascii="Calibri" w:cs="Calibri" w:eastAsia="Calibri" w:hAnsi="Calibri"/>
          <w:color w:val="1E2230"/>
          <w:sz w:val="22"/>
          <w:szCs w:val="22"/>
        </w:rPr>
        <w:t xml:space="preserve">Normalization is a volume business. When a hundred institutions triangulate in the same season, each citing the others as evidence of the “changing environment,” the retreat becomes self-referential. Everyone is responding to everyone else's response. The original actors need only start the cascade; institutional isomorphism — the well-documented tendency of organizations to mimic their peers under uncertainty — finishes it.</w:t>
      </w:r>
    </w:p>
    <w:p>
      <w:pPr>
        <w:spacing w:after="220" w:line="300"/>
      </w:pPr>
      <w:r>
        <w:rPr>
          <w:rFonts w:ascii="Calibri" w:cs="Calibri" w:eastAsia="Calibri" w:hAnsi="Calibri"/>
          <w:b/>
          <w:bCs/>
          <w:color w:val="0D1B3E"/>
          <w:sz w:val="22"/>
          <w:szCs w:val="22"/>
        </w:rPr>
        <w:t xml:space="preserve">Fourth, it separates harm from intent. </w:t>
      </w:r>
      <w:r>
        <w:rPr>
          <w:rFonts w:ascii="Calibri" w:cs="Calibri" w:eastAsia="Calibri" w:hAnsi="Calibri"/>
          <w:color w:val="1E2230"/>
          <w:sz w:val="22"/>
          <w:szCs w:val="22"/>
        </w:rPr>
        <w:t xml:space="preserve">This is triangulation's connection to Meta-Aggression: systematic, identity-based targeting executed through systems rather than individuals, and now accelerated by AI-enabled amplification. Triangulation is Meta-Aggression's delivery mechanism. The harm lands on the same communities the direct attack would have targeted — but because it arrives through a proxy, each individual decision-maker can honestly say they intended nothing. Intent evaporates. Impact compounds. And a discrimination regime that would be legally and morally indefensible as a policy becomes untouchable as a pattern.</w:t>
      </w:r>
    </w:p>
    <w:p>
      <w:pPr>
        <w:pBdr>
          <w:left w:val="single" w:color="C9973A" w:sz="24" w:space="12"/>
        </w:pBdr>
        <w:spacing w:after="280" w:before="240"/>
        <w:ind w:left="480" w:right="480"/>
      </w:pPr>
      <w:r>
        <w:rPr>
          <w:rFonts w:ascii="Georgia" w:cs="Georgia" w:eastAsia="Georgia" w:hAnsi="Georgia"/>
          <w:i/>
          <w:iCs/>
          <w:color w:val="0D1B3E"/>
          <w:sz w:val="25"/>
          <w:szCs w:val="25"/>
        </w:rPr>
        <w:t xml:space="preserve">The Diagnostic Question: Whenever a retreat from inclusion is announced, ask who the second vertex is. If the stated reason is an abstraction — a climate, a signal, a concern, a review — and no accountable party will claim the decision as their own preference, you are inside a triangle. The absence of an author is not evidence of neutrality. It is evidence of design.</w:t>
      </w:r>
    </w:p>
    <w:p>
      <w:pPr>
        <w:pStyle w:val="Heading1"/>
        <w:spacing w:after="200" w:before="420"/>
      </w:pPr>
      <w:r>
        <w:rPr>
          <w:rFonts w:ascii="Georgia" w:cs="Georgia" w:eastAsia="Georgia" w:hAnsi="Georgia"/>
          <w:b/>
          <w:bCs/>
          <w:color w:val="0D1B3E"/>
          <w:sz w:val="32"/>
          <w:szCs w:val="32"/>
        </w:rPr>
        <w:t xml:space="preserve">Collapsing the Triangle: The Architectural Response</w:t>
      </w:r>
    </w:p>
    <w:p>
      <w:pPr>
        <w:spacing w:after="220" w:line="300"/>
      </w:pPr>
      <w:r>
        <w:rPr>
          <w:rFonts w:ascii="Calibri" w:cs="Calibri" w:eastAsia="Calibri" w:hAnsi="Calibri"/>
          <w:color w:val="1E2230"/>
          <w:sz w:val="22"/>
          <w:szCs w:val="22"/>
        </w:rPr>
        <w:t xml:space="preserve">Triangulation succeeds against organizations whose inclusion commitments live in statements, programs, and personalities — the soft tissue of institutional life. It fails against organizations whose commitments live in structure. That is the central claim of The Architecture of Inclusion, and triangulation is its sternest test case. A proxy can pressure a program. It struggles to pressure a load-bearing wall.</w:t>
      </w:r>
    </w:p>
    <w:p>
      <w:pPr>
        <w:spacing w:after="220" w:line="300"/>
      </w:pPr>
      <w:r>
        <w:rPr>
          <w:rFonts w:ascii="Calibri" w:cs="Calibri" w:eastAsia="Calibri" w:hAnsi="Calibri"/>
          <w:color w:val="1E2230"/>
          <w:sz w:val="22"/>
          <w:szCs w:val="22"/>
        </w:rPr>
        <w:t xml:space="preserve">Each of the seven pillars answers a specific vertex of the triangle: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shd w:fill="0D1B3E" w:val="clear"/>
            <w:tcMar>
              <w:top w:type="dxa" w:w="120"/>
              <w:left w:type="dxa" w:w="160"/>
              <w:bottom w:type="dxa" w:w="120"/>
              <w:right w:type="dxa" w:w="160"/>
            </w:tcMar>
          </w:tcPr>
          <w:p>
            <w:pPr>
              <w:spacing w:after="60" w:line="260"/>
            </w:pPr>
            <w:r>
              <w:rPr>
                <w:rFonts w:ascii="Calibri" w:cs="Calibri" w:eastAsia="Calibri" w:hAnsi="Calibri"/>
                <w:b/>
                <w:bCs/>
                <w:color w:val="FFFFFF"/>
                <w:sz w:val="20"/>
                <w:szCs w:val="20"/>
              </w:rPr>
              <w:t xml:space="preserve">Pillar</w:t>
            </w:r>
          </w:p>
        </w:tc>
        <w:tc>
          <w:tcPr>
            <w:tcW w:type="dxa" w:w="6760"/>
            <w:shd w:fill="0D1B3E" w:val="clear"/>
            <w:tcMar>
              <w:top w:type="dxa" w:w="120"/>
              <w:left w:type="dxa" w:w="160"/>
              <w:bottom w:type="dxa" w:w="120"/>
              <w:right w:type="dxa" w:w="160"/>
            </w:tcMar>
          </w:tcPr>
          <w:p>
            <w:pPr>
              <w:spacing w:after="60" w:line="260"/>
            </w:pPr>
            <w:r>
              <w:rPr>
                <w:rFonts w:ascii="Calibri" w:cs="Calibri" w:eastAsia="Calibri" w:hAnsi="Calibri"/>
                <w:b/>
                <w:bCs/>
                <w:color w:val="FFFFFF"/>
                <w:sz w:val="20"/>
                <w:szCs w:val="20"/>
              </w:rPr>
              <w:t xml:space="preserve">How It Collapses the Triangle</w:t>
            </w:r>
          </w:p>
        </w:tc>
      </w:tr>
      <w:tr>
        <w:tc>
          <w:tcPr>
            <w:tcW w:type="dxa" w:w="2600"/>
            <w:tcMar>
              <w:top w:type="dxa" w:w="120"/>
              <w:left w:type="dxa" w:w="160"/>
              <w:bottom w:type="dxa" w:w="120"/>
              <w:right w:type="dxa" w:w="160"/>
            </w:tcMar>
          </w:tcPr>
          <w:p>
            <w:pPr>
              <w:spacing w:after="60" w:line="260"/>
            </w:pPr>
            <w:r>
              <w:rPr>
                <w:rFonts w:ascii="Calibri" w:cs="Calibri" w:eastAsia="Calibri" w:hAnsi="Calibri"/>
                <w:b/>
                <w:bCs/>
                <w:color w:val="0D1B3E"/>
                <w:sz w:val="20"/>
                <w:szCs w:val="20"/>
              </w:rPr>
              <w:t xml:space="preserve">Strategic Intent</w:t>
            </w:r>
          </w:p>
        </w:tc>
        <w:tc>
          <w:tcPr>
            <w:tcW w:type="dxa" w:w="6760"/>
            <w:tcMar>
              <w:top w:type="dxa" w:w="120"/>
              <w:left w:type="dxa" w:w="160"/>
              <w:bottom w:type="dxa" w:w="120"/>
              <w:right w:type="dxa" w:w="160"/>
            </w:tcMar>
          </w:tcPr>
          <w:p>
            <w:pPr>
              <w:spacing w:after="60" w:line="260"/>
            </w:pPr>
            <w:r>
              <w:rPr>
                <w:rFonts w:ascii="Calibri" w:cs="Calibri" w:eastAsia="Calibri" w:hAnsi="Calibri"/>
                <w:color w:val="1E2230"/>
                <w:sz w:val="20"/>
                <w:szCs w:val="20"/>
              </w:rPr>
              <w:t xml:space="preserve">A documented, mission-connected rationale for inclusion — tied to talent, markets, innovation, and risk — cannot be waved away by a “changing climate.” The organization has its own recorded reasons, and abandoning them requires someone to author the abandonment. Authorship is exactly what triangulation is built to avoid.</w:t>
            </w:r>
          </w:p>
        </w:tc>
      </w:tr>
      <w:tr>
        <w:tc>
          <w:tcPr>
            <w:tcW w:type="dxa" w:w="2600"/>
            <w:shd w:fill="F8F7F4" w:val="clear"/>
            <w:tcMar>
              <w:top w:type="dxa" w:w="120"/>
              <w:left w:type="dxa" w:w="160"/>
              <w:bottom w:type="dxa" w:w="120"/>
              <w:right w:type="dxa" w:w="160"/>
            </w:tcMar>
          </w:tcPr>
          <w:p>
            <w:pPr>
              <w:spacing w:after="60" w:line="260"/>
            </w:pPr>
            <w:r>
              <w:rPr>
                <w:rFonts w:ascii="Calibri" w:cs="Calibri" w:eastAsia="Calibri" w:hAnsi="Calibri"/>
                <w:b/>
                <w:bCs/>
                <w:color w:val="0D1B3E"/>
                <w:sz w:val="20"/>
                <w:szCs w:val="20"/>
              </w:rPr>
              <w:t xml:space="preserve">Leadership Accountability</w:t>
            </w:r>
          </w:p>
        </w:tc>
        <w:tc>
          <w:tcPr>
            <w:tcW w:type="dxa" w:w="6760"/>
            <w:shd w:fill="F8F7F4" w:val="clear"/>
            <w:tcMar>
              <w:top w:type="dxa" w:w="120"/>
              <w:left w:type="dxa" w:w="160"/>
              <w:bottom w:type="dxa" w:w="120"/>
              <w:right w:type="dxa" w:w="160"/>
            </w:tcMar>
          </w:tcPr>
          <w:p>
            <w:pPr>
              <w:spacing w:after="60" w:line="260"/>
            </w:pPr>
            <w:r>
              <w:rPr>
                <w:rFonts w:ascii="Calibri" w:cs="Calibri" w:eastAsia="Calibri" w:hAnsi="Calibri"/>
                <w:color w:val="1E2230"/>
                <w:sz w:val="20"/>
                <w:szCs w:val="20"/>
              </w:rPr>
              <w:t xml:space="preserve">When inclusion outcomes are embedded in executive evaluation and compensation, retreat has a named owner. The triangle depends on facelessness; accountability systems assign faces.</w:t>
            </w:r>
          </w:p>
        </w:tc>
      </w:tr>
      <w:tr>
        <w:tc>
          <w:tcPr>
            <w:tcW w:type="dxa" w:w="2600"/>
            <w:tcMar>
              <w:top w:type="dxa" w:w="120"/>
              <w:left w:type="dxa" w:w="160"/>
              <w:bottom w:type="dxa" w:w="120"/>
              <w:right w:type="dxa" w:w="160"/>
            </w:tcMar>
          </w:tcPr>
          <w:p>
            <w:pPr>
              <w:spacing w:after="60" w:line="260"/>
            </w:pPr>
            <w:r>
              <w:rPr>
                <w:rFonts w:ascii="Calibri" w:cs="Calibri" w:eastAsia="Calibri" w:hAnsi="Calibri"/>
                <w:b/>
                <w:bCs/>
                <w:color w:val="0D1B3E"/>
                <w:sz w:val="20"/>
                <w:szCs w:val="20"/>
              </w:rPr>
              <w:t xml:space="preserve">Culture &amp; Climate</w:t>
            </w:r>
          </w:p>
        </w:tc>
        <w:tc>
          <w:tcPr>
            <w:tcW w:type="dxa" w:w="6760"/>
            <w:tcMar>
              <w:top w:type="dxa" w:w="120"/>
              <w:left w:type="dxa" w:w="160"/>
              <w:bottom w:type="dxa" w:w="120"/>
              <w:right w:type="dxa" w:w="160"/>
            </w:tcMar>
          </w:tcPr>
          <w:p>
            <w:pPr>
              <w:spacing w:after="60" w:line="260"/>
            </w:pPr>
            <w:r>
              <w:rPr>
                <w:rFonts w:ascii="Calibri" w:cs="Calibri" w:eastAsia="Calibri" w:hAnsi="Calibri"/>
                <w:color w:val="1E2230"/>
                <w:sz w:val="20"/>
                <w:szCs w:val="20"/>
              </w:rPr>
              <w:t xml:space="preserve">Psychological safety built as structure, not sentiment, prevents social triangulation from operating in the dark. Concerns are surfaced, named, and examined through legitimate channels — not laundered through anonymous abstraction.</w:t>
            </w:r>
          </w:p>
        </w:tc>
      </w:tr>
      <w:tr>
        <w:tc>
          <w:tcPr>
            <w:tcW w:type="dxa" w:w="2600"/>
            <w:shd w:fill="F8F7F4" w:val="clear"/>
            <w:tcMar>
              <w:top w:type="dxa" w:w="120"/>
              <w:left w:type="dxa" w:w="160"/>
              <w:bottom w:type="dxa" w:w="120"/>
              <w:right w:type="dxa" w:w="160"/>
            </w:tcMar>
          </w:tcPr>
          <w:p>
            <w:pPr>
              <w:spacing w:after="60" w:line="260"/>
            </w:pPr>
            <w:r>
              <w:rPr>
                <w:rFonts w:ascii="Calibri" w:cs="Calibri" w:eastAsia="Calibri" w:hAnsi="Calibri"/>
                <w:b/>
                <w:bCs/>
                <w:color w:val="0D1B3E"/>
                <w:sz w:val="20"/>
                <w:szCs w:val="20"/>
              </w:rPr>
              <w:t xml:space="preserve">Pipeline &amp; Talent Systems</w:t>
            </w:r>
          </w:p>
        </w:tc>
        <w:tc>
          <w:tcPr>
            <w:tcW w:type="dxa" w:w="6760"/>
            <w:shd w:fill="F8F7F4" w:val="clear"/>
            <w:tcMar>
              <w:top w:type="dxa" w:w="120"/>
              <w:left w:type="dxa" w:w="160"/>
              <w:bottom w:type="dxa" w:w="120"/>
              <w:right w:type="dxa" w:w="160"/>
            </w:tcMar>
          </w:tcPr>
          <w:p>
            <w:pPr>
              <w:spacing w:after="60" w:line="260"/>
            </w:pPr>
            <w:r>
              <w:rPr>
                <w:rFonts w:ascii="Calibri" w:cs="Calibri" w:eastAsia="Calibri" w:hAnsi="Calibri"/>
                <w:color w:val="1E2230"/>
                <w:sz w:val="20"/>
                <w:szCs w:val="20"/>
              </w:rPr>
              <w:t xml:space="preserve">Systems audited for validity answer linguistic triangulation directly: if “merit” is the proxy, produce the evidence that the system measures it. Organizations that have done demographic calibration work can distinguish measured merit from inherited familiarity — and prove the difference.</w:t>
            </w:r>
          </w:p>
        </w:tc>
      </w:tr>
      <w:tr>
        <w:tc>
          <w:tcPr>
            <w:tcW w:type="dxa" w:w="2600"/>
            <w:tcMar>
              <w:top w:type="dxa" w:w="120"/>
              <w:left w:type="dxa" w:w="160"/>
              <w:bottom w:type="dxa" w:w="120"/>
              <w:right w:type="dxa" w:w="160"/>
            </w:tcMar>
          </w:tcPr>
          <w:p>
            <w:pPr>
              <w:spacing w:after="60" w:line="260"/>
            </w:pPr>
            <w:r>
              <w:rPr>
                <w:rFonts w:ascii="Calibri" w:cs="Calibri" w:eastAsia="Calibri" w:hAnsi="Calibri"/>
                <w:b/>
                <w:bCs/>
                <w:color w:val="0D1B3E"/>
                <w:sz w:val="20"/>
                <w:szCs w:val="20"/>
              </w:rPr>
              <w:t xml:space="preserve">Learning &amp; Development</w:t>
            </w:r>
          </w:p>
        </w:tc>
        <w:tc>
          <w:tcPr>
            <w:tcW w:type="dxa" w:w="6760"/>
            <w:tcMar>
              <w:top w:type="dxa" w:w="120"/>
              <w:left w:type="dxa" w:w="160"/>
              <w:bottom w:type="dxa" w:w="120"/>
              <w:right w:type="dxa" w:w="160"/>
            </w:tcMar>
          </w:tcPr>
          <w:p>
            <w:pPr>
              <w:spacing w:after="60" w:line="260"/>
            </w:pPr>
            <w:r>
              <w:rPr>
                <w:rFonts w:ascii="Calibri" w:cs="Calibri" w:eastAsia="Calibri" w:hAnsi="Calibri"/>
                <w:color w:val="1E2230"/>
                <w:sz w:val="20"/>
                <w:szCs w:val="20"/>
              </w:rPr>
              <w:t xml:space="preserve">Leaders trained to recognize triangulation as a pattern — to ask the diagnostic question — stop transmitting it. Every proxy requires willing conductors inside the institution. Literacy interrupts conduction.</w:t>
            </w:r>
          </w:p>
        </w:tc>
      </w:tr>
      <w:tr>
        <w:tc>
          <w:tcPr>
            <w:tcW w:type="dxa" w:w="2600"/>
            <w:shd w:fill="F8F7F4" w:val="clear"/>
            <w:tcMar>
              <w:top w:type="dxa" w:w="120"/>
              <w:left w:type="dxa" w:w="160"/>
              <w:bottom w:type="dxa" w:w="120"/>
              <w:right w:type="dxa" w:w="160"/>
            </w:tcMar>
          </w:tcPr>
          <w:p>
            <w:pPr>
              <w:spacing w:after="60" w:line="260"/>
            </w:pPr>
            <w:r>
              <w:rPr>
                <w:rFonts w:ascii="Calibri" w:cs="Calibri" w:eastAsia="Calibri" w:hAnsi="Calibri"/>
                <w:b/>
                <w:bCs/>
                <w:color w:val="0D1B3E"/>
                <w:sz w:val="20"/>
                <w:szCs w:val="20"/>
              </w:rPr>
              <w:t xml:space="preserve">Measurement &amp; Accountability</w:t>
            </w:r>
          </w:p>
        </w:tc>
        <w:tc>
          <w:tcPr>
            <w:tcW w:type="dxa" w:w="6760"/>
            <w:shd w:fill="F8F7F4" w:val="clear"/>
            <w:tcMar>
              <w:top w:type="dxa" w:w="120"/>
              <w:left w:type="dxa" w:w="160"/>
              <w:bottom w:type="dxa" w:w="120"/>
              <w:right w:type="dxa" w:w="160"/>
            </w:tcMar>
          </w:tcPr>
          <w:p>
            <w:pPr>
              <w:spacing w:after="60" w:line="260"/>
            </w:pPr>
            <w:r>
              <w:rPr>
                <w:rFonts w:ascii="Calibri" w:cs="Calibri" w:eastAsia="Calibri" w:hAnsi="Calibri"/>
                <w:color w:val="1E2230"/>
                <w:sz w:val="20"/>
                <w:szCs w:val="20"/>
              </w:rPr>
              <w:t xml:space="preserve">Data defeats abstraction. Where outcomes are measured — representation, retention, pay equity, belonging, grievance patterns — the “concerns” and “climates” of the triangle must compete with evidence. Proxies thrive in the absence of measurement and wither in its presence.</w:t>
            </w:r>
          </w:p>
        </w:tc>
      </w:tr>
      <w:tr>
        <w:tc>
          <w:tcPr>
            <w:tcW w:type="dxa" w:w="2600"/>
            <w:tcMar>
              <w:top w:type="dxa" w:w="120"/>
              <w:left w:type="dxa" w:w="160"/>
              <w:bottom w:type="dxa" w:w="120"/>
              <w:right w:type="dxa" w:w="160"/>
            </w:tcMar>
          </w:tcPr>
          <w:p>
            <w:pPr>
              <w:spacing w:after="60" w:line="260"/>
            </w:pPr>
            <w:r>
              <w:rPr>
                <w:rFonts w:ascii="Calibri" w:cs="Calibri" w:eastAsia="Calibri" w:hAnsi="Calibri"/>
                <w:b/>
                <w:bCs/>
                <w:color w:val="0D1B3E"/>
                <w:sz w:val="20"/>
                <w:szCs w:val="20"/>
              </w:rPr>
              <w:t xml:space="preserve">Community &amp; External Accountability</w:t>
            </w:r>
          </w:p>
        </w:tc>
        <w:tc>
          <w:tcPr>
            <w:tcW w:type="dxa" w:w="6760"/>
            <w:tcMar>
              <w:top w:type="dxa" w:w="120"/>
              <w:left w:type="dxa" w:w="160"/>
              <w:bottom w:type="dxa" w:w="120"/>
              <w:right w:type="dxa" w:w="160"/>
            </w:tcMar>
          </w:tcPr>
          <w:p>
            <w:pPr>
              <w:spacing w:after="60" w:line="260"/>
            </w:pPr>
            <w:r>
              <w:rPr>
                <w:rFonts w:ascii="Calibri" w:cs="Calibri" w:eastAsia="Calibri" w:hAnsi="Calibri"/>
                <w:color w:val="1E2230"/>
                <w:sz w:val="20"/>
                <w:szCs w:val="20"/>
              </w:rPr>
              <w:t xml:space="preserve">Organizations bound to external standards — ISO 30415, GDEIB, investor disclosure frameworks — and to the communities they serve cannot quietly triangulate their way out of commitments. The external vertex is already occupied by legitimate stakeholders, and the triangle has no room to form.</w:t>
            </w:r>
          </w:p>
        </w:tc>
      </w:tr>
    </w:tbl>
    <w:p>
      <w:pPr>
        <w:spacing w:after="220"/>
      </w:pPr>
    </w:p>
    <w:p>
      <w:pPr>
        <w:spacing w:after="220" w:line="300"/>
      </w:pPr>
      <w:r>
        <w:rPr>
          <w:rFonts w:ascii="Calibri" w:cs="Calibri" w:eastAsia="Calibri" w:hAnsi="Calibri"/>
          <w:color w:val="1E2230"/>
          <w:sz w:val="22"/>
          <w:szCs w:val="22"/>
        </w:rPr>
        <w:t xml:space="preserve">The pattern across all seven pillars is the same: structure restores authorship. Where intent is documented, accountability is assigned, systems are audited, and outcomes are measured, every decision to retreat must be made by someone, on the record, against the organization's own evidence. Triangulation cannot survive that condition. It is a strategy of shadows, and architecture is a discipline of light.</w:t>
      </w:r>
    </w:p>
    <w:p>
      <w:pPr>
        <w:pStyle w:val="Heading1"/>
        <w:spacing w:after="200" w:before="420"/>
      </w:pPr>
      <w:r>
        <w:rPr>
          <w:rFonts w:ascii="Georgia" w:cs="Georgia" w:eastAsia="Georgia" w:hAnsi="Georgia"/>
          <w:b/>
          <w:bCs/>
          <w:color w:val="0D1B3E"/>
          <w:sz w:val="32"/>
          <w:szCs w:val="32"/>
        </w:rPr>
        <w:t xml:space="preserve">The Straight Line</w:t>
      </w:r>
    </w:p>
    <w:p>
      <w:pPr>
        <w:spacing w:after="220" w:line="300"/>
      </w:pPr>
      <w:r>
        <w:rPr>
          <w:rFonts w:ascii="Calibri" w:cs="Calibri" w:eastAsia="Calibri" w:hAnsi="Calibri"/>
          <w:color w:val="1E2230"/>
          <w:sz w:val="22"/>
          <w:szCs w:val="22"/>
        </w:rPr>
        <w:t xml:space="preserve">None of this argues that every concern about inclusion work is triangulated bad faith. It is not. There is genuine confusion in this moment, genuine legal complexity, genuine human disorientation in the face of demographic change — and the Architecture of Inclusion insists on engaging each of these honestly, on its own terms. But honest disagreement travels in a straight line. It names itself. It states its interest. It engages the evidence. It can be argued with, and it can be persuaded.</w:t>
      </w:r>
    </w:p>
    <w:p>
      <w:pPr>
        <w:spacing w:after="220" w:line="300"/>
      </w:pPr>
      <w:r>
        <w:rPr>
          <w:rFonts w:ascii="Calibri" w:cs="Calibri" w:eastAsia="Calibri" w:hAnsi="Calibri"/>
          <w:color w:val="1E2230"/>
          <w:sz w:val="22"/>
          <w:szCs w:val="22"/>
        </w:rPr>
        <w:t xml:space="preserve">Triangulation refuses every one of those conditions — and that refusal is the diagnostic. The task before leaders, practitioners, and institutions is not to win an argument with a proxy. It is to decline the geometry altogether: to ask who is speaking, to require that interests be named, to put the evidence back on the table, and to build organizations structurally incapable of being governed by attacks that no one will sign.</w:t>
      </w:r>
    </w:p>
    <w:p>
      <w:pPr>
        <w:pBdr>
          <w:bottom w:val="single" w:color="C9973A" w:sz="8" w:space="1"/>
        </w:pBdr>
        <w:spacing w:after="240" w:before="120"/>
      </w:pPr>
    </w:p>
    <w:p>
      <w:pPr>
        <w:spacing w:after="220" w:line="300"/>
      </w:pPr>
      <w:r>
        <w:rPr>
          <w:rFonts w:ascii="Calibri" w:cs="Calibri" w:eastAsia="Calibri" w:hAnsi="Calibri"/>
          <w:i/>
          <w:iCs/>
          <w:color w:val="1E2230"/>
          <w:sz w:val="22"/>
          <w:szCs w:val="22"/>
        </w:rPr>
        <w:t xml:space="preserve">Pushback against inclusion has been normalized not because the case against inclusion grew stronger, but because the attack learned to travel through third parties — and we mistook the absence of an author for the presence of a reason. The answer is not louder advocacy. It is better architecture: intent that is written down, accountability that is assigned, systems that are audited, outcomes that are measured, and institutions bound to standards larger than any single political season. Name the triangle. Ask who is speaking. And build in a straight line. </w:t>
      </w:r>
      <w:r>
        <w:rPr>
          <w:rFonts w:ascii="Calibri" w:cs="Calibri" w:eastAsia="Calibri" w:hAnsi="Calibri"/>
          <w:b/>
          <w:bCs/>
          <w:i/>
          <w:iCs/>
          <w:color w:val="C9973A"/>
          <w:sz w:val="22"/>
          <w:szCs w:val="22"/>
        </w:rPr>
        <w:t xml:space="preserve">I am because we are</w:t>
      </w:r>
      <w:r>
        <w:rPr>
          <w:rFonts w:ascii="Calibri" w:cs="Calibri" w:eastAsia="Calibri" w:hAnsi="Calibri"/>
          <w:i/>
          <w:iCs/>
          <w:color w:val="1E2230"/>
          <w:sz w:val="22"/>
          <w:szCs w:val="22"/>
        </w:rPr>
        <w:t xml:space="preserve"> — and what we are must be built to hold.</w:t>
      </w:r>
    </w:p>
    <w:p>
      <w:pPr>
        <w:spacing w:before="300"/>
      </w:pPr>
      <w:r>
        <w:rPr>
          <w:rFonts w:ascii="Calibri" w:cs="Calibri" w:eastAsia="Calibri" w:hAnsi="Calibri"/>
          <w:color w:val="5A6472"/>
          <w:sz w:val="18"/>
          <w:szCs w:val="18"/>
        </w:rPr>
        <w:t xml:space="preserve">Effenus Henderson · HenderWorks, Inc. · The Architecture of Inclusion Essay Series · © 2026 All Rights Reserved</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2026-07-07T22:14:53.373Z</dcterms:created>
  <dcterms:modified xsi:type="dcterms:W3CDTF">2026-07-07T22:14:53.373Z</dcterms:modified>
</cp:coreProperties>
</file>

<file path=docProps/custom.xml><?xml version="1.0" encoding="utf-8"?>
<Properties xmlns="http://schemas.openxmlformats.org/officeDocument/2006/custom-properties" xmlns:vt="http://schemas.openxmlformats.org/officeDocument/2006/docPropsVTypes"/>
</file>