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400"/>
        <w:jc w:val="center"/>
      </w:pPr>
      <w:r>
        <w:rPr>
          <w:rFonts w:ascii="Aptos Display" w:hAnsi="Aptos Display"/>
          <w:b/>
          <w:color w:val="16324F"/>
          <w:sz w:val="68"/>
        </w:rPr>
        <w:t>THE 120 HOUSE</w:t>
      </w:r>
    </w:p>
    <w:p>
      <w:pPr>
        <w:jc w:val="center"/>
      </w:pPr>
      <w:r>
        <w:rPr>
          <w:b/>
          <w:color w:val="1E6A8D"/>
          <w:sz w:val="38"/>
        </w:rPr>
        <w:t>Operations, Care, Safety, Partnerships &amp; Website Manual</w:t>
      </w:r>
    </w:p>
    <w:p>
      <w:pPr>
        <w:jc w:val="center"/>
      </w:pPr>
      <w:r>
        <w:rPr>
          <w:color w:val="3B8C88"/>
          <w:sz w:val="24"/>
        </w:rPr>
        <w:t>A 200-page implementation system for peer-run recovery housing</w:t>
      </w:r>
    </w:p>
    <w:p>
      <w:pPr>
        <w:jc w:val="center"/>
      </w:pPr>
      <w:r>
        <w:drawing>
          <wp:inline xmlns:a="http://schemas.openxmlformats.org/drawingml/2006/main" xmlns:pic="http://schemas.openxmlformats.org/drawingml/2006/picture">
            <wp:extent cx="2514600" cy="4699314"/>
            <wp:docPr id="1" name="Picture 1"/>
            <wp:cNvGraphicFramePr>
              <a:graphicFrameLocks noChangeAspect="1"/>
            </wp:cNvGraphicFramePr>
            <a:graphic>
              <a:graphicData uri="http://schemas.openxmlformats.org/drawingml/2006/picture">
                <pic:pic>
                  <pic:nvPicPr>
                    <pic:cNvPr id="0" name="3f041f0b-99ca-4094-8c75-5460933921a1.png"/>
                    <pic:cNvPicPr/>
                  </pic:nvPicPr>
                  <pic:blipFill>
                    <a:blip r:embed="rId11"/>
                    <a:stretch>
                      <a:fillRect/>
                    </a:stretch>
                  </pic:blipFill>
                  <pic:spPr>
                    <a:xfrm>
                      <a:off x="0" y="0"/>
                      <a:ext cx="2514600" cy="4699314"/>
                    </a:xfrm>
                    <a:prstGeom prst="rect"/>
                  </pic:spPr>
                </pic:pic>
              </a:graphicData>
            </a:graphic>
          </wp:inline>
        </w:drawing>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3552"/>
        <w:gridCol w:w="3552"/>
        <w:gridCol w:w="3552"/>
      </w:tblGrid>
      <w:tr>
        <w:tc>
          <w:tcPr>
            <w:tcW w:type="dxa" w:w="3024"/>
            <w:shd w:fill="16324F"/>
          </w:tcPr>
          <w:p>
            <w:pPr>
              <w:spacing w:after="0"/>
            </w:pPr>
            <w:r/>
            <w:r>
              <w:rPr>
                <w:rFonts w:ascii="Aptos" w:hAnsi="Aptos"/>
                <w:b/>
                <w:color w:val="FFFFFF"/>
                <w:sz w:val="18"/>
              </w:rPr>
              <w:t>Planning Target</w:t>
            </w:r>
          </w:p>
        </w:tc>
        <w:tc>
          <w:tcPr>
            <w:tcW w:type="dxa" w:w="3168"/>
            <w:shd w:fill="16324F"/>
          </w:tcPr>
          <w:p>
            <w:pPr>
              <w:spacing w:after="0"/>
            </w:pPr>
            <w:r/>
            <w:r>
              <w:rPr>
                <w:rFonts w:ascii="Aptos" w:hAnsi="Aptos"/>
                <w:b/>
                <w:color w:val="FFFFFF"/>
                <w:sz w:val="18"/>
              </w:rPr>
              <w:t>Owner</w:t>
            </w:r>
          </w:p>
        </w:tc>
        <w:tc>
          <w:tcPr>
            <w:tcW w:type="dxa" w:w="4320"/>
            <w:shd w:fill="16324F"/>
          </w:tcPr>
          <w:p>
            <w:pPr>
              <w:spacing w:after="0"/>
            </w:pPr>
            <w:r/>
            <w:r>
              <w:rPr>
                <w:rFonts w:ascii="Aptos" w:hAnsi="Aptos"/>
                <w:b/>
                <w:color w:val="FFFFFF"/>
                <w:sz w:val="18"/>
              </w:rPr>
              <w:t>Primary Location</w:t>
            </w:r>
          </w:p>
        </w:tc>
      </w:tr>
      <w:tr>
        <w:tc>
          <w:tcPr>
            <w:tcW w:type="dxa" w:w="3024"/>
            <w:vAlign w:val="center"/>
          </w:tcPr>
          <w:p>
            <w:pPr>
              <w:spacing w:after="0"/>
            </w:pPr>
            <w:r/>
            <w:r>
              <w:rPr>
                <w:rFonts w:ascii="Aptos" w:hAnsi="Aptos"/>
                <w:b w:val="0"/>
                <w:color w:val="263238"/>
                <w:sz w:val="18"/>
              </w:rPr>
              <w:t>Purchase and launch by Summer 2027</w:t>
            </w:r>
          </w:p>
        </w:tc>
        <w:tc>
          <w:tcPr>
            <w:tcW w:type="dxa" w:w="3168"/>
            <w:vAlign w:val="center"/>
          </w:tcPr>
          <w:p>
            <w:pPr>
              <w:spacing w:after="0"/>
            </w:pPr>
            <w:r/>
            <w:r>
              <w:rPr>
                <w:rFonts w:ascii="Aptos" w:hAnsi="Aptos"/>
                <w:b w:val="0"/>
                <w:color w:val="263238"/>
                <w:sz w:val="18"/>
              </w:rPr>
              <w:t>Restoring Hope Ministries</w:t>
            </w:r>
          </w:p>
        </w:tc>
        <w:tc>
          <w:tcPr>
            <w:tcW w:type="dxa" w:w="4320"/>
            <w:vAlign w:val="center"/>
          </w:tcPr>
          <w:p>
            <w:pPr>
              <w:spacing w:after="0"/>
            </w:pPr>
            <w:r/>
            <w:r>
              <w:rPr>
                <w:rFonts w:ascii="Aptos" w:hAnsi="Aptos"/>
                <w:b w:val="0"/>
                <w:color w:val="263238"/>
                <w:sz w:val="18"/>
              </w:rPr>
              <w:t>Adjacent to 529 S Jefferson Street, Green Bay, WI 54301</w:t>
            </w:r>
          </w:p>
        </w:tc>
      </w:tr>
    </w:tbl>
    <w:p>
      <w:pPr>
        <w:spacing w:before="280"/>
        <w:jc w:val="center"/>
      </w:pPr>
      <w:r>
        <w:rPr>
          <w:i/>
          <w:sz w:val="18"/>
        </w:rPr>
        <w:t>Prepared for board deliberation, fundraising, lender engagement, community partnership, and implementation.</w:t>
      </w:r>
    </w:p>
    <w:p>
      <w:r>
        <w:br w:type="page"/>
      </w:r>
    </w:p>
    <w:p>
      <w:pPr>
        <w:pStyle w:val="Heading3"/>
      </w:pPr>
      <w:r>
        <w:t>EXECUTIVE DIRECTION</w:t>
      </w:r>
    </w:p>
    <w:p>
      <w:pPr>
        <w:pStyle w:val="Heading1"/>
      </w:pPr>
      <w:r>
        <w:t>Board Charge and Use of This Manual</w:t>
      </w:r>
    </w:p>
    <w:p>
      <w:pPr>
        <w:spacing w:after="100"/>
      </w:pPr>
      <w:r>
        <w:t>This manual is a working governance instrument. It is designed to move RHM from concept to a lawful, financed, safe, and measurable recovery-housing operation. Assumptions are intentionally visible so that the board can replace them with verified property, lender, insurance, wage, occupancy, and partner data before commitment.</w:t>
      </w:r>
    </w:p>
    <w:p>
      <w:pPr>
        <w:pStyle w:val="Heading2"/>
      </w:pPr>
      <w:r>
        <w:t>Required actions</w:t>
      </w:r>
    </w:p>
    <w:p>
      <w:pPr>
        <w:pStyle w:val="ListBullet"/>
        <w:spacing w:after="40" w:line="240" w:lineRule="auto"/>
      </w:pPr>
      <w:r>
        <w:rPr>
          <w:rFonts w:ascii="Aptos" w:hAnsi="Aptos"/>
          <w:color w:val="263238"/>
          <w:sz w:val="17"/>
        </w:rPr>
        <w:t>Approve the planning target and the women-first launch sequence.</w:t>
      </w:r>
    </w:p>
    <w:p>
      <w:pPr>
        <w:pStyle w:val="ListBullet"/>
        <w:spacing w:after="40" w:line="240" w:lineRule="auto"/>
      </w:pPr>
      <w:r>
        <w:rPr>
          <w:rFonts w:ascii="Aptos" w:hAnsi="Aptos"/>
          <w:color w:val="263238"/>
          <w:sz w:val="17"/>
        </w:rPr>
        <w:t>Authorize property, zoning, legal, insurance, and capital-market due diligence without authorizing purchase.</w:t>
      </w:r>
    </w:p>
    <w:p>
      <w:pPr>
        <w:pStyle w:val="ListBullet"/>
        <w:spacing w:after="40" w:line="240" w:lineRule="auto"/>
      </w:pPr>
      <w:r>
        <w:rPr>
          <w:rFonts w:ascii="Aptos" w:hAnsi="Aptos"/>
          <w:color w:val="263238"/>
          <w:sz w:val="17"/>
        </w:rPr>
        <w:t>Name a board project committee and adopt monthly reporting.</w:t>
      </w:r>
    </w:p>
    <w:p>
      <w:pPr>
        <w:pStyle w:val="ListBullet"/>
        <w:spacing w:after="40" w:line="240" w:lineRule="auto"/>
      </w:pPr>
      <w:r>
        <w:rPr>
          <w:rFonts w:ascii="Aptos" w:hAnsi="Aptos"/>
          <w:color w:val="263238"/>
          <w:sz w:val="17"/>
        </w:rPr>
        <w:t>Require a minimum operating reserve and written overnight-safety approval before opening.</w:t>
      </w:r>
    </w:p>
    <w:p>
      <w:pPr>
        <w:pStyle w:val="ListBullet"/>
        <w:spacing w:after="40" w:line="240" w:lineRule="auto"/>
      </w:pPr>
      <w:r>
        <w:rPr>
          <w:rFonts w:ascii="Aptos" w:hAnsi="Aptos"/>
          <w:color w:val="263238"/>
          <w:sz w:val="17"/>
        </w:rPr>
        <w:t>Adopt the red-line rule: no resident admission before fire, occupancy, insurance, policy, training, and emergency-readiness gates are complete.</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Project governance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project governance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board charge and use of this manual,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board charge and use of this manual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tbl>
      <w:tblPr>
        <w:tblW w:type="auto" w:w="0"/>
        <w:tblLook w:firstColumn="1" w:firstRow="1" w:lastColumn="0" w:lastRow="0" w:noHBand="0" w:noVBand="1" w:val="04A0"/>
        <w:tblBorders>
          <w:top w:val="single" w:sz="4" w:color="D99B9B"/>
          <w:left w:val="single" w:sz="4" w:color="D99B9B"/>
          <w:bottom w:val="single" w:sz="4" w:color="D99B9B"/>
          <w:right w:val="single" w:sz="4" w:color="D99B9B"/>
          <w:insideH w:val="single" w:sz="4" w:color="D99B9B"/>
          <w:insideV w:val="single" w:sz="4" w:color="D99B9B"/>
        </w:tblBorders>
      </w:tblPr>
      <w:tblGrid>
        <w:gridCol w:w="10656"/>
      </w:tblGrid>
      <w:tr>
        <w:tc>
          <w:tcPr>
            <w:tcW w:type="dxa" w:w="10656"/>
            <w:shd w:fill="FBECEC"/>
          </w:tcPr>
          <w:p>
            <w:pPr>
              <w:spacing w:after="0"/>
            </w:pPr>
            <w:r/>
            <w:r>
              <w:rPr>
                <w:rFonts w:ascii="Aptos" w:hAnsi="Aptos"/>
                <w:b/>
                <w:color w:val="A33A3A"/>
                <w:sz w:val="16"/>
              </w:rPr>
              <w:t>CAUTION / DECISION GATE: This is a planning document, not legal, tax, lending, clinical, zoning, employment, or insurance advice. Obtain written professional review before reliance.</w:t>
            </w:r>
          </w:p>
        </w:tc>
      </w:tr>
    </w:tbl>
    <w:p>
      <w:r>
        <w:br w:type="page"/>
      </w:r>
    </w:p>
    <w:p>
      <w:pPr>
        <w:pStyle w:val="Heading3"/>
      </w:pPr>
      <w:r>
        <w:t>I. OPERATING PHILOSOPHY</w:t>
      </w:r>
    </w:p>
    <w:p>
      <w:pPr>
        <w:pStyle w:val="Heading1"/>
      </w:pPr>
      <w:r>
        <w:t>Christ-Centered Care Covenant</w:t>
      </w:r>
    </w:p>
    <w:p>
      <w:pPr>
        <w:spacing w:after="100"/>
      </w:pPr>
      <w:r>
        <w:t>Christ-Centered Care Covenant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christ-centered care covenant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Christ-Centered Care Covenant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christ-centered care covenant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christ-centered care covenant,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christ-centered care covenant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I. OPERATING PHILOSOPHY</w:t>
      </w:r>
    </w:p>
    <w:p>
      <w:pPr>
        <w:pStyle w:val="Heading1"/>
      </w:pPr>
      <w:r>
        <w:t>Voluntary Spiritual Participation</w:t>
      </w:r>
    </w:p>
    <w:p>
      <w:pPr>
        <w:spacing w:after="100"/>
      </w:pPr>
      <w:r>
        <w:t>Voluntary Spiritual Participation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voluntary spiritual participation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Voluntary Spiritual Participation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voluntary spiritual participation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voluntary spiritual participation,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voluntary spiritual participation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I. OPERATING PHILOSOPHY</w:t>
      </w:r>
    </w:p>
    <w:p>
      <w:pPr>
        <w:pStyle w:val="Heading1"/>
      </w:pPr>
      <w:r>
        <w:t>Peer Leadership Principles</w:t>
      </w:r>
    </w:p>
    <w:p>
      <w:pPr>
        <w:spacing w:after="100"/>
      </w:pPr>
      <w:r>
        <w:t>Peer Leadership Principles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peer leadership principles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Peer Leadership Principles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peer leadership principles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peer leadership principles,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peer leadership principles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I. OPERATING PHILOSOPHY</w:t>
      </w:r>
    </w:p>
    <w:p>
      <w:pPr>
        <w:pStyle w:val="Heading1"/>
      </w:pPr>
      <w:r>
        <w:t>Recovery-Oriented Language</w:t>
      </w:r>
    </w:p>
    <w:p>
      <w:pPr>
        <w:spacing w:after="100"/>
      </w:pPr>
      <w:r>
        <w:t>Recovery-Oriented Language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recovery-oriented language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Recovery-Oriented Language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recovery-oriented language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recovery-oriented language,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recovery-oriented language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I. OPERATING PHILOSOPHY</w:t>
      </w:r>
    </w:p>
    <w:p>
      <w:pPr>
        <w:pStyle w:val="Heading1"/>
      </w:pPr>
      <w:r>
        <w:t>Trauma-Responsive Culture</w:t>
      </w:r>
    </w:p>
    <w:p>
      <w:pPr>
        <w:spacing w:after="100"/>
      </w:pPr>
      <w:r>
        <w:t>Trauma-Responsive Culture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trauma-responsive culture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Trauma-Responsive Culture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trauma-responsive culture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trauma-responsive culture,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trauma-responsive culture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I. OPERATING PHILOSOPHY</w:t>
      </w:r>
    </w:p>
    <w:p>
      <w:pPr>
        <w:pStyle w:val="Heading1"/>
      </w:pPr>
      <w:r>
        <w:t>Resident Dignity</w:t>
      </w:r>
    </w:p>
    <w:p>
      <w:pPr>
        <w:spacing w:after="100"/>
      </w:pPr>
      <w:r>
        <w:t>Resident Dignity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resident dignity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Resident Dignity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resident dignity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resident dignity,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resident dignity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I. OPERATING PHILOSOPHY</w:t>
      </w:r>
    </w:p>
    <w:p>
      <w:pPr>
        <w:pStyle w:val="Heading1"/>
      </w:pPr>
      <w:r>
        <w:t>Strengths and Responsibility</w:t>
      </w:r>
    </w:p>
    <w:p>
      <w:pPr>
        <w:spacing w:after="100"/>
      </w:pPr>
      <w:r>
        <w:t>Strengths and Responsibility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strengths and responsibility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Strengths and Responsibility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strengths and responsibility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strengths and responsibility,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strengths and responsibility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I. OPERATING PHILOSOPHY</w:t>
      </w:r>
    </w:p>
    <w:p>
      <w:pPr>
        <w:pStyle w:val="Heading1"/>
      </w:pPr>
      <w:r>
        <w:t>Community Belonging</w:t>
      </w:r>
    </w:p>
    <w:p>
      <w:pPr>
        <w:spacing w:after="100"/>
      </w:pPr>
      <w:r>
        <w:t>Community Belonging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community belonging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Community Belonging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community belonging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community belonging,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community belonging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I. OPERATING PHILOSOPHY</w:t>
      </w:r>
    </w:p>
    <w:p>
      <w:pPr>
        <w:pStyle w:val="Heading1"/>
      </w:pPr>
      <w:r>
        <w:t>Clinical Boundary</w:t>
      </w:r>
    </w:p>
    <w:p>
      <w:pPr>
        <w:spacing w:after="100"/>
      </w:pPr>
      <w:r>
        <w:t>Clinical Boundary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clinical boundary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Clinical Boundary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clinical boundary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clinical boundary,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clinical boundary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I. OPERATING PHILOSOPHY</w:t>
      </w:r>
    </w:p>
    <w:p>
      <w:pPr>
        <w:pStyle w:val="Heading1"/>
      </w:pPr>
      <w:r>
        <w:t>Operating Commitments</w:t>
      </w:r>
    </w:p>
    <w:p>
      <w:pPr>
        <w:spacing w:after="100"/>
      </w:pPr>
      <w:r>
        <w:t>Operating Commitments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operating commitments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Operating Commitments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operating commitments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operating commitments,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operating commitments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II. ADMISSION AND INTAKE</w:t>
      </w:r>
    </w:p>
    <w:p>
      <w:pPr>
        <w:pStyle w:val="Heading1"/>
      </w:pPr>
      <w:r>
        <w:t>Referral Intake</w:t>
      </w:r>
    </w:p>
    <w:p>
      <w:pPr>
        <w:spacing w:after="100"/>
      </w:pPr>
      <w:r>
        <w:t>Referral Intake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referral intake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Referral Intake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referral intake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referral intake,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referral intake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II. ADMISSION AND INTAKE</w:t>
      </w:r>
    </w:p>
    <w:p>
      <w:pPr>
        <w:pStyle w:val="Heading1"/>
      </w:pPr>
      <w:r>
        <w:t>Eligibility Screen</w:t>
      </w:r>
    </w:p>
    <w:p>
      <w:pPr>
        <w:spacing w:after="100"/>
      </w:pPr>
      <w:r>
        <w:t>Eligibility Screen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eligibility screen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Eligibility Screen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eligibility screen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eligibility screen,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eligibility screen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II. ADMISSION AND INTAKE</w:t>
      </w:r>
    </w:p>
    <w:p>
      <w:pPr>
        <w:pStyle w:val="Heading1"/>
      </w:pPr>
      <w:r>
        <w:t>Exclusion and Referral Criteria</w:t>
      </w:r>
    </w:p>
    <w:p>
      <w:pPr>
        <w:spacing w:after="100"/>
      </w:pPr>
      <w:r>
        <w:t>Exclusion and Referral Criteria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exclusion and referral criteria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Exclusion and Referral Criteria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exclusion and referral criteria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exclusion and referral criteria,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exclusion and referral criteria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II. ADMISSION AND INTAKE</w:t>
      </w:r>
    </w:p>
    <w:p>
      <w:pPr>
        <w:pStyle w:val="Heading1"/>
      </w:pPr>
      <w:r>
        <w:t>Fair Housing Review</w:t>
      </w:r>
    </w:p>
    <w:p>
      <w:pPr>
        <w:spacing w:after="100"/>
      </w:pPr>
      <w:r>
        <w:t>Fair Housing Review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fair housing review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Fair Housing Review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fair housing review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fair housing review,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fair housing review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II. ADMISSION AND INTAKE</w:t>
      </w:r>
    </w:p>
    <w:p>
      <w:pPr>
        <w:pStyle w:val="Heading1"/>
      </w:pPr>
      <w:r>
        <w:t>Medication and MOUD</w:t>
      </w:r>
    </w:p>
    <w:p>
      <w:pPr>
        <w:spacing w:after="100"/>
      </w:pPr>
      <w:r>
        <w:t>Medication and MOUD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medication and moud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Medication and MOUD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medication and moud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medication and moud,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medication and moud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II. ADMISSION AND INTAKE</w:t>
      </w:r>
    </w:p>
    <w:p>
      <w:pPr>
        <w:pStyle w:val="Heading1"/>
      </w:pPr>
      <w:r>
        <w:t>Pregnancy and Health Needs</w:t>
      </w:r>
    </w:p>
    <w:p>
      <w:pPr>
        <w:spacing w:after="100"/>
      </w:pPr>
      <w:r>
        <w:t>Pregnancy and Health Needs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pregnancy and health needs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Pregnancy and Health Needs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pregnancy and health needs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pregnancy and health needs,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pregnancy and health needs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II. ADMISSION AND INTAKE</w:t>
      </w:r>
    </w:p>
    <w:p>
      <w:pPr>
        <w:pStyle w:val="Heading1"/>
      </w:pPr>
      <w:r>
        <w:t>Parent and Child Intake</w:t>
      </w:r>
    </w:p>
    <w:p>
      <w:pPr>
        <w:spacing w:after="100"/>
      </w:pPr>
      <w:r>
        <w:t>Parent and Child Intake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parent and child intake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Parent and Child Intake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parent and child intake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parent and child intake,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parent and child intake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II. ADMISSION AND INTAKE</w:t>
      </w:r>
    </w:p>
    <w:p>
      <w:pPr>
        <w:pStyle w:val="Heading1"/>
      </w:pPr>
      <w:r>
        <w:t>Consent and Releases</w:t>
      </w:r>
    </w:p>
    <w:p>
      <w:pPr>
        <w:spacing w:after="100"/>
      </w:pPr>
      <w:r>
        <w:t>Consent and Releases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consent and releases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Consent and Releases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consent and releases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consent and releases,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consent and releases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II. ADMISSION AND INTAKE</w:t>
      </w:r>
    </w:p>
    <w:p>
      <w:pPr>
        <w:pStyle w:val="Heading1"/>
      </w:pPr>
      <w:r>
        <w:t>Move-In Orientation</w:t>
      </w:r>
    </w:p>
    <w:p>
      <w:pPr>
        <w:spacing w:after="100"/>
      </w:pPr>
      <w:r>
        <w:t>Move-In Orientation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move-in orientation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Move-In Orientation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move-in orientation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move-in orientation,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move-in orientation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II. ADMISSION AND INTAKE</w:t>
      </w:r>
    </w:p>
    <w:p>
      <w:pPr>
        <w:pStyle w:val="Heading1"/>
      </w:pPr>
      <w:r>
        <w:t>Admission Audit</w:t>
      </w:r>
    </w:p>
    <w:p>
      <w:pPr>
        <w:spacing w:after="100"/>
      </w:pPr>
      <w:r>
        <w:t>Admission Audit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admission audit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Admission Audit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admission audit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admission audit,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admission audit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III. FIRST 30 DAYS</w:t>
      </w:r>
    </w:p>
    <w:p>
      <w:pPr>
        <w:pStyle w:val="Heading1"/>
      </w:pPr>
      <w:r>
        <w:t>Day 0 Welcome</w:t>
      </w:r>
    </w:p>
    <w:p>
      <w:pPr>
        <w:spacing w:after="100"/>
      </w:pPr>
      <w:r>
        <w:t>Day 0 Welcome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day 0 welcome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Day 0 Welcome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day 0 welcome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day 0 welcome,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day 0 welcome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III. FIRST 30 DAYS</w:t>
      </w:r>
    </w:p>
    <w:p>
      <w:pPr>
        <w:pStyle w:val="Heading1"/>
      </w:pPr>
      <w:r>
        <w:t>Days 1-3 Stabilization</w:t>
      </w:r>
    </w:p>
    <w:p>
      <w:pPr>
        <w:spacing w:after="100"/>
      </w:pPr>
      <w:r>
        <w:t>Days 1-3 Stabilization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days 1-3 stabilization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Days 1-3 Stabilization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days 1-3 stabilization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days 1-3 stabilization,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days 1-3 stabilization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III. FIRST 30 DAYS</w:t>
      </w:r>
    </w:p>
    <w:p>
      <w:pPr>
        <w:pStyle w:val="Heading1"/>
      </w:pPr>
      <w:r>
        <w:t>Week 1 Safety and Belonging</w:t>
      </w:r>
    </w:p>
    <w:p>
      <w:pPr>
        <w:spacing w:after="100"/>
      </w:pPr>
      <w:r>
        <w:t>Week 1 Safety and Belonging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week 1 safety and belonging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Week 1 Safety and Belonging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week 1 safety and belonging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week 1 safety and belonging,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week 1 safety and belonging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III. FIRST 30 DAYS</w:t>
      </w:r>
    </w:p>
    <w:p>
      <w:pPr>
        <w:pStyle w:val="Heading1"/>
      </w:pPr>
      <w:r>
        <w:t>Week 2 Rhythms and Skills</w:t>
      </w:r>
    </w:p>
    <w:p>
      <w:pPr>
        <w:spacing w:after="100"/>
      </w:pPr>
      <w:r>
        <w:t>Week 2 Rhythms and Skills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week 2 rhythms and skills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Week 2 Rhythms and Skills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week 2 rhythms and skills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week 2 rhythms and skills,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week 2 rhythms and skills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III. FIRST 30 DAYS</w:t>
      </w:r>
    </w:p>
    <w:p>
      <w:pPr>
        <w:pStyle w:val="Heading1"/>
      </w:pPr>
      <w:r>
        <w:t>Week 3 Community and Purpose</w:t>
      </w:r>
    </w:p>
    <w:p>
      <w:pPr>
        <w:spacing w:after="100"/>
      </w:pPr>
      <w:r>
        <w:t>Week 3 Community and Purpose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week 3 community and purpose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Week 3 Community and Purpose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week 3 community and purpose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week 3 community and purpose,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week 3 community and purpose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III. FIRST 30 DAYS</w:t>
      </w:r>
    </w:p>
    <w:p>
      <w:pPr>
        <w:pStyle w:val="Heading1"/>
      </w:pPr>
      <w:r>
        <w:t>Week 4 Transition Planning</w:t>
      </w:r>
    </w:p>
    <w:p>
      <w:pPr>
        <w:spacing w:after="100"/>
      </w:pPr>
      <w:r>
        <w:t>Week 4 Transition Planning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week 4 transition planning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Week 4 Transition Planning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week 4 transition planning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week 4 transition planning,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week 4 transition planning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III. FIRST 30 DAYS</w:t>
      </w:r>
    </w:p>
    <w:p>
      <w:pPr>
        <w:pStyle w:val="Heading1"/>
      </w:pPr>
      <w:r>
        <w:t>Case Management Rhythm</w:t>
      </w:r>
    </w:p>
    <w:p>
      <w:pPr>
        <w:spacing w:after="100"/>
      </w:pPr>
      <w:r>
        <w:t>Case Management Rhythm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case management rhythm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Case Management Rhythm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case management rhythm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case management rhythm,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case management rhythm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III. FIRST 30 DAYS</w:t>
      </w:r>
    </w:p>
    <w:p>
      <w:pPr>
        <w:pStyle w:val="Heading1"/>
      </w:pPr>
      <w:r>
        <w:t>Peer Contact Rhythm</w:t>
      </w:r>
    </w:p>
    <w:p>
      <w:pPr>
        <w:spacing w:after="100"/>
      </w:pPr>
      <w:r>
        <w:t>Peer Contact Rhythm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peer contact rhythm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Peer Contact Rhythm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peer contact rhythm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peer contact rhythm,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peer contact rhythm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III. FIRST 30 DAYS</w:t>
      </w:r>
    </w:p>
    <w:p>
      <w:pPr>
        <w:pStyle w:val="Heading1"/>
      </w:pPr>
      <w:r>
        <w:t>Counsel and Neurofeedback Choice</w:t>
      </w:r>
    </w:p>
    <w:p>
      <w:pPr>
        <w:spacing w:after="100"/>
      </w:pPr>
      <w:r>
        <w:t>Counsel and Neurofeedback Choice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counsel and neurofeedback choice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Counsel and Neurofeedback Choice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counsel and neurofeedback choice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counsel and neurofeedback choice,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counsel and neurofeedback choice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III. FIRST 30 DAYS</w:t>
      </w:r>
    </w:p>
    <w:p>
      <w:pPr>
        <w:pStyle w:val="Heading1"/>
      </w:pPr>
      <w:r>
        <w:t>Thirty-Day Review</w:t>
      </w:r>
    </w:p>
    <w:p>
      <w:pPr>
        <w:spacing w:after="100"/>
      </w:pPr>
      <w:r>
        <w:t>Thirty-Day Review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thirty-day review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Thirty-Day Review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thirty-day review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thirty-day review,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thirty-day review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IV. INDIVIDUALIZED CARE</w:t>
      </w:r>
    </w:p>
    <w:p>
      <w:pPr>
        <w:pStyle w:val="Heading1"/>
      </w:pPr>
      <w:r>
        <w:t>Recovery Capital Assessment</w:t>
      </w:r>
    </w:p>
    <w:p>
      <w:pPr>
        <w:spacing w:after="100"/>
      </w:pPr>
      <w:r>
        <w:t>Recovery Capital Assessment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recovery capital assessment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Recovery Capital Assessment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recovery capital assessment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recovery capital assessment,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recovery capital assessment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IV. INDIVIDUALIZED CARE</w:t>
      </w:r>
    </w:p>
    <w:p>
      <w:pPr>
        <w:pStyle w:val="Heading1"/>
      </w:pPr>
      <w:r>
        <w:t>Individual Service Plan</w:t>
      </w:r>
    </w:p>
    <w:p>
      <w:pPr>
        <w:spacing w:after="100"/>
      </w:pPr>
      <w:r>
        <w:t>Individual Service Plan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individual service plan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Individual Service Plan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individual service plan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individual service plan,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individual service plan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IV. INDIVIDUALIZED CARE</w:t>
      </w:r>
    </w:p>
    <w:p>
      <w:pPr>
        <w:pStyle w:val="Heading1"/>
      </w:pPr>
      <w:r>
        <w:t>Biblical Counseling Plan</w:t>
      </w:r>
    </w:p>
    <w:p>
      <w:pPr>
        <w:spacing w:after="100"/>
      </w:pPr>
      <w:r>
        <w:t>Biblical Counseling Plan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biblical counseling plan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Biblical Counseling Plan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biblical counseling plan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biblical counseling plan,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biblical counseling plan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IV. INDIVIDUALIZED CARE</w:t>
      </w:r>
    </w:p>
    <w:p>
      <w:pPr>
        <w:pStyle w:val="Heading1"/>
      </w:pPr>
      <w:r>
        <w:t>Clinical Referral Plan</w:t>
      </w:r>
    </w:p>
    <w:p>
      <w:pPr>
        <w:spacing w:after="100"/>
      </w:pPr>
      <w:r>
        <w:t>Clinical Referral Plan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clinical referral plan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Clinical Referral Plan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clinical referral plan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clinical referral plan,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clinical referral plan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IV. INDIVIDUALIZED CARE</w:t>
      </w:r>
    </w:p>
    <w:p>
      <w:pPr>
        <w:pStyle w:val="Heading1"/>
      </w:pPr>
      <w:r>
        <w:t>Education and Employment Plan</w:t>
      </w:r>
    </w:p>
    <w:p>
      <w:pPr>
        <w:spacing w:after="100"/>
      </w:pPr>
      <w:r>
        <w:t>Education and Employment Plan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education and employment plan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Education and Employment Plan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education and employment plan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education and employment plan,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education and employment plan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IV. INDIVIDUALIZED CARE</w:t>
      </w:r>
    </w:p>
    <w:p>
      <w:pPr>
        <w:pStyle w:val="Heading1"/>
      </w:pPr>
      <w:r>
        <w:t>Financial Capability Plan</w:t>
      </w:r>
    </w:p>
    <w:p>
      <w:pPr>
        <w:spacing w:after="100"/>
      </w:pPr>
      <w:r>
        <w:t>Financial Capability Plan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financial capability plan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Financial Capability Plan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financial capability plan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financial capability plan,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financial capability plan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IV. INDIVIDUALIZED CARE</w:t>
      </w:r>
    </w:p>
    <w:p>
      <w:pPr>
        <w:pStyle w:val="Heading1"/>
      </w:pPr>
      <w:r>
        <w:t>Family Restoration Plan</w:t>
      </w:r>
    </w:p>
    <w:p>
      <w:pPr>
        <w:spacing w:after="100"/>
      </w:pPr>
      <w:r>
        <w:t>Family Restoration Plan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family restoration plan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Family Restoration Plan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family restoration plan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family restoration plan,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family restoration plan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IV. INDIVIDUALIZED CARE</w:t>
      </w:r>
    </w:p>
    <w:p>
      <w:pPr>
        <w:pStyle w:val="Heading1"/>
      </w:pPr>
      <w:r>
        <w:t>Physical Wellness Plan</w:t>
      </w:r>
    </w:p>
    <w:p>
      <w:pPr>
        <w:spacing w:after="100"/>
      </w:pPr>
      <w:r>
        <w:t>Physical Wellness Plan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physical wellness plan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Physical Wellness Plan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physical wellness plan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physical wellness plan,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physical wellness plan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IV. INDIVIDUALIZED CARE</w:t>
      </w:r>
    </w:p>
    <w:p>
      <w:pPr>
        <w:pStyle w:val="Heading1"/>
      </w:pPr>
      <w:r>
        <w:t>Spiritual Formation Plan</w:t>
      </w:r>
    </w:p>
    <w:p>
      <w:pPr>
        <w:spacing w:after="100"/>
      </w:pPr>
      <w:r>
        <w:t>Spiritual Formation Plan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spiritual formation plan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Spiritual Formation Plan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spiritual formation plan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spiritual formation plan,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spiritual formation plan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IV. INDIVIDUALIZED CARE</w:t>
      </w:r>
    </w:p>
    <w:p>
      <w:pPr>
        <w:pStyle w:val="Heading1"/>
      </w:pPr>
      <w:r>
        <w:t>Quarterly Care Review</w:t>
      </w:r>
    </w:p>
    <w:p>
      <w:pPr>
        <w:spacing w:after="100"/>
      </w:pPr>
      <w:r>
        <w:t>Quarterly Care Review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quarterly care review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Quarterly Care Review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quarterly care review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quarterly care review,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quarterly care review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V. PEER-RUN GOVERNANCE</w:t>
      </w:r>
    </w:p>
    <w:p>
      <w:pPr>
        <w:pStyle w:val="Heading1"/>
      </w:pPr>
      <w:r>
        <w:t>Resident Council</w:t>
      </w:r>
    </w:p>
    <w:p>
      <w:pPr>
        <w:spacing w:after="100"/>
      </w:pPr>
      <w:r>
        <w:t>Resident Council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resident council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Resident Council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resident council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resident council,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resident council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V. PEER-RUN GOVERNANCE</w:t>
      </w:r>
    </w:p>
    <w:p>
      <w:pPr>
        <w:pStyle w:val="Heading1"/>
      </w:pPr>
      <w:r>
        <w:t>House Meeting</w:t>
      </w:r>
    </w:p>
    <w:p>
      <w:pPr>
        <w:spacing w:after="100"/>
      </w:pPr>
      <w:r>
        <w:t>House Meeting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house meeting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House Meeting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house meeting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house meeting,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house meeting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V. PEER-RUN GOVERNANCE</w:t>
      </w:r>
    </w:p>
    <w:p>
      <w:pPr>
        <w:pStyle w:val="Heading1"/>
      </w:pPr>
      <w:r>
        <w:t>Peer Leader Selection</w:t>
      </w:r>
    </w:p>
    <w:p>
      <w:pPr>
        <w:spacing w:after="100"/>
      </w:pPr>
      <w:r>
        <w:t>Peer Leader Selection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peer leader selection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Peer Leader Selection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peer leader selection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peer leader selection,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peer leader selection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V. PEER-RUN GOVERNANCE</w:t>
      </w:r>
    </w:p>
    <w:p>
      <w:pPr>
        <w:pStyle w:val="Heading1"/>
      </w:pPr>
      <w:r>
        <w:t>Peer Leader Training</w:t>
      </w:r>
    </w:p>
    <w:p>
      <w:pPr>
        <w:spacing w:after="100"/>
      </w:pPr>
      <w:r>
        <w:t>Peer Leader Training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peer leader training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Peer Leader Training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peer leader training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peer leader training,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peer leader training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V. PEER-RUN GOVERNANCE</w:t>
      </w:r>
    </w:p>
    <w:p>
      <w:pPr>
        <w:pStyle w:val="Heading1"/>
      </w:pPr>
      <w:r>
        <w:t>Peer Role Boundaries</w:t>
      </w:r>
    </w:p>
    <w:p>
      <w:pPr>
        <w:spacing w:after="100"/>
      </w:pPr>
      <w:r>
        <w:t>Peer Role Boundaries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peer role boundaries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Peer Role Boundaries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peer role boundaries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peer role boundaries,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peer role boundaries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V. PEER-RUN GOVERNANCE</w:t>
      </w:r>
    </w:p>
    <w:p>
      <w:pPr>
        <w:pStyle w:val="Heading1"/>
      </w:pPr>
      <w:r>
        <w:t>Mutual Accountability</w:t>
      </w:r>
    </w:p>
    <w:p>
      <w:pPr>
        <w:spacing w:after="100"/>
      </w:pPr>
      <w:r>
        <w:t>Mutual Accountability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mutual accountability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Mutual Accountability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mutual accountability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mutual accountability,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mutual accountability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V. PEER-RUN GOVERNANCE</w:t>
      </w:r>
    </w:p>
    <w:p>
      <w:pPr>
        <w:pStyle w:val="Heading1"/>
      </w:pPr>
      <w:r>
        <w:t>Resident Voting</w:t>
      </w:r>
    </w:p>
    <w:p>
      <w:pPr>
        <w:spacing w:after="100"/>
      </w:pPr>
      <w:r>
        <w:t>Resident Voting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resident voting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Resident Voting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resident voting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resident voting,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resident voting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V. PEER-RUN GOVERNANCE</w:t>
      </w:r>
    </w:p>
    <w:p>
      <w:pPr>
        <w:pStyle w:val="Heading1"/>
      </w:pPr>
      <w:r>
        <w:t>Conflict Mediation</w:t>
      </w:r>
    </w:p>
    <w:p>
      <w:pPr>
        <w:spacing w:after="100"/>
      </w:pPr>
      <w:r>
        <w:t>Conflict Mediation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conflict mediation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Conflict Mediation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conflict mediation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conflict mediation,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conflict mediation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V. PEER-RUN GOVERNANCE</w:t>
      </w:r>
    </w:p>
    <w:p>
      <w:pPr>
        <w:pStyle w:val="Heading1"/>
      </w:pPr>
      <w:r>
        <w:t>Peer Feedback</w:t>
      </w:r>
    </w:p>
    <w:p>
      <w:pPr>
        <w:spacing w:after="100"/>
      </w:pPr>
      <w:r>
        <w:t>Peer Feedback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peer feedback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Peer Feedback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peer feedback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peer feedback,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peer feedback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V. PEER-RUN GOVERNANCE</w:t>
      </w:r>
    </w:p>
    <w:p>
      <w:pPr>
        <w:pStyle w:val="Heading1"/>
      </w:pPr>
      <w:r>
        <w:t>Leadership Succession</w:t>
      </w:r>
    </w:p>
    <w:p>
      <w:pPr>
        <w:spacing w:after="100"/>
      </w:pPr>
      <w:r>
        <w:t>Leadership Succession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leadership succession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Leadership Succession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leadership succession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leadership succession,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leadership succession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VI. OVERNIGHT SAFETY</w:t>
      </w:r>
    </w:p>
    <w:p>
      <w:pPr>
        <w:pStyle w:val="Heading1"/>
      </w:pPr>
      <w:r>
        <w:t>Night-Risk Classification</w:t>
      </w:r>
    </w:p>
    <w:p>
      <w:pPr>
        <w:spacing w:after="100"/>
      </w:pPr>
      <w:r>
        <w:t>Night-Risk Classification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night-risk classification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Night-Risk Classification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night-risk classification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night-risk classification,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night-risk classification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tbl>
      <w:tblPr>
        <w:tblW w:type="auto" w:w="0"/>
        <w:tblLook w:firstColumn="1" w:firstRow="1" w:lastColumn="0" w:lastRow="0" w:noHBand="0" w:noVBand="1" w:val="04A0"/>
        <w:tblBorders>
          <w:top w:val="single" w:sz="4" w:color="D99B9B"/>
          <w:left w:val="single" w:sz="4" w:color="D99B9B"/>
          <w:bottom w:val="single" w:sz="4" w:color="D99B9B"/>
          <w:right w:val="single" w:sz="4" w:color="D99B9B"/>
          <w:insideH w:val="single" w:sz="4" w:color="D99B9B"/>
          <w:insideV w:val="single" w:sz="4" w:color="D99B9B"/>
        </w:tblBorders>
      </w:tblPr>
      <w:tblGrid>
        <w:gridCol w:w="10656"/>
      </w:tblGrid>
      <w:tr>
        <w:tc>
          <w:tcPr>
            <w:tcW w:type="dxa" w:w="10656"/>
            <w:shd w:fill="FBECEC"/>
          </w:tcPr>
          <w:p>
            <w:pPr>
              <w:spacing w:after="0"/>
            </w:pPr>
            <w:r/>
            <w:r>
              <w:rPr>
                <w:rFonts w:ascii="Aptos" w:hAnsi="Aptos"/>
                <w:b/>
                <w:color w:val="A33A3A"/>
                <w:sz w:val="16"/>
              </w:rPr>
              <w:t>CAUTION / DECISION GATE: No camera, staffing, disciplinary, clinical, faith, or housing rule should be implemented without the applicable rights and compliance review.</w:t>
            </w:r>
          </w:p>
        </w:tc>
      </w:tr>
    </w:tbl>
    <w:p>
      <w:r>
        <w:br w:type="page"/>
      </w:r>
    </w:p>
    <w:p>
      <w:pPr>
        <w:pStyle w:val="Heading3"/>
      </w:pPr>
      <w:r>
        <w:t>VI. OVERNIGHT SAFETY</w:t>
      </w:r>
    </w:p>
    <w:p>
      <w:pPr>
        <w:pStyle w:val="Heading1"/>
      </w:pPr>
      <w:r>
        <w:t>First-30-Day Coverage</w:t>
      </w:r>
    </w:p>
    <w:p>
      <w:pPr>
        <w:spacing w:after="100"/>
      </w:pPr>
      <w:r>
        <w:t>First-30-Day Coverage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first-30-day coverage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First-30-Day Coverage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first-30-day coverage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first-30-day coverage,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first-30-day coverage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VI. OVERNIGHT SAFETY</w:t>
      </w:r>
    </w:p>
    <w:p>
      <w:pPr>
        <w:pStyle w:val="Heading1"/>
      </w:pPr>
      <w:r>
        <w:t>On-Call Rotation</w:t>
      </w:r>
    </w:p>
    <w:p>
      <w:pPr>
        <w:spacing w:after="100"/>
      </w:pPr>
      <w:r>
        <w:t>On-Call Rotation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on-call rotation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On-Call Rotation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on-call rotation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on-call rotation,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on-call rotation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VI. OVERNIGHT SAFETY</w:t>
      </w:r>
    </w:p>
    <w:p>
      <w:pPr>
        <w:pStyle w:val="Heading1"/>
      </w:pPr>
      <w:r>
        <w:t>Resident Night Lead</w:t>
      </w:r>
    </w:p>
    <w:p>
      <w:pPr>
        <w:spacing w:after="100"/>
      </w:pPr>
      <w:r>
        <w:t>Resident Night Lead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resident night lead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Resident Night Lead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resident night lead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resident night lead,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resident night lead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tbl>
      <w:tblPr>
        <w:tblW w:type="auto" w:w="0"/>
        <w:tblLook w:firstColumn="1" w:firstRow="1" w:lastColumn="0" w:lastRow="0" w:noHBand="0" w:noVBand="1" w:val="04A0"/>
        <w:tblBorders>
          <w:top w:val="single" w:sz="4" w:color="D99B9B"/>
          <w:left w:val="single" w:sz="4" w:color="D99B9B"/>
          <w:bottom w:val="single" w:sz="4" w:color="D99B9B"/>
          <w:right w:val="single" w:sz="4" w:color="D99B9B"/>
          <w:insideH w:val="single" w:sz="4" w:color="D99B9B"/>
          <w:insideV w:val="single" w:sz="4" w:color="D99B9B"/>
        </w:tblBorders>
      </w:tblPr>
      <w:tblGrid>
        <w:gridCol w:w="10656"/>
      </w:tblGrid>
      <w:tr>
        <w:tc>
          <w:tcPr>
            <w:tcW w:type="dxa" w:w="10656"/>
            <w:shd w:fill="FBECEC"/>
          </w:tcPr>
          <w:p>
            <w:pPr>
              <w:spacing w:after="0"/>
            </w:pPr>
            <w:r/>
            <w:r>
              <w:rPr>
                <w:rFonts w:ascii="Aptos" w:hAnsi="Aptos"/>
                <w:b/>
                <w:color w:val="A33A3A"/>
                <w:sz w:val="16"/>
              </w:rPr>
              <w:t>CAUTION / DECISION GATE: No camera, staffing, disciplinary, clinical, faith, or housing rule should be implemented without the applicable rights and compliance review.</w:t>
            </w:r>
          </w:p>
        </w:tc>
      </w:tr>
    </w:tbl>
    <w:p>
      <w:r>
        <w:br w:type="page"/>
      </w:r>
    </w:p>
    <w:p>
      <w:pPr>
        <w:pStyle w:val="Heading3"/>
      </w:pPr>
      <w:r>
        <w:t>VI. OVERNIGHT SAFETY</w:t>
      </w:r>
    </w:p>
    <w:p>
      <w:pPr>
        <w:pStyle w:val="Heading1"/>
      </w:pPr>
      <w:r>
        <w:t>Camera Placement</w:t>
      </w:r>
    </w:p>
    <w:p>
      <w:pPr>
        <w:spacing w:after="100"/>
      </w:pPr>
      <w:r>
        <w:t>Camera Placement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camera placement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Camera Placement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camera placement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camera placement,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camera placement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tbl>
      <w:tblPr>
        <w:tblW w:type="auto" w:w="0"/>
        <w:tblLook w:firstColumn="1" w:firstRow="1" w:lastColumn="0" w:lastRow="0" w:noHBand="0" w:noVBand="1" w:val="04A0"/>
        <w:tblBorders>
          <w:top w:val="single" w:sz="4" w:color="D99B9B"/>
          <w:left w:val="single" w:sz="4" w:color="D99B9B"/>
          <w:bottom w:val="single" w:sz="4" w:color="D99B9B"/>
          <w:right w:val="single" w:sz="4" w:color="D99B9B"/>
          <w:insideH w:val="single" w:sz="4" w:color="D99B9B"/>
          <w:insideV w:val="single" w:sz="4" w:color="D99B9B"/>
        </w:tblBorders>
      </w:tblPr>
      <w:tblGrid>
        <w:gridCol w:w="10656"/>
      </w:tblGrid>
      <w:tr>
        <w:tc>
          <w:tcPr>
            <w:tcW w:type="dxa" w:w="10656"/>
            <w:shd w:fill="FBECEC"/>
          </w:tcPr>
          <w:p>
            <w:pPr>
              <w:spacing w:after="0"/>
            </w:pPr>
            <w:r/>
            <w:r>
              <w:rPr>
                <w:rFonts w:ascii="Aptos" w:hAnsi="Aptos"/>
                <w:b/>
                <w:color w:val="A33A3A"/>
                <w:sz w:val="16"/>
              </w:rPr>
              <w:t>CAUTION / DECISION GATE: No camera, staffing, disciplinary, clinical, faith, or housing rule should be implemented without the applicable rights and compliance review.</w:t>
            </w:r>
          </w:p>
        </w:tc>
      </w:tr>
    </w:tbl>
    <w:p>
      <w:r>
        <w:br w:type="page"/>
      </w:r>
    </w:p>
    <w:p>
      <w:pPr>
        <w:pStyle w:val="Heading3"/>
      </w:pPr>
      <w:r>
        <w:t>VI. OVERNIGHT SAFETY</w:t>
      </w:r>
    </w:p>
    <w:p>
      <w:pPr>
        <w:pStyle w:val="Heading1"/>
      </w:pPr>
      <w:r>
        <w:t>No-Audio Default</w:t>
      </w:r>
    </w:p>
    <w:p>
      <w:pPr>
        <w:spacing w:after="100"/>
      </w:pPr>
      <w:r>
        <w:t>No-Audio Default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no-audio default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No-Audio Default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no-audio default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no-audio default,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no-audio default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VI. OVERNIGHT SAFETY</w:t>
      </w:r>
    </w:p>
    <w:p>
      <w:pPr>
        <w:pStyle w:val="Heading1"/>
      </w:pPr>
      <w:r>
        <w:t>Privacy Zones</w:t>
      </w:r>
    </w:p>
    <w:p>
      <w:pPr>
        <w:spacing w:after="100"/>
      </w:pPr>
      <w:r>
        <w:t>Privacy Zones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privacy zones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Privacy Zones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privacy zones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privacy zones,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privacy zones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VI. OVERNIGHT SAFETY</w:t>
      </w:r>
    </w:p>
    <w:p>
      <w:pPr>
        <w:pStyle w:val="Heading1"/>
      </w:pPr>
      <w:r>
        <w:t>Emergency Call Tree</w:t>
      </w:r>
    </w:p>
    <w:p>
      <w:pPr>
        <w:spacing w:after="100"/>
      </w:pPr>
      <w:r>
        <w:t>Emergency Call Tree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emergency call tree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Emergency Call Tree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emergency call tree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emergency call tree,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emergency call tree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VI. OVERNIGHT SAFETY</w:t>
      </w:r>
    </w:p>
    <w:p>
      <w:pPr>
        <w:pStyle w:val="Heading1"/>
      </w:pPr>
      <w:r>
        <w:t>Night Incident Response</w:t>
      </w:r>
    </w:p>
    <w:p>
      <w:pPr>
        <w:spacing w:after="100"/>
      </w:pPr>
      <w:r>
        <w:t>Night Incident Response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night incident response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Night Incident Response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night incident response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night incident response,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night incident response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tbl>
      <w:tblPr>
        <w:tblW w:type="auto" w:w="0"/>
        <w:tblLook w:firstColumn="1" w:firstRow="1" w:lastColumn="0" w:lastRow="0" w:noHBand="0" w:noVBand="1" w:val="04A0"/>
        <w:tblBorders>
          <w:top w:val="single" w:sz="4" w:color="D99B9B"/>
          <w:left w:val="single" w:sz="4" w:color="D99B9B"/>
          <w:bottom w:val="single" w:sz="4" w:color="D99B9B"/>
          <w:right w:val="single" w:sz="4" w:color="D99B9B"/>
          <w:insideH w:val="single" w:sz="4" w:color="D99B9B"/>
          <w:insideV w:val="single" w:sz="4" w:color="D99B9B"/>
        </w:tblBorders>
      </w:tblPr>
      <w:tblGrid>
        <w:gridCol w:w="10656"/>
      </w:tblGrid>
      <w:tr>
        <w:tc>
          <w:tcPr>
            <w:tcW w:type="dxa" w:w="10656"/>
            <w:shd w:fill="FBECEC"/>
          </w:tcPr>
          <w:p>
            <w:pPr>
              <w:spacing w:after="0"/>
            </w:pPr>
            <w:r/>
            <w:r>
              <w:rPr>
                <w:rFonts w:ascii="Aptos" w:hAnsi="Aptos"/>
                <w:b/>
                <w:color w:val="A33A3A"/>
                <w:sz w:val="16"/>
              </w:rPr>
              <w:t>CAUTION / DECISION GATE: No camera, staffing, disciplinary, clinical, faith, or housing rule should be implemented without the applicable rights and compliance review.</w:t>
            </w:r>
          </w:p>
        </w:tc>
      </w:tr>
    </w:tbl>
    <w:p>
      <w:r>
        <w:br w:type="page"/>
      </w:r>
    </w:p>
    <w:p>
      <w:pPr>
        <w:pStyle w:val="Heading3"/>
      </w:pPr>
      <w:r>
        <w:t>VI. OVERNIGHT SAFETY</w:t>
      </w:r>
    </w:p>
    <w:p>
      <w:pPr>
        <w:pStyle w:val="Heading1"/>
      </w:pPr>
      <w:r>
        <w:t>Quarterly Safety Validation</w:t>
      </w:r>
    </w:p>
    <w:p>
      <w:pPr>
        <w:spacing w:after="100"/>
      </w:pPr>
      <w:r>
        <w:t>Quarterly Safety Validation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quarterly safety validation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Quarterly Safety Validation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quarterly safety validation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quarterly safety validation,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quarterly safety validation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VII. CRISIS AND EMERGENCY</w:t>
      </w:r>
    </w:p>
    <w:p>
      <w:pPr>
        <w:pStyle w:val="Heading1"/>
      </w:pPr>
      <w:r>
        <w:t>Overdose Response</w:t>
      </w:r>
    </w:p>
    <w:p>
      <w:pPr>
        <w:spacing w:after="100"/>
      </w:pPr>
      <w:r>
        <w:t>Overdose Response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overdose response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Overdose Response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overdose response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overdose response,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overdose response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VII. CRISIS AND EMERGENCY</w:t>
      </w:r>
    </w:p>
    <w:p>
      <w:pPr>
        <w:pStyle w:val="Heading1"/>
      </w:pPr>
      <w:r>
        <w:t>Naloxone Readiness</w:t>
      </w:r>
    </w:p>
    <w:p>
      <w:pPr>
        <w:spacing w:after="100"/>
      </w:pPr>
      <w:r>
        <w:t>Naloxone Readiness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naloxone readiness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Naloxone Readiness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naloxone readiness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naloxone readiness,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naloxone readiness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VII. CRISIS AND EMERGENCY</w:t>
      </w:r>
    </w:p>
    <w:p>
      <w:pPr>
        <w:pStyle w:val="Heading1"/>
      </w:pPr>
      <w:r>
        <w:t>Suicide-Risk Escalation</w:t>
      </w:r>
    </w:p>
    <w:p>
      <w:pPr>
        <w:spacing w:after="100"/>
      </w:pPr>
      <w:r>
        <w:t>Suicide-Risk Escalation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suicide-risk escalation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Suicide-Risk Escalation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suicide-risk escalation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suicide-risk escalation,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suicide-risk escalation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VII. CRISIS AND EMERGENCY</w:t>
      </w:r>
    </w:p>
    <w:p>
      <w:pPr>
        <w:pStyle w:val="Heading1"/>
      </w:pPr>
      <w:r>
        <w:t>Medical Emergency</w:t>
      </w:r>
    </w:p>
    <w:p>
      <w:pPr>
        <w:spacing w:after="100"/>
      </w:pPr>
      <w:r>
        <w:t>Medical Emergency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medical emergency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Medical Emergency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medical emergency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medical emergency,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medical emergency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VII. CRISIS AND EMERGENCY</w:t>
      </w:r>
    </w:p>
    <w:p>
      <w:pPr>
        <w:pStyle w:val="Heading1"/>
      </w:pPr>
      <w:r>
        <w:t>Violence and Threats</w:t>
      </w:r>
    </w:p>
    <w:p>
      <w:pPr>
        <w:spacing w:after="100"/>
      </w:pPr>
      <w:r>
        <w:t>Violence and Threats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violence and threats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Violence and Threats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violence and threats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violence and threats,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violence and threats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VII. CRISIS AND EMERGENCY</w:t>
      </w:r>
    </w:p>
    <w:p>
      <w:pPr>
        <w:pStyle w:val="Heading1"/>
      </w:pPr>
      <w:r>
        <w:t>Missing Resident</w:t>
      </w:r>
    </w:p>
    <w:p>
      <w:pPr>
        <w:spacing w:after="100"/>
      </w:pPr>
      <w:r>
        <w:t>Missing Resident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missing resident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Missing Resident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missing resident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missing resident,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missing resident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VII. CRISIS AND EMERGENCY</w:t>
      </w:r>
    </w:p>
    <w:p>
      <w:pPr>
        <w:pStyle w:val="Heading1"/>
      </w:pPr>
      <w:r>
        <w:t>Fire and Evacuation</w:t>
      </w:r>
    </w:p>
    <w:p>
      <w:pPr>
        <w:spacing w:after="100"/>
      </w:pPr>
      <w:r>
        <w:t>Fire and Evacuation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fire and evacuation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Fire and Evacuation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fire and evacuation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fire and evacuation,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fire and evacuation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VII. CRISIS AND EMERGENCY</w:t>
      </w:r>
    </w:p>
    <w:p>
      <w:pPr>
        <w:pStyle w:val="Heading1"/>
      </w:pPr>
      <w:r>
        <w:t>Severe Weather</w:t>
      </w:r>
    </w:p>
    <w:p>
      <w:pPr>
        <w:spacing w:after="100"/>
      </w:pPr>
      <w:r>
        <w:t>Severe Weather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severe weather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Severe Weather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severe weather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severe weather,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severe weather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VII. CRISIS AND EMERGENCY</w:t>
      </w:r>
    </w:p>
    <w:p>
      <w:pPr>
        <w:pStyle w:val="Heading1"/>
      </w:pPr>
      <w:r>
        <w:t>Child Safety Event</w:t>
      </w:r>
    </w:p>
    <w:p>
      <w:pPr>
        <w:spacing w:after="100"/>
      </w:pPr>
      <w:r>
        <w:t>Child Safety Event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child safety event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Child Safety Event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child safety event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child safety event,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child safety event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VII. CRISIS AND EMERGENCY</w:t>
      </w:r>
    </w:p>
    <w:p>
      <w:pPr>
        <w:pStyle w:val="Heading1"/>
      </w:pPr>
      <w:r>
        <w:t>Post-Incident Review</w:t>
      </w:r>
    </w:p>
    <w:p>
      <w:pPr>
        <w:spacing w:after="100"/>
      </w:pPr>
      <w:r>
        <w:t>Post-Incident Review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post-incident review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Post-Incident Review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post-incident review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post-incident review,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post-incident review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VIII. HOUSE OPERATIONS</w:t>
      </w:r>
    </w:p>
    <w:p>
      <w:pPr>
        <w:pStyle w:val="Heading1"/>
      </w:pPr>
      <w:r>
        <w:t>Daily Schedule</w:t>
      </w:r>
    </w:p>
    <w:p>
      <w:pPr>
        <w:spacing w:after="100"/>
      </w:pPr>
      <w:r>
        <w:t>Daily Schedule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daily schedule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Daily Schedule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daily schedule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daily schedule,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daily schedule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VIII. HOUSE OPERATIONS</w:t>
      </w:r>
    </w:p>
    <w:p>
      <w:pPr>
        <w:pStyle w:val="Heading1"/>
      </w:pPr>
      <w:r>
        <w:t>Quiet Hours</w:t>
      </w:r>
    </w:p>
    <w:p>
      <w:pPr>
        <w:spacing w:after="100"/>
      </w:pPr>
      <w:r>
        <w:t>Quiet Hours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quiet hours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Quiet Hours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quiet hours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quiet hours,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quiet hours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VIII. HOUSE OPERATIONS</w:t>
      </w:r>
    </w:p>
    <w:p>
      <w:pPr>
        <w:pStyle w:val="Heading1"/>
      </w:pPr>
      <w:r>
        <w:t>Chores</w:t>
      </w:r>
    </w:p>
    <w:p>
      <w:pPr>
        <w:spacing w:after="100"/>
      </w:pPr>
      <w:r>
        <w:t>Chores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chores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Chores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chores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chores,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chores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VIII. HOUSE OPERATIONS</w:t>
      </w:r>
    </w:p>
    <w:p>
      <w:pPr>
        <w:pStyle w:val="Heading1"/>
      </w:pPr>
      <w:r>
        <w:t>Food and Kitchen</w:t>
      </w:r>
    </w:p>
    <w:p>
      <w:pPr>
        <w:spacing w:after="100"/>
      </w:pPr>
      <w:r>
        <w:t>Food and Kitchen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food and kitchen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Food and Kitchen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food and kitchen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food and kitchen,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food and kitchen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VIII. HOUSE OPERATIONS</w:t>
      </w:r>
    </w:p>
    <w:p>
      <w:pPr>
        <w:pStyle w:val="Heading1"/>
      </w:pPr>
      <w:r>
        <w:t>Medication Storage</w:t>
      </w:r>
    </w:p>
    <w:p>
      <w:pPr>
        <w:spacing w:after="100"/>
      </w:pPr>
      <w:r>
        <w:t>Medication Storage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medication storage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Medication Storage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medication storage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medication storage,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medication storage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VIII. HOUSE OPERATIONS</w:t>
      </w:r>
    </w:p>
    <w:p>
      <w:pPr>
        <w:pStyle w:val="Heading1"/>
      </w:pPr>
      <w:r>
        <w:t>Drug Testing</w:t>
      </w:r>
    </w:p>
    <w:p>
      <w:pPr>
        <w:spacing w:after="100"/>
      </w:pPr>
      <w:r>
        <w:t>Drug Testing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drug testing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Drug Testing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drug testing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drug testing,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drug testing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VIII. HOUSE OPERATIONS</w:t>
      </w:r>
    </w:p>
    <w:p>
      <w:pPr>
        <w:pStyle w:val="Heading1"/>
      </w:pPr>
      <w:r>
        <w:t>Visitors</w:t>
      </w:r>
    </w:p>
    <w:p>
      <w:pPr>
        <w:spacing w:after="100"/>
      </w:pPr>
      <w:r>
        <w:t>Visitors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visitors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Visitors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visitors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visitors,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visitors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VIII. HOUSE OPERATIONS</w:t>
      </w:r>
    </w:p>
    <w:p>
      <w:pPr>
        <w:pStyle w:val="Heading1"/>
      </w:pPr>
      <w:r>
        <w:t>Transportation</w:t>
      </w:r>
    </w:p>
    <w:p>
      <w:pPr>
        <w:spacing w:after="100"/>
      </w:pPr>
      <w:r>
        <w:t>Transportation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transportation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Transportation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transportation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transportation,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transportation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VIII. HOUSE OPERATIONS</w:t>
      </w:r>
    </w:p>
    <w:p>
      <w:pPr>
        <w:pStyle w:val="Heading1"/>
      </w:pPr>
      <w:r>
        <w:t>Property Care</w:t>
      </w:r>
    </w:p>
    <w:p>
      <w:pPr>
        <w:spacing w:after="100"/>
      </w:pPr>
      <w:r>
        <w:t>Property Care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property care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Property Care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property care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property care,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property care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VIII. HOUSE OPERATIONS</w:t>
      </w:r>
    </w:p>
    <w:p>
      <w:pPr>
        <w:pStyle w:val="Heading1"/>
      </w:pPr>
      <w:r>
        <w:t>House Operations Audit</w:t>
      </w:r>
    </w:p>
    <w:p>
      <w:pPr>
        <w:spacing w:after="100"/>
      </w:pPr>
      <w:r>
        <w:t>House Operations Audit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house operations audit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House Operations Audit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house operations audit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house operations audit,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house operations audit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IX. CONDUCT AND ACCOUNTABILITY</w:t>
      </w:r>
    </w:p>
    <w:p>
      <w:pPr>
        <w:pStyle w:val="Heading1"/>
      </w:pPr>
      <w:r>
        <w:t>Resident Agreement</w:t>
      </w:r>
    </w:p>
    <w:p>
      <w:pPr>
        <w:spacing w:after="100"/>
      </w:pPr>
      <w:r>
        <w:t>Resident Agreement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resident agreement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Resident Agreement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resident agreement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resident agreement,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resident agreement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IX. CONDUCT AND ACCOUNTABILITY</w:t>
      </w:r>
    </w:p>
    <w:p>
      <w:pPr>
        <w:pStyle w:val="Heading1"/>
      </w:pPr>
      <w:r>
        <w:t>Substance-Free Standard</w:t>
      </w:r>
    </w:p>
    <w:p>
      <w:pPr>
        <w:spacing w:after="100"/>
      </w:pPr>
      <w:r>
        <w:t>Substance-Free Standard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substance-free standard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Substance-Free Standard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substance-free standard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substance-free standard,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substance-free standard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IX. CONDUCT AND ACCOUNTABILITY</w:t>
      </w:r>
    </w:p>
    <w:p>
      <w:pPr>
        <w:pStyle w:val="Heading1"/>
      </w:pPr>
      <w:r>
        <w:t>Relapse Response</w:t>
      </w:r>
    </w:p>
    <w:p>
      <w:pPr>
        <w:spacing w:after="100"/>
      </w:pPr>
      <w:r>
        <w:t>Relapse Response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relapse response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Relapse Response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relapse response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relapse response,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relapse response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IX. CONDUCT AND ACCOUNTABILITY</w:t>
      </w:r>
    </w:p>
    <w:p>
      <w:pPr>
        <w:pStyle w:val="Heading1"/>
      </w:pPr>
      <w:r>
        <w:t>Return-to-Use Safety</w:t>
      </w:r>
    </w:p>
    <w:p>
      <w:pPr>
        <w:spacing w:after="100"/>
      </w:pPr>
      <w:r>
        <w:t>Return-to-Use Safety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return-to-use safety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Return-to-Use Safety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return-to-use safety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return-to-use safety,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return-to-use safety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IX. CONDUCT AND ACCOUNTABILITY</w:t>
      </w:r>
    </w:p>
    <w:p>
      <w:pPr>
        <w:pStyle w:val="Heading1"/>
      </w:pPr>
      <w:r>
        <w:t>Behavioral Expectations</w:t>
      </w:r>
    </w:p>
    <w:p>
      <w:pPr>
        <w:spacing w:after="100"/>
      </w:pPr>
      <w:r>
        <w:t>Behavioral Expectations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behavioral expectations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Behavioral Expectations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behavioral expectations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behavioral expectations,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behavioral expectations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IX. CONDUCT AND ACCOUNTABILITY</w:t>
      </w:r>
    </w:p>
    <w:p>
      <w:pPr>
        <w:pStyle w:val="Heading1"/>
      </w:pPr>
      <w:r>
        <w:t>Progressive Accountability</w:t>
      </w:r>
    </w:p>
    <w:p>
      <w:pPr>
        <w:spacing w:after="100"/>
      </w:pPr>
      <w:r>
        <w:t>Progressive Accountability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progressive accountability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Progressive Accountability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progressive accountability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progressive accountability,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progressive accountability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IX. CONDUCT AND ACCOUNTABILITY</w:t>
      </w:r>
    </w:p>
    <w:p>
      <w:pPr>
        <w:pStyle w:val="Heading1"/>
      </w:pPr>
      <w:r>
        <w:t>Grievance Procedure</w:t>
      </w:r>
    </w:p>
    <w:p>
      <w:pPr>
        <w:spacing w:after="100"/>
      </w:pPr>
      <w:r>
        <w:t>Grievance Procedure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grievance procedure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Grievance Procedure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grievance procedure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grievance procedure,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grievance procedure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IX. CONDUCT AND ACCOUNTABILITY</w:t>
      </w:r>
    </w:p>
    <w:p>
      <w:pPr>
        <w:pStyle w:val="Heading1"/>
      </w:pPr>
      <w:r>
        <w:t>Appeal Process</w:t>
      </w:r>
    </w:p>
    <w:p>
      <w:pPr>
        <w:spacing w:after="100"/>
      </w:pPr>
      <w:r>
        <w:t>Appeal Process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appeal process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Appeal Process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appeal process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appeal process,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appeal process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IX. CONDUCT AND ACCOUNTABILITY</w:t>
      </w:r>
    </w:p>
    <w:p>
      <w:pPr>
        <w:pStyle w:val="Heading1"/>
      </w:pPr>
      <w:r>
        <w:t>Discharge Planning</w:t>
      </w:r>
    </w:p>
    <w:p>
      <w:pPr>
        <w:spacing w:after="100"/>
      </w:pPr>
      <w:r>
        <w:t>Discharge Planning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discharge planning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Discharge Planning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discharge planning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discharge planning,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discharge planning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tbl>
      <w:tblPr>
        <w:tblW w:type="auto" w:w="0"/>
        <w:tblLook w:firstColumn="1" w:firstRow="1" w:lastColumn="0" w:lastRow="0" w:noHBand="0" w:noVBand="1" w:val="04A0"/>
        <w:tblBorders>
          <w:top w:val="single" w:sz="4" w:color="D99B9B"/>
          <w:left w:val="single" w:sz="4" w:color="D99B9B"/>
          <w:bottom w:val="single" w:sz="4" w:color="D99B9B"/>
          <w:right w:val="single" w:sz="4" w:color="D99B9B"/>
          <w:insideH w:val="single" w:sz="4" w:color="D99B9B"/>
          <w:insideV w:val="single" w:sz="4" w:color="D99B9B"/>
        </w:tblBorders>
      </w:tblPr>
      <w:tblGrid>
        <w:gridCol w:w="10656"/>
      </w:tblGrid>
      <w:tr>
        <w:tc>
          <w:tcPr>
            <w:tcW w:type="dxa" w:w="10656"/>
            <w:shd w:fill="FBECEC"/>
          </w:tcPr>
          <w:p>
            <w:pPr>
              <w:spacing w:after="0"/>
            </w:pPr>
            <w:r/>
            <w:r>
              <w:rPr>
                <w:rFonts w:ascii="Aptos" w:hAnsi="Aptos"/>
                <w:b/>
                <w:color w:val="A33A3A"/>
                <w:sz w:val="16"/>
              </w:rPr>
              <w:t>CAUTION / DECISION GATE: No camera, staffing, disciplinary, clinical, faith, or housing rule should be implemented without the applicable rights and compliance review.</w:t>
            </w:r>
          </w:p>
        </w:tc>
      </w:tr>
    </w:tbl>
    <w:p>
      <w:r>
        <w:br w:type="page"/>
      </w:r>
    </w:p>
    <w:p>
      <w:pPr>
        <w:pStyle w:val="Heading3"/>
      </w:pPr>
      <w:r>
        <w:t>IX. CONDUCT AND ACCOUNTABILITY</w:t>
      </w:r>
    </w:p>
    <w:p>
      <w:pPr>
        <w:pStyle w:val="Heading1"/>
      </w:pPr>
      <w:r>
        <w:t>Readmission</w:t>
      </w:r>
    </w:p>
    <w:p>
      <w:pPr>
        <w:spacing w:after="100"/>
      </w:pPr>
      <w:r>
        <w:t>Readmission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readmission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Readmission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readmission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readmission,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readmission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X. STAFF AND STUDENT PRACTICE</w:t>
      </w:r>
    </w:p>
    <w:p>
      <w:pPr>
        <w:pStyle w:val="Heading1"/>
      </w:pPr>
      <w:r>
        <w:t>Recovery Home Director Role</w:t>
      </w:r>
    </w:p>
    <w:p>
      <w:pPr>
        <w:spacing w:after="100"/>
      </w:pPr>
      <w:r>
        <w:t>Recovery Home Director Role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recovery home director role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Recovery Home Director Role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recovery home director role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recovery home director role,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recovery home director role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X. STAFF AND STUDENT PRACTICE</w:t>
      </w:r>
    </w:p>
    <w:p>
      <w:pPr>
        <w:pStyle w:val="Heading1"/>
      </w:pPr>
      <w:r>
        <w:t>Case Manager Role</w:t>
      </w:r>
    </w:p>
    <w:p>
      <w:pPr>
        <w:spacing w:after="100"/>
      </w:pPr>
      <w:r>
        <w:t>Case Manager Role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case manager role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Case Manager Role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case manager role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case manager role,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case manager role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X. STAFF AND STUDENT PRACTICE</w:t>
      </w:r>
    </w:p>
    <w:p>
      <w:pPr>
        <w:pStyle w:val="Heading1"/>
      </w:pPr>
      <w:r>
        <w:t>Peer Specialist Role</w:t>
      </w:r>
    </w:p>
    <w:p>
      <w:pPr>
        <w:spacing w:after="100"/>
      </w:pPr>
      <w:r>
        <w:t>Peer Specialist Role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peer specialist role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Peer Specialist Role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peer specialist role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peer specialist role,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peer specialist role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X. STAFF AND STUDENT PRACTICE</w:t>
      </w:r>
    </w:p>
    <w:p>
      <w:pPr>
        <w:pStyle w:val="Heading1"/>
      </w:pPr>
      <w:r>
        <w:t>RHSBC Student Role</w:t>
      </w:r>
    </w:p>
    <w:p>
      <w:pPr>
        <w:spacing w:after="100"/>
      </w:pPr>
      <w:r>
        <w:t>RHSBC Student Role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rhsbc student role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RHSBC Student Role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rhsbc student role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rhsbc student role,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rhsbc student role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X. STAFF AND STUDENT PRACTICE</w:t>
      </w:r>
    </w:p>
    <w:p>
      <w:pPr>
        <w:pStyle w:val="Heading1"/>
      </w:pPr>
      <w:r>
        <w:t>Christian Social Work Student</w:t>
      </w:r>
    </w:p>
    <w:p>
      <w:pPr>
        <w:spacing w:after="100"/>
      </w:pPr>
      <w:r>
        <w:t>Christian Social Work Student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christian social work student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Christian Social Work Student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christian social work student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christian social work student,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christian social work student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X. STAFF AND STUDENT PRACTICE</w:t>
      </w:r>
    </w:p>
    <w:p>
      <w:pPr>
        <w:pStyle w:val="Heading1"/>
      </w:pPr>
      <w:r>
        <w:t>UWGB Psychology Student</w:t>
      </w:r>
    </w:p>
    <w:p>
      <w:pPr>
        <w:spacing w:after="100"/>
      </w:pPr>
      <w:r>
        <w:t>UWGB Psychology Student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uwgb psychology student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UWGB Psychology Student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uwgb psychology student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uwgb psychology student,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uwgb psychology student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X. STAFF AND STUDENT PRACTICE</w:t>
      </w:r>
    </w:p>
    <w:p>
      <w:pPr>
        <w:pStyle w:val="Heading1"/>
      </w:pPr>
      <w:r>
        <w:t>UWGB Social Work Student</w:t>
      </w:r>
    </w:p>
    <w:p>
      <w:pPr>
        <w:spacing w:after="100"/>
      </w:pPr>
      <w:r>
        <w:t>UWGB Social Work Student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uwgb social work student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UWGB Social Work Student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uwgb social work student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uwgb social work student,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uwgb social work student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X. STAFF AND STUDENT PRACTICE</w:t>
      </w:r>
    </w:p>
    <w:p>
      <w:pPr>
        <w:pStyle w:val="Heading1"/>
      </w:pPr>
      <w:r>
        <w:t>Supervisor Role</w:t>
      </w:r>
    </w:p>
    <w:p>
      <w:pPr>
        <w:spacing w:after="100"/>
      </w:pPr>
      <w:r>
        <w:t>Supervisor Role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supervisor role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Supervisor Role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supervisor role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supervisor role,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supervisor role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X. STAFF AND STUDENT PRACTICE</w:t>
      </w:r>
    </w:p>
    <w:p>
      <w:pPr>
        <w:pStyle w:val="Heading1"/>
      </w:pPr>
      <w:r>
        <w:t>Contractor Role</w:t>
      </w:r>
    </w:p>
    <w:p>
      <w:pPr>
        <w:spacing w:after="100"/>
      </w:pPr>
      <w:r>
        <w:t>Contractor Role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contractor role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Contractor Role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contractor role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contractor role,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contractor role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X. STAFF AND STUDENT PRACTICE</w:t>
      </w:r>
    </w:p>
    <w:p>
      <w:pPr>
        <w:pStyle w:val="Heading1"/>
      </w:pPr>
      <w:r>
        <w:t>Scope-of-Practice Audit</w:t>
      </w:r>
    </w:p>
    <w:p>
      <w:pPr>
        <w:spacing w:after="100"/>
      </w:pPr>
      <w:r>
        <w:t>Scope-of-Practice Audit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scope-of-practice audit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Scope-of-Practice Audit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scope-of-practice audit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scope-of-practice audit,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scope-of-practice audit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XI. SUPERVISION AND STAFF CARE</w:t>
      </w:r>
    </w:p>
    <w:p>
      <w:pPr>
        <w:pStyle w:val="Heading1"/>
      </w:pPr>
      <w:r>
        <w:t>Weekly Supervision</w:t>
      </w:r>
    </w:p>
    <w:p>
      <w:pPr>
        <w:spacing w:after="100"/>
      </w:pPr>
      <w:r>
        <w:t>Weekly Supervision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weekly supervision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Weekly Supervision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weekly supervision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weekly supervision,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weekly supervision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XI. SUPERVISION AND STAFF CARE</w:t>
      </w:r>
    </w:p>
    <w:p>
      <w:pPr>
        <w:pStyle w:val="Heading1"/>
      </w:pPr>
      <w:r>
        <w:t>Peer Reflective Practice</w:t>
      </w:r>
    </w:p>
    <w:p>
      <w:pPr>
        <w:spacing w:after="100"/>
      </w:pPr>
      <w:r>
        <w:t>Peer Reflective Practice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peer reflective practice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Peer Reflective Practice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peer reflective practice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peer reflective practice,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peer reflective practice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XI. SUPERVISION AND STAFF CARE</w:t>
      </w:r>
    </w:p>
    <w:p>
      <w:pPr>
        <w:pStyle w:val="Heading1"/>
      </w:pPr>
      <w:r>
        <w:t>Student Seminar</w:t>
      </w:r>
    </w:p>
    <w:p>
      <w:pPr>
        <w:spacing w:after="100"/>
      </w:pPr>
      <w:r>
        <w:t>Student Seminar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student seminar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Student Seminar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student seminar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student seminar,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student seminar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XI. SUPERVISION AND STAFF CARE</w:t>
      </w:r>
    </w:p>
    <w:p>
      <w:pPr>
        <w:pStyle w:val="Heading1"/>
      </w:pPr>
      <w:r>
        <w:t>Critical-Incident Debrief</w:t>
      </w:r>
    </w:p>
    <w:p>
      <w:pPr>
        <w:spacing w:after="100"/>
      </w:pPr>
      <w:r>
        <w:t>Critical-Incident Debrief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critical-incident debrief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Critical-Incident Debrief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critical-incident debrief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critical-incident debrief,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critical-incident debrief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XI. SUPERVISION AND STAFF CARE</w:t>
      </w:r>
    </w:p>
    <w:p>
      <w:pPr>
        <w:pStyle w:val="Heading1"/>
      </w:pPr>
      <w:r>
        <w:t>Compassion Fatigue</w:t>
      </w:r>
    </w:p>
    <w:p>
      <w:pPr>
        <w:spacing w:after="100"/>
      </w:pPr>
      <w:r>
        <w:t>Compassion Fatigue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compassion fatigue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Compassion Fatigue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compassion fatigue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compassion fatigue,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compassion fatigue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XI. SUPERVISION AND STAFF CARE</w:t>
      </w:r>
    </w:p>
    <w:p>
      <w:pPr>
        <w:pStyle w:val="Heading1"/>
      </w:pPr>
      <w:r>
        <w:t>Shift Design</w:t>
      </w:r>
    </w:p>
    <w:p>
      <w:pPr>
        <w:spacing w:after="100"/>
      </w:pPr>
      <w:r>
        <w:t>Shift Design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shift design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Shift Design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shift design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shift design,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shift design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XI. SUPERVISION AND STAFF CARE</w:t>
      </w:r>
    </w:p>
    <w:p>
      <w:pPr>
        <w:pStyle w:val="Heading1"/>
      </w:pPr>
      <w:r>
        <w:t>Timekeeping</w:t>
      </w:r>
    </w:p>
    <w:p>
      <w:pPr>
        <w:spacing w:after="100"/>
      </w:pPr>
      <w:r>
        <w:t>Timekeeping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timekeeping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Timekeeping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timekeeping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timekeeping,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timekeeping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XI. SUPERVISION AND STAFF CARE</w:t>
      </w:r>
    </w:p>
    <w:p>
      <w:pPr>
        <w:pStyle w:val="Heading1"/>
      </w:pPr>
      <w:r>
        <w:t>Performance Review</w:t>
      </w:r>
    </w:p>
    <w:p>
      <w:pPr>
        <w:spacing w:after="100"/>
      </w:pPr>
      <w:r>
        <w:t>Performance Review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performance review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Performance Review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performance review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performance review,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performance review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XI. SUPERVISION AND STAFF CARE</w:t>
      </w:r>
    </w:p>
    <w:p>
      <w:pPr>
        <w:pStyle w:val="Heading1"/>
      </w:pPr>
      <w:r>
        <w:t>Corrective Action</w:t>
      </w:r>
    </w:p>
    <w:p>
      <w:pPr>
        <w:spacing w:after="100"/>
      </w:pPr>
      <w:r>
        <w:t>Corrective Action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corrective action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Corrective Action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corrective action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corrective action,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corrective action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XI. SUPERVISION AND STAFF CARE</w:t>
      </w:r>
    </w:p>
    <w:p>
      <w:pPr>
        <w:pStyle w:val="Heading1"/>
      </w:pPr>
      <w:r>
        <w:t>Succession Coverage</w:t>
      </w:r>
    </w:p>
    <w:p>
      <w:pPr>
        <w:spacing w:after="100"/>
      </w:pPr>
      <w:r>
        <w:t>Succession Coverage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succession coverage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Succession Coverage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succession coverage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succession coverage,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succession coverage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XII. WELLNESS AND ENRICHMENT</w:t>
      </w:r>
    </w:p>
    <w:p>
      <w:pPr>
        <w:pStyle w:val="Heading1"/>
      </w:pPr>
      <w:r>
        <w:t>Hair Stylist Day</w:t>
      </w:r>
    </w:p>
    <w:p>
      <w:pPr>
        <w:spacing w:after="100"/>
      </w:pPr>
      <w:r>
        <w:t>Hair Stylist Day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hair stylist day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Hair Stylist Day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hair stylist day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hair stylist day,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hair stylist day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XII. WELLNESS AND ENRICHMENT</w:t>
      </w:r>
    </w:p>
    <w:p>
      <w:pPr>
        <w:pStyle w:val="Heading1"/>
      </w:pPr>
      <w:r>
        <w:t>Massage Therapy Day</w:t>
      </w:r>
    </w:p>
    <w:p>
      <w:pPr>
        <w:spacing w:after="100"/>
      </w:pPr>
      <w:r>
        <w:t>Massage Therapy Day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massage therapy day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Massage Therapy Day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massage therapy day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massage therapy day,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massage therapy day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XII. WELLNESS AND ENRICHMENT</w:t>
      </w:r>
    </w:p>
    <w:p>
      <w:pPr>
        <w:pStyle w:val="Heading1"/>
      </w:pPr>
      <w:r>
        <w:t>Christian Exercise</w:t>
      </w:r>
    </w:p>
    <w:p>
      <w:pPr>
        <w:spacing w:after="100"/>
      </w:pPr>
      <w:r>
        <w:t>Christian Exercise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christian exercise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Christian Exercise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christian exercise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christian exercise,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christian exercise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XII. WELLNESS AND ENRICHMENT</w:t>
      </w:r>
    </w:p>
    <w:p>
      <w:pPr>
        <w:pStyle w:val="Heading1"/>
      </w:pPr>
      <w:r>
        <w:t>Nature Groups</w:t>
      </w:r>
    </w:p>
    <w:p>
      <w:pPr>
        <w:spacing w:after="100"/>
      </w:pPr>
      <w:r>
        <w:t>Nature Groups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nature groups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Nature Groups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nature groups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nature groups,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nature groups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XII. WELLNESS AND ENRICHMENT</w:t>
      </w:r>
    </w:p>
    <w:p>
      <w:pPr>
        <w:pStyle w:val="Heading1"/>
      </w:pPr>
      <w:r>
        <w:t>UWGB Self-Care Visits</w:t>
      </w:r>
    </w:p>
    <w:p>
      <w:pPr>
        <w:spacing w:after="100"/>
      </w:pPr>
      <w:r>
        <w:t>UWGB Self-Care Visits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uwgb self-care visits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UWGB Self-Care Visits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uwgb self-care visits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uwgb self-care visits,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uwgb self-care visits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XII. WELLNESS AND ENRICHMENT</w:t>
      </w:r>
    </w:p>
    <w:p>
      <w:pPr>
        <w:pStyle w:val="Heading1"/>
      </w:pPr>
      <w:r>
        <w:t>Nutrition Education</w:t>
      </w:r>
    </w:p>
    <w:p>
      <w:pPr>
        <w:spacing w:after="100"/>
      </w:pPr>
      <w:r>
        <w:t>Nutrition Education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nutrition education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Nutrition Education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nutrition education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nutrition education,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nutrition education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XII. WELLNESS AND ENRICHMENT</w:t>
      </w:r>
    </w:p>
    <w:p>
      <w:pPr>
        <w:pStyle w:val="Heading1"/>
      </w:pPr>
      <w:r>
        <w:t>Sleep Health</w:t>
      </w:r>
    </w:p>
    <w:p>
      <w:pPr>
        <w:spacing w:after="100"/>
      </w:pPr>
      <w:r>
        <w:t>Sleep Health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sleep health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Sleep Health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sleep health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sleep health,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sleep health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XII. WELLNESS AND ENRICHMENT</w:t>
      </w:r>
    </w:p>
    <w:p>
      <w:pPr>
        <w:pStyle w:val="Heading1"/>
      </w:pPr>
      <w:r>
        <w:t>Creative Arts</w:t>
      </w:r>
    </w:p>
    <w:p>
      <w:pPr>
        <w:spacing w:after="100"/>
      </w:pPr>
      <w:r>
        <w:t>Creative Arts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creative arts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Creative Arts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creative arts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creative arts,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creative arts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XII. WELLNESS AND ENRICHMENT</w:t>
      </w:r>
    </w:p>
    <w:p>
      <w:pPr>
        <w:pStyle w:val="Heading1"/>
      </w:pPr>
      <w:r>
        <w:t>Celebration and Milestones</w:t>
      </w:r>
    </w:p>
    <w:p>
      <w:pPr>
        <w:spacing w:after="100"/>
      </w:pPr>
      <w:r>
        <w:t>Celebration and Milestones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celebration and milestones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Celebration and Milestones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celebration and milestones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celebration and milestones,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celebration and milestones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XII. WELLNESS AND ENRICHMENT</w:t>
      </w:r>
    </w:p>
    <w:p>
      <w:pPr>
        <w:pStyle w:val="Heading1"/>
      </w:pPr>
      <w:r>
        <w:t>Wellness Quality Review</w:t>
      </w:r>
    </w:p>
    <w:p>
      <w:pPr>
        <w:spacing w:after="100"/>
      </w:pPr>
      <w:r>
        <w:t>Wellness Quality Review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wellness quality review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Wellness Quality Review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wellness quality review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wellness quality review,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wellness quality review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XIII. FAMILY RESIDENCE</w:t>
      </w:r>
    </w:p>
    <w:p>
      <w:pPr>
        <w:pStyle w:val="Heading1"/>
      </w:pPr>
      <w:r>
        <w:t>Family Unit Eligibility</w:t>
      </w:r>
    </w:p>
    <w:p>
      <w:pPr>
        <w:spacing w:after="100"/>
      </w:pPr>
      <w:r>
        <w:t>Family Unit Eligibility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family unit eligibility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Family Unit Eligibility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family unit eligibility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family unit eligibility,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family unit eligibility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XIII. FAMILY RESIDENCE</w:t>
      </w:r>
    </w:p>
    <w:p>
      <w:pPr>
        <w:pStyle w:val="Heading1"/>
      </w:pPr>
      <w:r>
        <w:t>Child Safety Plan</w:t>
      </w:r>
    </w:p>
    <w:p>
      <w:pPr>
        <w:spacing w:after="100"/>
      </w:pPr>
      <w:r>
        <w:t>Child Safety Plan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child safety plan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Child Safety Plan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child safety plan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child safety plan,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child safety plan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XIII. FAMILY RESIDENCE</w:t>
      </w:r>
    </w:p>
    <w:p>
      <w:pPr>
        <w:pStyle w:val="Heading1"/>
      </w:pPr>
      <w:r>
        <w:t>Parenting Assessment</w:t>
      </w:r>
    </w:p>
    <w:p>
      <w:pPr>
        <w:spacing w:after="100"/>
      </w:pPr>
      <w:r>
        <w:t>Parenting Assessment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parenting assessment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Parenting Assessment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parenting assessment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parenting assessment,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parenting assessment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XIII. FAMILY RESIDENCE</w:t>
      </w:r>
    </w:p>
    <w:p>
      <w:pPr>
        <w:pStyle w:val="Heading1"/>
      </w:pPr>
      <w:r>
        <w:t>Christian Parenting Class</w:t>
      </w:r>
    </w:p>
    <w:p>
      <w:pPr>
        <w:spacing w:after="100"/>
      </w:pPr>
      <w:r>
        <w:t>Christian Parenting Class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christian parenting class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Christian Parenting Class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christian parenting class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christian parenting class,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christian parenting class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XIII. FAMILY RESIDENCE</w:t>
      </w:r>
    </w:p>
    <w:p>
      <w:pPr>
        <w:pStyle w:val="Heading1"/>
      </w:pPr>
      <w:r>
        <w:t>Child Psychologist Education</w:t>
      </w:r>
    </w:p>
    <w:p>
      <w:pPr>
        <w:spacing w:after="100"/>
      </w:pPr>
      <w:r>
        <w:t>Child Psychologist Education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child psychologist education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Child Psychologist Education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child psychologist education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child psychologist education,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child psychologist education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XIII. FAMILY RESIDENCE</w:t>
      </w:r>
    </w:p>
    <w:p>
      <w:pPr>
        <w:pStyle w:val="Heading1"/>
      </w:pPr>
      <w:r>
        <w:t>School Coordination</w:t>
      </w:r>
    </w:p>
    <w:p>
      <w:pPr>
        <w:spacing w:after="100"/>
      </w:pPr>
      <w:r>
        <w:t>School Coordination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school coordination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School Coordination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school coordination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school coordination,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school coordination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XIII. FAMILY RESIDENCE</w:t>
      </w:r>
    </w:p>
    <w:p>
      <w:pPr>
        <w:pStyle w:val="Heading1"/>
      </w:pPr>
      <w:r>
        <w:t>Family Routines</w:t>
      </w:r>
    </w:p>
    <w:p>
      <w:pPr>
        <w:spacing w:after="100"/>
      </w:pPr>
      <w:r>
        <w:t>Family Routines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family routines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Family Routines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family routines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family routines,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family routines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XIII. FAMILY RESIDENCE</w:t>
      </w:r>
    </w:p>
    <w:p>
      <w:pPr>
        <w:pStyle w:val="Heading1"/>
      </w:pPr>
      <w:r>
        <w:t>Visitation and Custody</w:t>
      </w:r>
    </w:p>
    <w:p>
      <w:pPr>
        <w:spacing w:after="100"/>
      </w:pPr>
      <w:r>
        <w:t>Visitation and Custody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visitation and custody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Visitation and Custody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visitation and custody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visitation and custody,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visitation and custody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XIII. FAMILY RESIDENCE</w:t>
      </w:r>
    </w:p>
    <w:p>
      <w:pPr>
        <w:pStyle w:val="Heading1"/>
      </w:pPr>
      <w:r>
        <w:t>Family Rent Model</w:t>
      </w:r>
    </w:p>
    <w:p>
      <w:pPr>
        <w:spacing w:after="100"/>
      </w:pPr>
      <w:r>
        <w:t>Family Rent Model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family rent model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Family Rent Model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family rent model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family rent model,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family rent model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XIII. FAMILY RESIDENCE</w:t>
      </w:r>
    </w:p>
    <w:p>
      <w:pPr>
        <w:pStyle w:val="Heading1"/>
      </w:pPr>
      <w:r>
        <w:t>Family Transition Plan</w:t>
      </w:r>
    </w:p>
    <w:p>
      <w:pPr>
        <w:spacing w:after="100"/>
      </w:pPr>
      <w:r>
        <w:t>Family Transition Plan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family transition plan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Family Transition Plan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family transition plan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family transition plan,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family transition plan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XIV. COUNSELING AND NEUROFEEDBACK</w:t>
      </w:r>
    </w:p>
    <w:p>
      <w:pPr>
        <w:pStyle w:val="Heading1"/>
      </w:pPr>
      <w:r>
        <w:t>RHM Office Referral</w:t>
      </w:r>
    </w:p>
    <w:p>
      <w:pPr>
        <w:spacing w:after="100"/>
      </w:pPr>
      <w:r>
        <w:t>RHM Office Referral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rhm office referral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RHM Office Referral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rhm office referral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rhm office referral,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rhm office referral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XIV. COUNSELING AND NEUROFEEDBACK</w:t>
      </w:r>
    </w:p>
    <w:p>
      <w:pPr>
        <w:pStyle w:val="Heading1"/>
      </w:pPr>
      <w:r>
        <w:t>Informed Choice</w:t>
      </w:r>
    </w:p>
    <w:p>
      <w:pPr>
        <w:spacing w:after="100"/>
      </w:pPr>
      <w:r>
        <w:t>Informed Choice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informed choice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Informed Choice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informed choice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informed choice,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informed choice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XIV. COUNSELING AND NEUROFEEDBACK</w:t>
      </w:r>
    </w:p>
    <w:p>
      <w:pPr>
        <w:pStyle w:val="Heading1"/>
      </w:pPr>
      <w:r>
        <w:t>Biblical Counseling Intake</w:t>
      </w:r>
    </w:p>
    <w:p>
      <w:pPr>
        <w:spacing w:after="100"/>
      </w:pPr>
      <w:r>
        <w:t>Biblical Counseling Intake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biblical counseling intake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Biblical Counseling Intake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biblical counseling intake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biblical counseling intake,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biblical counseling intake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XIV. COUNSELING AND NEUROFEEDBACK</w:t>
      </w:r>
    </w:p>
    <w:p>
      <w:pPr>
        <w:pStyle w:val="Heading1"/>
      </w:pPr>
      <w:r>
        <w:t>Neurofeedback Intake</w:t>
      </w:r>
    </w:p>
    <w:p>
      <w:pPr>
        <w:spacing w:after="100"/>
      </w:pPr>
      <w:r>
        <w:t>Neurofeedback Intake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neurofeedback intake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Neurofeedback Intake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neurofeedback intake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neurofeedback intake,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neurofeedback intake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XIV. COUNSELING AND NEUROFEEDBACK</w:t>
      </w:r>
    </w:p>
    <w:p>
      <w:pPr>
        <w:pStyle w:val="Heading1"/>
      </w:pPr>
      <w:r>
        <w:t>Clinical Contraindications</w:t>
      </w:r>
    </w:p>
    <w:p>
      <w:pPr>
        <w:spacing w:after="100"/>
      </w:pPr>
      <w:r>
        <w:t>Clinical Contraindications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clinical contraindications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Clinical Contraindications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clinical contraindications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clinical contraindications,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clinical contraindications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XIV. COUNSELING AND NEUROFEEDBACK</w:t>
      </w:r>
    </w:p>
    <w:p>
      <w:pPr>
        <w:pStyle w:val="Heading1"/>
      </w:pPr>
      <w:r>
        <w:t>Scheduling and Transport</w:t>
      </w:r>
    </w:p>
    <w:p>
      <w:pPr>
        <w:spacing w:after="100"/>
      </w:pPr>
      <w:r>
        <w:t>Scheduling and Transport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scheduling and transport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Scheduling and Transport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scheduling and transport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scheduling and transport,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scheduling and transport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XIV. COUNSELING AND NEUROFEEDBACK</w:t>
      </w:r>
    </w:p>
    <w:p>
      <w:pPr>
        <w:pStyle w:val="Heading1"/>
      </w:pPr>
      <w:r>
        <w:t>Documentation Separation</w:t>
      </w:r>
    </w:p>
    <w:p>
      <w:pPr>
        <w:spacing w:after="100"/>
      </w:pPr>
      <w:r>
        <w:t>Documentation Separation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documentation separation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Documentation Separation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documentation separation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documentation separation,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documentation separation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XIV. COUNSELING AND NEUROFEEDBACK</w:t>
      </w:r>
    </w:p>
    <w:p>
      <w:pPr>
        <w:pStyle w:val="Heading1"/>
      </w:pPr>
      <w:r>
        <w:t>Payment and Scholarship</w:t>
      </w:r>
    </w:p>
    <w:p>
      <w:pPr>
        <w:spacing w:after="100"/>
      </w:pPr>
      <w:r>
        <w:t>Payment and Scholarship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payment and scholarship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Payment and Scholarship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payment and scholarship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payment and scholarship,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payment and scholarship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XIV. COUNSELING AND NEUROFEEDBACK</w:t>
      </w:r>
    </w:p>
    <w:p>
      <w:pPr>
        <w:pStyle w:val="Heading1"/>
      </w:pPr>
      <w:r>
        <w:t>Outcome Review</w:t>
      </w:r>
    </w:p>
    <w:p>
      <w:pPr>
        <w:spacing w:after="100"/>
      </w:pPr>
      <w:r>
        <w:t>Outcome Review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outcome review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Outcome Review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outcome review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outcome review,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outcome review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XIV. COUNSELING AND NEUROFEEDBACK</w:t>
      </w:r>
    </w:p>
    <w:p>
      <w:pPr>
        <w:pStyle w:val="Heading1"/>
      </w:pPr>
      <w:r>
        <w:t>Service Quality Audit</w:t>
      </w:r>
    </w:p>
    <w:p>
      <w:pPr>
        <w:spacing w:after="100"/>
      </w:pPr>
      <w:r>
        <w:t>Service Quality Audit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service quality audit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Service Quality Audit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service quality audit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service quality audit,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service quality audit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XV. PARTNERSHIPS</w:t>
      </w:r>
    </w:p>
    <w:p>
      <w:pPr>
        <w:pStyle w:val="Heading1"/>
      </w:pPr>
      <w:r>
        <w:t>Church Group Calendar</w:t>
      </w:r>
    </w:p>
    <w:p>
      <w:pPr>
        <w:spacing w:after="100"/>
      </w:pPr>
      <w:r>
        <w:t>Church Group Calendar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church group calendar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Church Group Calendar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church group calendar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church group calendar,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church group calendar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XV. PARTNERSHIPS</w:t>
      </w:r>
    </w:p>
    <w:p>
      <w:pPr>
        <w:pStyle w:val="Heading1"/>
      </w:pPr>
      <w:r>
        <w:t>Licensed Provider Network</w:t>
      </w:r>
    </w:p>
    <w:p>
      <w:pPr>
        <w:spacing w:after="100"/>
      </w:pPr>
      <w:r>
        <w:t>Licensed Provider Network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licensed provider network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Licensed Provider Network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licensed provider network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licensed provider network,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licensed provider network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XV. PARTNERSHIPS</w:t>
      </w:r>
    </w:p>
    <w:p>
      <w:pPr>
        <w:pStyle w:val="Heading1"/>
      </w:pPr>
      <w:r>
        <w:t>Primary Care Partnership</w:t>
      </w:r>
    </w:p>
    <w:p>
      <w:pPr>
        <w:spacing w:after="100"/>
      </w:pPr>
      <w:r>
        <w:t>Primary Care Partnership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primary care partnership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Primary Care Partnership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primary care partnership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primary care partnership,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primary care partnership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XV. PARTNERSHIPS</w:t>
      </w:r>
    </w:p>
    <w:p>
      <w:pPr>
        <w:pStyle w:val="Heading1"/>
      </w:pPr>
      <w:r>
        <w:t>Dental and Vision</w:t>
      </w:r>
    </w:p>
    <w:p>
      <w:pPr>
        <w:spacing w:after="100"/>
      </w:pPr>
      <w:r>
        <w:t>Dental and Vision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dental and vision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Dental and Vision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dental and vision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dental and vision,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dental and vision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XV. PARTNERSHIPS</w:t>
      </w:r>
    </w:p>
    <w:p>
      <w:pPr>
        <w:pStyle w:val="Heading1"/>
      </w:pPr>
      <w:r>
        <w:t>Employment Partners</w:t>
      </w:r>
    </w:p>
    <w:p>
      <w:pPr>
        <w:spacing w:after="100"/>
      </w:pPr>
      <w:r>
        <w:t>Employment Partners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employment partners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Employment Partners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employment partners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employment partners,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employment partners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XV. PARTNERSHIPS</w:t>
      </w:r>
    </w:p>
    <w:p>
      <w:pPr>
        <w:pStyle w:val="Heading1"/>
      </w:pPr>
      <w:r>
        <w:t>Education Partners</w:t>
      </w:r>
    </w:p>
    <w:p>
      <w:pPr>
        <w:spacing w:after="100"/>
      </w:pPr>
      <w:r>
        <w:t>Education Partners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education partners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Education Partners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education partners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education partners,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education partners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XV. PARTNERSHIPS</w:t>
      </w:r>
    </w:p>
    <w:p>
      <w:pPr>
        <w:pStyle w:val="Heading1"/>
      </w:pPr>
      <w:r>
        <w:t>Legal Aid</w:t>
      </w:r>
    </w:p>
    <w:p>
      <w:pPr>
        <w:spacing w:after="100"/>
      </w:pPr>
      <w:r>
        <w:t>Legal Aid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legal aid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Legal Aid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legal aid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legal aid,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legal aid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XV. PARTNERSHIPS</w:t>
      </w:r>
    </w:p>
    <w:p>
      <w:pPr>
        <w:pStyle w:val="Heading1"/>
      </w:pPr>
      <w:r>
        <w:t>Transportation Partners</w:t>
      </w:r>
    </w:p>
    <w:p>
      <w:pPr>
        <w:spacing w:after="100"/>
      </w:pPr>
      <w:r>
        <w:t>Transportation Partners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transportation partners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Transportation Partners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transportation partners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transportation partners,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transportation partners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XV. PARTNERSHIPS</w:t>
      </w:r>
    </w:p>
    <w:p>
      <w:pPr>
        <w:pStyle w:val="Heading1"/>
      </w:pPr>
      <w:r>
        <w:t>Food and Clothing</w:t>
      </w:r>
    </w:p>
    <w:p>
      <w:pPr>
        <w:spacing w:after="100"/>
      </w:pPr>
      <w:r>
        <w:t>Food and Clothing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food and clothing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Food and Clothing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food and clothing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food and clothing,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food and clothing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XV. PARTNERSHIPS</w:t>
      </w:r>
    </w:p>
    <w:p>
      <w:pPr>
        <w:pStyle w:val="Heading1"/>
      </w:pPr>
      <w:r>
        <w:t>Partnership Review</w:t>
      </w:r>
    </w:p>
    <w:p>
      <w:pPr>
        <w:spacing w:after="100"/>
      </w:pPr>
      <w:r>
        <w:t>Partnership Review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partnership review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Partnership Review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partnership review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partnership review,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partnership review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XVI. DOCUMENTATION</w:t>
      </w:r>
    </w:p>
    <w:p>
      <w:pPr>
        <w:pStyle w:val="Heading1"/>
      </w:pPr>
      <w:r>
        <w:t>Resident Record</w:t>
      </w:r>
    </w:p>
    <w:p>
      <w:pPr>
        <w:spacing w:after="100"/>
      </w:pPr>
      <w:r>
        <w:t>Resident Record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resident record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Resident Record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resident record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resident record,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resident record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XVI. DOCUMENTATION</w:t>
      </w:r>
    </w:p>
    <w:p>
      <w:pPr>
        <w:pStyle w:val="Heading1"/>
      </w:pPr>
      <w:r>
        <w:t>Daily House Log</w:t>
      </w:r>
    </w:p>
    <w:p>
      <w:pPr>
        <w:spacing w:after="100"/>
      </w:pPr>
      <w:r>
        <w:t>Daily House Log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daily house log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Daily House Log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daily house log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daily house log,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daily house log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XVI. DOCUMENTATION</w:t>
      </w:r>
    </w:p>
    <w:p>
      <w:pPr>
        <w:pStyle w:val="Heading1"/>
      </w:pPr>
      <w:r>
        <w:t>Case Note</w:t>
      </w:r>
    </w:p>
    <w:p>
      <w:pPr>
        <w:spacing w:after="100"/>
      </w:pPr>
      <w:r>
        <w:t>Case Note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case note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Case Note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case note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case note,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case note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XVI. DOCUMENTATION</w:t>
      </w:r>
    </w:p>
    <w:p>
      <w:pPr>
        <w:pStyle w:val="Heading1"/>
      </w:pPr>
      <w:r>
        <w:t>Peer Contact Note</w:t>
      </w:r>
    </w:p>
    <w:p>
      <w:pPr>
        <w:spacing w:after="100"/>
      </w:pPr>
      <w:r>
        <w:t>Peer Contact Note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peer contact note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Peer Contact Note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peer contact note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peer contact note,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peer contact note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XVI. DOCUMENTATION</w:t>
      </w:r>
    </w:p>
    <w:p>
      <w:pPr>
        <w:pStyle w:val="Heading1"/>
      </w:pPr>
      <w:r>
        <w:t>Incident Report</w:t>
      </w:r>
    </w:p>
    <w:p>
      <w:pPr>
        <w:spacing w:after="100"/>
      </w:pPr>
      <w:r>
        <w:t>Incident Report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incident report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Incident Report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incident report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incident report,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incident report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XVI. DOCUMENTATION</w:t>
      </w:r>
    </w:p>
    <w:p>
      <w:pPr>
        <w:pStyle w:val="Heading1"/>
      </w:pPr>
      <w:r>
        <w:t>Medication Record Boundary</w:t>
      </w:r>
    </w:p>
    <w:p>
      <w:pPr>
        <w:spacing w:after="100"/>
      </w:pPr>
      <w:r>
        <w:t>Medication Record Boundary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medication record boundary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Medication Record Boundary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medication record boundary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medication record boundary,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medication record boundary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XVI. DOCUMENTATION</w:t>
      </w:r>
    </w:p>
    <w:p>
      <w:pPr>
        <w:pStyle w:val="Heading1"/>
      </w:pPr>
      <w:r>
        <w:t>Financial Ledger</w:t>
      </w:r>
    </w:p>
    <w:p>
      <w:pPr>
        <w:spacing w:after="100"/>
      </w:pPr>
      <w:r>
        <w:t>Financial Ledger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financial ledger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Financial Ledger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financial ledger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financial ledger,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financial ledger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XVI. DOCUMENTATION</w:t>
      </w:r>
    </w:p>
    <w:p>
      <w:pPr>
        <w:pStyle w:val="Heading1"/>
      </w:pPr>
      <w:r>
        <w:t>Consent Register</w:t>
      </w:r>
    </w:p>
    <w:p>
      <w:pPr>
        <w:spacing w:after="100"/>
      </w:pPr>
      <w:r>
        <w:t>Consent Register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consent register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Consent Register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consent register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consent register,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consent register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XVI. DOCUMENTATION</w:t>
      </w:r>
    </w:p>
    <w:p>
      <w:pPr>
        <w:pStyle w:val="Heading1"/>
      </w:pPr>
      <w:r>
        <w:t>Data Retention</w:t>
      </w:r>
    </w:p>
    <w:p>
      <w:pPr>
        <w:spacing w:after="100"/>
      </w:pPr>
      <w:r>
        <w:t>Data Retention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data retention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Data Retention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data retention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data retention,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data retention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XVI. DOCUMENTATION</w:t>
      </w:r>
    </w:p>
    <w:p>
      <w:pPr>
        <w:pStyle w:val="Heading1"/>
      </w:pPr>
      <w:r>
        <w:t>Record Audit</w:t>
      </w:r>
    </w:p>
    <w:p>
      <w:pPr>
        <w:spacing w:after="100"/>
      </w:pPr>
      <w:r>
        <w:t>Record Audit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record audit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Record Audit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record audit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record audit,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record audit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XVII. WEBSITE STRATEGY</w:t>
      </w:r>
    </w:p>
    <w:p>
      <w:pPr>
        <w:pStyle w:val="Heading1"/>
      </w:pPr>
      <w:r>
        <w:t>Website Purpose</w:t>
      </w:r>
    </w:p>
    <w:p>
      <w:pPr>
        <w:spacing w:after="100"/>
      </w:pPr>
      <w:r>
        <w:t>Website Purpose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website purpose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Website Purpose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website purpose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website purpose,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website purpose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XVII. WEBSITE STRATEGY</w:t>
      </w:r>
    </w:p>
    <w:p>
      <w:pPr>
        <w:pStyle w:val="Heading1"/>
      </w:pPr>
      <w:r>
        <w:t>Home Page</w:t>
      </w:r>
    </w:p>
    <w:p>
      <w:pPr>
        <w:spacing w:after="100"/>
      </w:pPr>
      <w:r>
        <w:t>Home Page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home page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Home Page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home page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home page,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home page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XVII. WEBSITE STRATEGY</w:t>
      </w:r>
    </w:p>
    <w:p>
      <w:pPr>
        <w:pStyle w:val="Heading1"/>
      </w:pPr>
      <w:r>
        <w:t>Program Page</w:t>
      </w:r>
    </w:p>
    <w:p>
      <w:pPr>
        <w:spacing w:after="100"/>
      </w:pPr>
      <w:r>
        <w:t>Program Page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program page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Program Page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program page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program page,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program page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XVII. WEBSITE STRATEGY</w:t>
      </w:r>
    </w:p>
    <w:p>
      <w:pPr>
        <w:pStyle w:val="Heading1"/>
      </w:pPr>
      <w:r>
        <w:t>Women’s Housing Page</w:t>
      </w:r>
    </w:p>
    <w:p>
      <w:pPr>
        <w:spacing w:after="100"/>
      </w:pPr>
      <w:r>
        <w:t>Women’s Housing Page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women’s housing page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Women’s Housing Page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women’s housing page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women’s housing page,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women’s housing page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XVII. WEBSITE STRATEGY</w:t>
      </w:r>
    </w:p>
    <w:p>
      <w:pPr>
        <w:pStyle w:val="Heading1"/>
      </w:pPr>
      <w:r>
        <w:t>Family Housing Page</w:t>
      </w:r>
    </w:p>
    <w:p>
      <w:pPr>
        <w:spacing w:after="100"/>
      </w:pPr>
      <w:r>
        <w:t>Family Housing Page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family housing page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Family Housing Page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family housing page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family housing page,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family housing page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XVII. WEBSITE STRATEGY</w:t>
      </w:r>
    </w:p>
    <w:p>
      <w:pPr>
        <w:pStyle w:val="Heading1"/>
      </w:pPr>
      <w:r>
        <w:t>Future Men’s Housing Page</w:t>
      </w:r>
    </w:p>
    <w:p>
      <w:pPr>
        <w:spacing w:after="100"/>
      </w:pPr>
      <w:r>
        <w:t>Future Men’s Housing Page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future men’s housing page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Future Men’s Housing Page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future men’s housing page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future men’s housing page,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future men’s housing page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XVII. WEBSITE STRATEGY</w:t>
      </w:r>
    </w:p>
    <w:p>
      <w:pPr>
        <w:pStyle w:val="Heading1"/>
      </w:pPr>
      <w:r>
        <w:t>Partner Page</w:t>
      </w:r>
    </w:p>
    <w:p>
      <w:pPr>
        <w:spacing w:after="100"/>
      </w:pPr>
      <w:r>
        <w:t>Partner Page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partner page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Partner Page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partner page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partner page,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partner page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XVII. WEBSITE STRATEGY</w:t>
      </w:r>
    </w:p>
    <w:p>
      <w:pPr>
        <w:pStyle w:val="Heading1"/>
      </w:pPr>
      <w:r>
        <w:t>Give Page</w:t>
      </w:r>
    </w:p>
    <w:p>
      <w:pPr>
        <w:spacing w:after="100"/>
      </w:pPr>
      <w:r>
        <w:t>Give Page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give page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Give Page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give page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give page,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give page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XVII. WEBSITE STRATEGY</w:t>
      </w:r>
    </w:p>
    <w:p>
      <w:pPr>
        <w:pStyle w:val="Heading1"/>
      </w:pPr>
      <w:r>
        <w:t>Interest Form</w:t>
      </w:r>
    </w:p>
    <w:p>
      <w:pPr>
        <w:spacing w:after="100"/>
      </w:pPr>
      <w:r>
        <w:t>Interest Form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interest form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Interest Form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interest form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interest form,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interest form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XVII. WEBSITE STRATEGY</w:t>
      </w:r>
    </w:p>
    <w:p>
      <w:pPr>
        <w:pStyle w:val="Heading1"/>
      </w:pPr>
      <w:r>
        <w:t>Privacy and Accessibility</w:t>
      </w:r>
    </w:p>
    <w:p>
      <w:pPr>
        <w:spacing w:after="100"/>
      </w:pPr>
      <w:r>
        <w:t>Privacy and Accessibility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privacy and accessibility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Privacy and Accessibility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privacy and accessibility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privacy and accessibility,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privacy and accessibility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XVIII. WEBSITE CONTENT AND CRM</w:t>
      </w:r>
    </w:p>
    <w:p>
      <w:pPr>
        <w:pStyle w:val="Heading1"/>
      </w:pPr>
      <w:r>
        <w:t>Resident Interest Workflow</w:t>
      </w:r>
    </w:p>
    <w:p>
      <w:pPr>
        <w:spacing w:after="100"/>
      </w:pPr>
      <w:r>
        <w:t>Resident Interest Workflow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resident interest workflow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Resident Interest Workflow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resident interest workflow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resident interest workflow,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resident interest workflow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XVIII. WEBSITE CONTENT AND CRM</w:t>
      </w:r>
    </w:p>
    <w:p>
      <w:pPr>
        <w:pStyle w:val="Heading1"/>
      </w:pPr>
      <w:r>
        <w:t>Referral Interest Workflow</w:t>
      </w:r>
    </w:p>
    <w:p>
      <w:pPr>
        <w:spacing w:after="100"/>
      </w:pPr>
      <w:r>
        <w:t>Referral Interest Workflow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referral interest workflow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Referral Interest Workflow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referral interest workflow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referral interest workflow,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referral interest workflow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XVIII. WEBSITE CONTENT AND CRM</w:t>
      </w:r>
    </w:p>
    <w:p>
      <w:pPr>
        <w:pStyle w:val="Heading1"/>
      </w:pPr>
      <w:r>
        <w:t>Volunteer Interest</w:t>
      </w:r>
    </w:p>
    <w:p>
      <w:pPr>
        <w:spacing w:after="100"/>
      </w:pPr>
      <w:r>
        <w:t>Volunteer Interest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volunteer interest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Volunteer Interest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volunteer interest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volunteer interest,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volunteer interest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XVIII. WEBSITE CONTENT AND CRM</w:t>
      </w:r>
    </w:p>
    <w:p>
      <w:pPr>
        <w:pStyle w:val="Heading1"/>
      </w:pPr>
      <w:r>
        <w:t>Church Interest</w:t>
      </w:r>
    </w:p>
    <w:p>
      <w:pPr>
        <w:spacing w:after="100"/>
      </w:pPr>
      <w:r>
        <w:t>Church Interest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church interest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Church Interest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church interest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church interest,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church interest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XVIII. WEBSITE CONTENT AND CRM</w:t>
      </w:r>
    </w:p>
    <w:p>
      <w:pPr>
        <w:pStyle w:val="Heading1"/>
      </w:pPr>
      <w:r>
        <w:t>Student Practicum Interest</w:t>
      </w:r>
    </w:p>
    <w:p>
      <w:pPr>
        <w:spacing w:after="100"/>
      </w:pPr>
      <w:r>
        <w:t>Student Practicum Interest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student practicum interest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Student Practicum Interest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student practicum interest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student practicum interest,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student practicum interest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XVIII. WEBSITE CONTENT AND CRM</w:t>
      </w:r>
    </w:p>
    <w:p>
      <w:pPr>
        <w:pStyle w:val="Heading1"/>
      </w:pPr>
      <w:r>
        <w:t>Donor Interest</w:t>
      </w:r>
    </w:p>
    <w:p>
      <w:pPr>
        <w:spacing w:after="100"/>
      </w:pPr>
      <w:r>
        <w:t>Donor Interest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donor interest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Donor Interest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donor interest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donor interest,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donor interest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XVIII. WEBSITE CONTENT AND CRM</w:t>
      </w:r>
    </w:p>
    <w:p>
      <w:pPr>
        <w:pStyle w:val="Heading1"/>
      </w:pPr>
      <w:r>
        <w:t>Automated Acknowledgment</w:t>
      </w:r>
    </w:p>
    <w:p>
      <w:pPr>
        <w:spacing w:after="100"/>
      </w:pPr>
      <w:r>
        <w:t>Automated Acknowledgment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automated acknowledgment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Automated Acknowledgment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automated acknowledgment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automated acknowledgment,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automated acknowledgment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XVIII. WEBSITE CONTENT AND CRM</w:t>
      </w:r>
    </w:p>
    <w:p>
      <w:pPr>
        <w:pStyle w:val="Heading1"/>
      </w:pPr>
      <w:r>
        <w:t>Lead Assignment</w:t>
      </w:r>
    </w:p>
    <w:p>
      <w:pPr>
        <w:spacing w:after="100"/>
      </w:pPr>
      <w:r>
        <w:t>Lead Assignment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lead assignment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Lead Assignment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lead assignment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lead assignment,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lead assignment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XVIII. WEBSITE CONTENT AND CRM</w:t>
      </w:r>
    </w:p>
    <w:p>
      <w:pPr>
        <w:pStyle w:val="Heading1"/>
      </w:pPr>
      <w:r>
        <w:t>Follow-Up Calendar</w:t>
      </w:r>
    </w:p>
    <w:p>
      <w:pPr>
        <w:spacing w:after="100"/>
      </w:pPr>
      <w:r>
        <w:t>Follow-Up Calendar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follow-up calendar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Follow-Up Calendar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follow-up calendar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follow-up calendar,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follow-up calendar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XVIII. WEBSITE CONTENT AND CRM</w:t>
      </w:r>
    </w:p>
    <w:p>
      <w:pPr>
        <w:pStyle w:val="Heading1"/>
      </w:pPr>
      <w:r>
        <w:t>CRM Dashboard</w:t>
      </w:r>
    </w:p>
    <w:p>
      <w:pPr>
        <w:spacing w:after="100"/>
      </w:pPr>
      <w:r>
        <w:t>CRM Dashboard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crm dashboard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CRM Dashboard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crm dashboard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crm dashboard,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crm dashboard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XIX. QUALITY AND OUTCOMES</w:t>
      </w:r>
    </w:p>
    <w:p>
      <w:pPr>
        <w:pStyle w:val="Heading1"/>
      </w:pPr>
      <w:r>
        <w:t>Occupancy Dashboard</w:t>
      </w:r>
    </w:p>
    <w:p>
      <w:pPr>
        <w:spacing w:after="100"/>
      </w:pPr>
      <w:r>
        <w:t>Occupancy Dashboard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occupancy dashboard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Occupancy Dashboard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occupancy dashboard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occupancy dashboard,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occupancy dashboard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XIX. QUALITY AND OUTCOMES</w:t>
      </w:r>
    </w:p>
    <w:p>
      <w:pPr>
        <w:pStyle w:val="Heading1"/>
      </w:pPr>
      <w:r>
        <w:t>Retention Dashboard</w:t>
      </w:r>
    </w:p>
    <w:p>
      <w:pPr>
        <w:spacing w:after="100"/>
      </w:pPr>
      <w:r>
        <w:t>Retention Dashboard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retention dashboard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Retention Dashboard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retention dashboard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retention dashboard,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retention dashboard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XIX. QUALITY AND OUTCOMES</w:t>
      </w:r>
    </w:p>
    <w:p>
      <w:pPr>
        <w:pStyle w:val="Heading1"/>
      </w:pPr>
      <w:r>
        <w:t>Safety Dashboard</w:t>
      </w:r>
    </w:p>
    <w:p>
      <w:pPr>
        <w:spacing w:after="100"/>
      </w:pPr>
      <w:r>
        <w:t>Safety Dashboard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safety dashboard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Safety Dashboard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safety dashboard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safety dashboard,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safety dashboard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XIX. QUALITY AND OUTCOMES</w:t>
      </w:r>
    </w:p>
    <w:p>
      <w:pPr>
        <w:pStyle w:val="Heading1"/>
      </w:pPr>
      <w:r>
        <w:t>Recovery Capital Dashboard</w:t>
      </w:r>
    </w:p>
    <w:p>
      <w:pPr>
        <w:spacing w:after="100"/>
      </w:pPr>
      <w:r>
        <w:t>Recovery Capital Dashboard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recovery capital dashboard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Recovery Capital Dashboard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recovery capital dashboard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recovery capital dashboard,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recovery capital dashboard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XIX. QUALITY AND OUTCOMES</w:t>
      </w:r>
    </w:p>
    <w:p>
      <w:pPr>
        <w:pStyle w:val="Heading1"/>
      </w:pPr>
      <w:r>
        <w:t>Resident Satisfaction</w:t>
      </w:r>
    </w:p>
    <w:p>
      <w:pPr>
        <w:spacing w:after="100"/>
      </w:pPr>
      <w:r>
        <w:t>Resident Satisfaction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resident satisfaction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Resident Satisfaction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resident satisfaction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resident satisfaction,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resident satisfaction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XIX. QUALITY AND OUTCOMES</w:t>
      </w:r>
    </w:p>
    <w:p>
      <w:pPr>
        <w:pStyle w:val="Heading1"/>
      </w:pPr>
      <w:r>
        <w:t>Spiritual Care Feedback</w:t>
      </w:r>
    </w:p>
    <w:p>
      <w:pPr>
        <w:spacing w:after="100"/>
      </w:pPr>
      <w:r>
        <w:t>Spiritual Care Feedback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spiritual care feedback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Spiritual Care Feedback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spiritual care feedback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spiritual care feedback,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spiritual care feedback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XIX. QUALITY AND OUTCOMES</w:t>
      </w:r>
    </w:p>
    <w:p>
      <w:pPr>
        <w:pStyle w:val="Heading1"/>
      </w:pPr>
      <w:r>
        <w:t>Family Outcomes</w:t>
      </w:r>
    </w:p>
    <w:p>
      <w:pPr>
        <w:spacing w:after="100"/>
      </w:pPr>
      <w:r>
        <w:t>Family Outcomes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family outcomes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Family Outcomes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family outcomes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family outcomes,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family outcomes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XIX. QUALITY AND OUTCOMES</w:t>
      </w:r>
    </w:p>
    <w:p>
      <w:pPr>
        <w:pStyle w:val="Heading1"/>
      </w:pPr>
      <w:r>
        <w:t>Student Learning Outcomes</w:t>
      </w:r>
    </w:p>
    <w:p>
      <w:pPr>
        <w:spacing w:after="100"/>
      </w:pPr>
      <w:r>
        <w:t>Student Learning Outcomes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student learning outcomes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Student Learning Outcomes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student learning outcomes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student learning outcomes,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student learning outcomes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XIX. QUALITY AND OUTCOMES</w:t>
      </w:r>
    </w:p>
    <w:p>
      <w:pPr>
        <w:pStyle w:val="Heading1"/>
      </w:pPr>
      <w:r>
        <w:t>Partner Satisfaction</w:t>
      </w:r>
    </w:p>
    <w:p>
      <w:pPr>
        <w:spacing w:after="100"/>
      </w:pPr>
      <w:r>
        <w:t>Partner Satisfaction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partner satisfaction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Partner Satisfaction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partner satisfaction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partner satisfaction,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partner satisfaction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XIX. QUALITY AND OUTCOMES</w:t>
      </w:r>
    </w:p>
    <w:p>
      <w:pPr>
        <w:pStyle w:val="Heading1"/>
      </w:pPr>
      <w:r>
        <w:t>Continuous Improvement</w:t>
      </w:r>
    </w:p>
    <w:p>
      <w:pPr>
        <w:spacing w:after="100"/>
      </w:pPr>
      <w:r>
        <w:t>Continuous Improvement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continuous improvement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Continuous Improvement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continuous improvement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continuous improvement,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continuous improvement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XX. FORMS AND LAUNCH TOOLS</w:t>
      </w:r>
    </w:p>
    <w:p>
      <w:pPr>
        <w:pStyle w:val="Heading1"/>
      </w:pPr>
      <w:r>
        <w:t>Resident Application</w:t>
      </w:r>
    </w:p>
    <w:p>
      <w:pPr>
        <w:spacing w:after="100"/>
      </w:pPr>
      <w:r>
        <w:t>Resident Application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resident application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Resident Application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resident application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resident application,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resident application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XX. FORMS AND LAUNCH TOOLS</w:t>
      </w:r>
    </w:p>
    <w:p>
      <w:pPr>
        <w:pStyle w:val="Heading1"/>
      </w:pPr>
      <w:r>
        <w:t>Referral Form</w:t>
      </w:r>
    </w:p>
    <w:p>
      <w:pPr>
        <w:spacing w:after="100"/>
      </w:pPr>
      <w:r>
        <w:t>Referral Form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referral form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Referral Form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referral form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referral form,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referral form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XX. FORMS AND LAUNCH TOOLS</w:t>
      </w:r>
    </w:p>
    <w:p>
      <w:pPr>
        <w:pStyle w:val="Heading1"/>
      </w:pPr>
      <w:r>
        <w:t>Risk Screen</w:t>
      </w:r>
    </w:p>
    <w:p>
      <w:pPr>
        <w:spacing w:after="100"/>
      </w:pPr>
      <w:r>
        <w:t>Risk Screen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risk screen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Risk Screen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risk screen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risk screen,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risk screen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XX. FORMS AND LAUNCH TOOLS</w:t>
      </w:r>
    </w:p>
    <w:p>
      <w:pPr>
        <w:pStyle w:val="Heading1"/>
      </w:pPr>
      <w:r>
        <w:t>Thirty-Day Plan</w:t>
      </w:r>
    </w:p>
    <w:p>
      <w:pPr>
        <w:spacing w:after="100"/>
      </w:pPr>
      <w:r>
        <w:t>Thirty-Day Plan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thirty-day plan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Thirty-Day Plan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thirty-day plan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thirty-day plan,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thirty-day plan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XX. FORMS AND LAUNCH TOOLS</w:t>
      </w:r>
    </w:p>
    <w:p>
      <w:pPr>
        <w:pStyle w:val="Heading1"/>
      </w:pPr>
      <w:r>
        <w:t>Weekly Progress Review</w:t>
      </w:r>
    </w:p>
    <w:p>
      <w:pPr>
        <w:spacing w:after="100"/>
      </w:pPr>
      <w:r>
        <w:t>Weekly Progress Review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weekly progress review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Weekly Progress Review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weekly progress review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weekly progress review,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weekly progress review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XX. FORMS AND LAUNCH TOOLS</w:t>
      </w:r>
    </w:p>
    <w:p>
      <w:pPr>
        <w:pStyle w:val="Heading1"/>
      </w:pPr>
      <w:r>
        <w:t>House Meeting Agenda</w:t>
      </w:r>
    </w:p>
    <w:p>
      <w:pPr>
        <w:spacing w:after="100"/>
      </w:pPr>
      <w:r>
        <w:t>House Meeting Agenda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house meeting agenda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House Meeting Agenda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house meeting agenda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house meeting agenda,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house meeting agenda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XX. FORMS AND LAUNCH TOOLS</w:t>
      </w:r>
    </w:p>
    <w:p>
      <w:pPr>
        <w:pStyle w:val="Heading1"/>
      </w:pPr>
      <w:r>
        <w:t>On-Call Log</w:t>
      </w:r>
    </w:p>
    <w:p>
      <w:pPr>
        <w:spacing w:after="100"/>
      </w:pPr>
      <w:r>
        <w:t>On-Call Log is a controlled operating component of The 120 House. It converts the ministry’s Christ-centered, peer-led vision into a repeatable practice that protects resident dignity, supports recovery, clarifies scope, and produces evidence for supervision and continuous improvement. The practice must remain voluntary where faith participation is concerned, must not substitute students or peers for licensed care, and must be adapted to each resident’s documented risks, strengths, family responsibilities, and goals.</w:t>
      </w:r>
    </w:p>
    <w:p>
      <w:pPr>
        <w:pStyle w:val="Heading2"/>
      </w:pPr>
      <w:r>
        <w:t>Required actions</w:t>
      </w:r>
    </w:p>
    <w:p>
      <w:pPr>
        <w:pStyle w:val="ListBullet"/>
        <w:spacing w:after="40" w:line="240" w:lineRule="auto"/>
      </w:pPr>
      <w:r>
        <w:rPr>
          <w:rFonts w:ascii="Aptos" w:hAnsi="Aptos"/>
          <w:color w:val="263238"/>
          <w:sz w:val="17"/>
        </w:rPr>
        <w:t>Define the on-call log workflow in plain language, including who may act, who must supervise, and what may never be delegated.</w:t>
      </w:r>
    </w:p>
    <w:p>
      <w:pPr>
        <w:pStyle w:val="ListBullet"/>
        <w:spacing w:after="40" w:line="240" w:lineRule="auto"/>
      </w:pPr>
      <w:r>
        <w:rPr>
          <w:rFonts w:ascii="Aptos" w:hAnsi="Aptos"/>
          <w:color w:val="263238"/>
          <w:sz w:val="17"/>
        </w:rPr>
        <w:t>Ask residents and peers to test the workflow for dignity, usability, cultural humility, and unintended barriers.</w:t>
      </w:r>
    </w:p>
    <w:p>
      <w:pPr>
        <w:pStyle w:val="ListBullet"/>
        <w:spacing w:after="40" w:line="240" w:lineRule="auto"/>
      </w:pPr>
      <w:r>
        <w:rPr>
          <w:rFonts w:ascii="Aptos" w:hAnsi="Aptos"/>
          <w:color w:val="263238"/>
          <w:sz w:val="17"/>
        </w:rPr>
        <w:t>Identify emergency exceptions, mandated reporting duties, clinical referral triggers, and the precise documentation required.</w:t>
      </w:r>
    </w:p>
    <w:p>
      <w:pPr>
        <w:pStyle w:val="ListBullet"/>
        <w:spacing w:after="40" w:line="240" w:lineRule="auto"/>
      </w:pPr>
      <w:r>
        <w:rPr>
          <w:rFonts w:ascii="Aptos" w:hAnsi="Aptos"/>
          <w:color w:val="263238"/>
          <w:sz w:val="17"/>
        </w:rPr>
        <w:t>Train staff, peers, students, volunteers, and contractors before they perform any related duty; verify competency rather than attendance alone.</w:t>
      </w:r>
    </w:p>
    <w:p>
      <w:pPr>
        <w:pStyle w:val="ListBullet"/>
        <w:spacing w:after="40" w:line="240" w:lineRule="auto"/>
      </w:pPr>
      <w:r>
        <w:rPr>
          <w:rFonts w:ascii="Aptos" w:hAnsi="Aptos"/>
          <w:color w:val="263238"/>
          <w:sz w:val="17"/>
        </w:rPr>
        <w:t>Review results monthly for the first six months and quarterly thereafter, using incidents, complaints, near misses, resident feedback, and outcome data.</w:t>
      </w:r>
    </w:p>
    <w:p>
      <w:pPr>
        <w:pStyle w:val="Heading2"/>
      </w:pPr>
      <w:r>
        <w:t>Control and funding matrix</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2664"/>
        <w:gridCol w:w="2664"/>
        <w:gridCol w:w="2664"/>
        <w:gridCol w:w="2664"/>
      </w:tblGrid>
      <w:tr>
        <w:tc>
          <w:tcPr>
            <w:tcW w:type="dxa" w:w="3240"/>
            <w:shd w:fill="16324F"/>
          </w:tcPr>
          <w:p>
            <w:pPr>
              <w:spacing w:after="0"/>
            </w:pPr>
            <w:r/>
            <w:r>
              <w:rPr>
                <w:rFonts w:ascii="Aptos" w:hAnsi="Aptos"/>
                <w:b/>
                <w:color w:val="FFFFFF"/>
                <w:sz w:val="15"/>
              </w:rPr>
              <w:t>Control</w:t>
            </w:r>
          </w:p>
        </w:tc>
        <w:tc>
          <w:tcPr>
            <w:tcW w:type="dxa" w:w="1728"/>
            <w:shd w:fill="16324F"/>
          </w:tcPr>
          <w:p>
            <w:pPr>
              <w:spacing w:after="0"/>
            </w:pPr>
            <w:r/>
            <w:r>
              <w:rPr>
                <w:rFonts w:ascii="Aptos" w:hAnsi="Aptos"/>
                <w:b/>
                <w:color w:val="FFFFFF"/>
                <w:sz w:val="15"/>
              </w:rPr>
              <w:t>Owner</w:t>
            </w:r>
          </w:p>
        </w:tc>
        <w:tc>
          <w:tcPr>
            <w:tcW w:type="dxa" w:w="1512"/>
            <w:shd w:fill="16324F"/>
          </w:tcPr>
          <w:p>
            <w:pPr>
              <w:spacing w:after="0"/>
            </w:pPr>
            <w:r/>
            <w:r>
              <w:rPr>
                <w:rFonts w:ascii="Aptos" w:hAnsi="Aptos"/>
                <w:b/>
                <w:color w:val="FFFFFF"/>
                <w:sz w:val="15"/>
              </w:rPr>
              <w:t>Timing</w:t>
            </w:r>
          </w:p>
        </w:tc>
        <w:tc>
          <w:tcPr>
            <w:tcW w:type="dxa" w:w="4032"/>
            <w:shd w:fill="16324F"/>
          </w:tcPr>
          <w:p>
            <w:pPr>
              <w:spacing w:after="0"/>
            </w:pPr>
            <w:r/>
            <w:r>
              <w:rPr>
                <w:rFonts w:ascii="Aptos" w:hAnsi="Aptos"/>
                <w:b/>
                <w:color w:val="FFFFFF"/>
                <w:sz w:val="15"/>
              </w:rPr>
              <w:t>Evidence</w:t>
            </w:r>
          </w:p>
        </w:tc>
      </w:tr>
      <w:tr>
        <w:tc>
          <w:tcPr>
            <w:tcW w:type="dxa" w:w="3240"/>
            <w:vAlign w:val="center"/>
          </w:tcPr>
          <w:p>
            <w:pPr>
              <w:spacing w:after="0"/>
            </w:pPr>
            <w:r/>
            <w:r>
              <w:rPr>
                <w:rFonts w:ascii="Aptos" w:hAnsi="Aptos"/>
                <w:b w:val="0"/>
                <w:color w:val="263238"/>
                <w:sz w:val="15"/>
              </w:rPr>
              <w:t>On-Call Log standard</w:t>
            </w:r>
          </w:p>
        </w:tc>
        <w:tc>
          <w:tcPr>
            <w:tcW w:type="dxa" w:w="1728"/>
            <w:vAlign w:val="center"/>
          </w:tcPr>
          <w:p>
            <w:pPr>
              <w:spacing w:after="0"/>
            </w:pPr>
            <w:r/>
            <w:r>
              <w:rPr>
                <w:rFonts w:ascii="Aptos" w:hAnsi="Aptos"/>
                <w:b w:val="0"/>
                <w:color w:val="263238"/>
                <w:sz w:val="15"/>
              </w:rPr>
              <w:t>Project Lead</w:t>
            </w:r>
          </w:p>
        </w:tc>
        <w:tc>
          <w:tcPr>
            <w:tcW w:type="dxa" w:w="1512"/>
            <w:vAlign w:val="center"/>
          </w:tcPr>
          <w:p>
            <w:pPr>
              <w:spacing w:after="0"/>
            </w:pPr>
            <w:r/>
            <w:r>
              <w:rPr>
                <w:rFonts w:ascii="Aptos" w:hAnsi="Aptos"/>
                <w:b w:val="0"/>
                <w:color w:val="263238"/>
                <w:sz w:val="15"/>
              </w:rPr>
              <w:t>Pre-close</w:t>
            </w:r>
          </w:p>
        </w:tc>
        <w:tc>
          <w:tcPr>
            <w:tcW w:type="dxa" w:w="4032"/>
            <w:vAlign w:val="center"/>
          </w:tcPr>
          <w:p>
            <w:pPr>
              <w:spacing w:after="0"/>
            </w:pPr>
            <w:r/>
            <w:r>
              <w:rPr>
                <w:rFonts w:ascii="Aptos" w:hAnsi="Aptos"/>
                <w:b w:val="0"/>
                <w:color w:val="263238"/>
                <w:sz w:val="15"/>
              </w:rPr>
              <w:t>Approved written standard and accountable owner</w:t>
            </w:r>
          </w:p>
        </w:tc>
      </w:tr>
      <w:tr>
        <w:tc>
          <w:tcPr>
            <w:tcW w:type="dxa" w:w="3240"/>
            <w:shd w:fill="F3F6F8"/>
            <w:vAlign w:val="center"/>
          </w:tcPr>
          <w:p>
            <w:pPr>
              <w:spacing w:after="0"/>
            </w:pPr>
            <w:r/>
            <w:r>
              <w:rPr>
                <w:rFonts w:ascii="Aptos" w:hAnsi="Aptos"/>
                <w:b w:val="0"/>
                <w:color w:val="263238"/>
                <w:sz w:val="15"/>
              </w:rPr>
              <w:t>Budget authorization</w:t>
            </w:r>
          </w:p>
        </w:tc>
        <w:tc>
          <w:tcPr>
            <w:tcW w:type="dxa" w:w="1728"/>
            <w:shd w:fill="F3F6F8"/>
            <w:vAlign w:val="center"/>
          </w:tcPr>
          <w:p>
            <w:pPr>
              <w:spacing w:after="0"/>
            </w:pPr>
            <w:r/>
            <w:r>
              <w:rPr>
                <w:rFonts w:ascii="Aptos" w:hAnsi="Aptos"/>
                <w:b w:val="0"/>
                <w:color w:val="263238"/>
                <w:sz w:val="15"/>
              </w:rPr>
              <w:t>Treasurer</w:t>
            </w:r>
          </w:p>
        </w:tc>
        <w:tc>
          <w:tcPr>
            <w:tcW w:type="dxa" w:w="1512"/>
            <w:shd w:fill="F3F6F8"/>
            <w:vAlign w:val="center"/>
          </w:tcPr>
          <w:p>
            <w:pPr>
              <w:spacing w:after="0"/>
            </w:pPr>
            <w:r/>
            <w:r>
              <w:rPr>
                <w:rFonts w:ascii="Aptos" w:hAnsi="Aptos"/>
                <w:b w:val="0"/>
                <w:color w:val="263238"/>
                <w:sz w:val="15"/>
              </w:rPr>
              <w:t>Monthly</w:t>
            </w:r>
          </w:p>
        </w:tc>
        <w:tc>
          <w:tcPr>
            <w:tcW w:type="dxa" w:w="4032"/>
            <w:shd w:fill="F3F6F8"/>
            <w:vAlign w:val="center"/>
          </w:tcPr>
          <w:p>
            <w:pPr>
              <w:spacing w:after="0"/>
            </w:pPr>
            <w:r/>
            <w:r>
              <w:rPr>
                <w:rFonts w:ascii="Aptos" w:hAnsi="Aptos"/>
                <w:b w:val="0"/>
                <w:color w:val="263238"/>
                <w:sz w:val="15"/>
              </w:rPr>
              <w:t>Budget-to-actual report and variance explanation</w:t>
            </w:r>
          </w:p>
        </w:tc>
      </w:tr>
      <w:tr>
        <w:tc>
          <w:tcPr>
            <w:tcW w:type="dxa" w:w="3240"/>
            <w:vAlign w:val="center"/>
          </w:tcPr>
          <w:p>
            <w:pPr>
              <w:spacing w:after="0"/>
            </w:pPr>
            <w:r/>
            <w:r>
              <w:rPr>
                <w:rFonts w:ascii="Aptos" w:hAnsi="Aptos"/>
                <w:b w:val="0"/>
                <w:color w:val="263238"/>
                <w:sz w:val="15"/>
              </w:rPr>
              <w:t>Compliance verification</w:t>
            </w:r>
          </w:p>
        </w:tc>
        <w:tc>
          <w:tcPr>
            <w:tcW w:type="dxa" w:w="1728"/>
            <w:vAlign w:val="center"/>
          </w:tcPr>
          <w:p>
            <w:pPr>
              <w:spacing w:after="0"/>
            </w:pPr>
            <w:r/>
            <w:r>
              <w:rPr>
                <w:rFonts w:ascii="Aptos" w:hAnsi="Aptos"/>
                <w:b w:val="0"/>
                <w:color w:val="263238"/>
                <w:sz w:val="15"/>
              </w:rPr>
              <w:t>Counsel / consultant</w:t>
            </w:r>
          </w:p>
        </w:tc>
        <w:tc>
          <w:tcPr>
            <w:tcW w:type="dxa" w:w="1512"/>
            <w:vAlign w:val="center"/>
          </w:tcPr>
          <w:p>
            <w:pPr>
              <w:spacing w:after="0"/>
            </w:pPr>
            <w:r/>
            <w:r>
              <w:rPr>
                <w:rFonts w:ascii="Aptos" w:hAnsi="Aptos"/>
                <w:b w:val="0"/>
                <w:color w:val="263238"/>
                <w:sz w:val="15"/>
              </w:rPr>
              <w:t>Gate review</w:t>
            </w:r>
          </w:p>
        </w:tc>
        <w:tc>
          <w:tcPr>
            <w:tcW w:type="dxa" w:w="4032"/>
            <w:vAlign w:val="center"/>
          </w:tcPr>
          <w:p>
            <w:pPr>
              <w:spacing w:after="0"/>
            </w:pPr>
            <w:r/>
            <w:r>
              <w:rPr>
                <w:rFonts w:ascii="Aptos" w:hAnsi="Aptos"/>
                <w:b w:val="0"/>
                <w:color w:val="263238"/>
                <w:sz w:val="15"/>
              </w:rPr>
              <w:t>Written opinion, permit, certificate, or inspection</w:t>
            </w:r>
          </w:p>
        </w:tc>
      </w:tr>
      <w:tr>
        <w:tc>
          <w:tcPr>
            <w:tcW w:type="dxa" w:w="3240"/>
            <w:shd w:fill="F3F6F8"/>
            <w:vAlign w:val="center"/>
          </w:tcPr>
          <w:p>
            <w:pPr>
              <w:spacing w:after="0"/>
            </w:pPr>
            <w:r/>
            <w:r>
              <w:rPr>
                <w:rFonts w:ascii="Aptos" w:hAnsi="Aptos"/>
                <w:b w:val="0"/>
                <w:color w:val="263238"/>
                <w:sz w:val="15"/>
              </w:rPr>
              <w:t>Resident voice</w:t>
            </w:r>
          </w:p>
        </w:tc>
        <w:tc>
          <w:tcPr>
            <w:tcW w:type="dxa" w:w="1728"/>
            <w:shd w:fill="F3F6F8"/>
            <w:vAlign w:val="center"/>
          </w:tcPr>
          <w:p>
            <w:pPr>
              <w:spacing w:after="0"/>
            </w:pPr>
            <w:r/>
            <w:r>
              <w:rPr>
                <w:rFonts w:ascii="Aptos" w:hAnsi="Aptos"/>
                <w:b w:val="0"/>
                <w:color w:val="263238"/>
                <w:sz w:val="15"/>
              </w:rPr>
              <w:t>Peer council</w:t>
            </w:r>
          </w:p>
        </w:tc>
        <w:tc>
          <w:tcPr>
            <w:tcW w:type="dxa" w:w="1512"/>
            <w:shd w:fill="F3F6F8"/>
            <w:vAlign w:val="center"/>
          </w:tcPr>
          <w:p>
            <w:pPr>
              <w:spacing w:after="0"/>
            </w:pPr>
            <w:r/>
            <w:r>
              <w:rPr>
                <w:rFonts w:ascii="Aptos" w:hAnsi="Aptos"/>
                <w:b w:val="0"/>
                <w:color w:val="263238"/>
                <w:sz w:val="15"/>
              </w:rPr>
              <w:t>Quarterly</w:t>
            </w:r>
          </w:p>
        </w:tc>
        <w:tc>
          <w:tcPr>
            <w:tcW w:type="dxa" w:w="4032"/>
            <w:shd w:fill="F3F6F8"/>
            <w:vAlign w:val="center"/>
          </w:tcPr>
          <w:p>
            <w:pPr>
              <w:spacing w:after="0"/>
            </w:pPr>
            <w:r/>
            <w:r>
              <w:rPr>
                <w:rFonts w:ascii="Aptos" w:hAnsi="Aptos"/>
                <w:b w:val="0"/>
                <w:color w:val="263238"/>
                <w:sz w:val="15"/>
              </w:rPr>
              <w:t>Minutes, feedback trend, and corrective action</w:t>
            </w:r>
          </w:p>
        </w:tc>
      </w:tr>
      <w:tr>
        <w:tc>
          <w:tcPr>
            <w:tcW w:type="dxa" w:w="3240"/>
            <w:vAlign w:val="center"/>
          </w:tcPr>
          <w:p>
            <w:pPr>
              <w:spacing w:after="0"/>
            </w:pPr>
            <w:r/>
            <w:r>
              <w:rPr>
                <w:rFonts w:ascii="Aptos" w:hAnsi="Aptos"/>
                <w:b w:val="0"/>
                <w:color w:val="263238"/>
                <w:sz w:val="15"/>
              </w:rPr>
              <w:t>Outcome monitoring</w:t>
            </w:r>
          </w:p>
        </w:tc>
        <w:tc>
          <w:tcPr>
            <w:tcW w:type="dxa" w:w="1728"/>
            <w:vAlign w:val="center"/>
          </w:tcPr>
          <w:p>
            <w:pPr>
              <w:spacing w:after="0"/>
            </w:pPr>
            <w:r/>
            <w:r>
              <w:rPr>
                <w:rFonts w:ascii="Aptos" w:hAnsi="Aptos"/>
                <w:b w:val="0"/>
                <w:color w:val="263238"/>
                <w:sz w:val="15"/>
              </w:rPr>
              <w:t>Recovery Home Director</w:t>
            </w:r>
          </w:p>
        </w:tc>
        <w:tc>
          <w:tcPr>
            <w:tcW w:type="dxa" w:w="1512"/>
            <w:vAlign w:val="center"/>
          </w:tcPr>
          <w:p>
            <w:pPr>
              <w:spacing w:after="0"/>
            </w:pPr>
            <w:r/>
            <w:r>
              <w:rPr>
                <w:rFonts w:ascii="Aptos" w:hAnsi="Aptos"/>
                <w:b w:val="0"/>
                <w:color w:val="263238"/>
                <w:sz w:val="15"/>
              </w:rPr>
              <w:t>Monthly</w:t>
            </w:r>
          </w:p>
        </w:tc>
        <w:tc>
          <w:tcPr>
            <w:tcW w:type="dxa" w:w="4032"/>
            <w:vAlign w:val="center"/>
          </w:tcPr>
          <w:p>
            <w:pPr>
              <w:spacing w:after="0"/>
            </w:pPr>
            <w:r/>
            <w:r>
              <w:rPr>
                <w:rFonts w:ascii="Aptos" w:hAnsi="Aptos"/>
                <w:b w:val="0"/>
                <w:color w:val="263238"/>
                <w:sz w:val="15"/>
              </w:rPr>
              <w:t>Dashboard with occupancy, safety, retention, and exits</w:t>
            </w:r>
          </w:p>
        </w:tc>
      </w:tr>
    </w:tbl>
    <w:p>
      <w:pPr>
        <w:pStyle w:val="Heading2"/>
      </w:pPr>
      <w:r>
        <w:t>Board-ready evidence</w:t>
      </w:r>
    </w:p>
    <w:p>
      <w:pPr>
        <w:pStyle w:val="ListBullet"/>
        <w:spacing w:after="40" w:line="240" w:lineRule="auto"/>
      </w:pPr>
      <w:r>
        <w:rPr>
          <w:rFonts w:ascii="Aptos" w:hAnsi="Aptos"/>
          <w:color w:val="263238"/>
          <w:sz w:val="17"/>
        </w:rPr>
        <w:t>A concise on-call log decision memo with assumptions and alternatives.</w:t>
      </w:r>
    </w:p>
    <w:p>
      <w:pPr>
        <w:pStyle w:val="ListBullet"/>
        <w:spacing w:after="40" w:line="240" w:lineRule="auto"/>
      </w:pPr>
      <w:r>
        <w:rPr>
          <w:rFonts w:ascii="Aptos" w:hAnsi="Aptos"/>
          <w:color w:val="263238"/>
          <w:sz w:val="17"/>
        </w:rPr>
        <w:t>Named owner, deadline, dependencies, and escalation route.</w:t>
      </w:r>
    </w:p>
    <w:p>
      <w:pPr>
        <w:pStyle w:val="ListBullet"/>
        <w:spacing w:after="40" w:line="240" w:lineRule="auto"/>
      </w:pPr>
      <w:r>
        <w:rPr>
          <w:rFonts w:ascii="Aptos" w:hAnsi="Aptos"/>
          <w:color w:val="263238"/>
          <w:sz w:val="17"/>
        </w:rPr>
        <w:t>A documented resident-rights and nondiscrimination review.</w:t>
      </w:r>
    </w:p>
    <w:p>
      <w:pPr>
        <w:pStyle w:val="ListBullet"/>
        <w:spacing w:after="40" w:line="240" w:lineRule="auto"/>
      </w:pPr>
      <w:r>
        <w:rPr>
          <w:rFonts w:ascii="Aptos" w:hAnsi="Aptos"/>
          <w:color w:val="263238"/>
          <w:sz w:val="17"/>
        </w:rPr>
        <w:t>Proof that the decision is financially sustainable at 75%, 85%, and 95% occupancy.</w:t>
      </w:r>
    </w:p>
    <w:p>
      <w:pPr>
        <w:pStyle w:val="ListBullet"/>
        <w:spacing w:after="40" w:line="240" w:lineRule="auto"/>
      </w:pPr>
      <w:r>
        <w:rPr>
          <w:rFonts w:ascii="Aptos" w:hAnsi="Aptos"/>
          <w:color w:val="263238"/>
          <w:sz w:val="17"/>
        </w:rPr>
        <w:t>Board minutes showing approval, recusals, restrictions, and follow-up date.</w:t>
      </w:r>
    </w:p>
    <w:p>
      <w:pPr>
        <w:pStyle w:val="Heading2"/>
      </w:pPr>
      <w:r>
        <w:t>Implementation worksheet</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2088"/>
            <w:shd w:fill="16324F"/>
          </w:tcPr>
          <w:p>
            <w:pPr>
              <w:spacing w:after="0"/>
            </w:pPr>
            <w:r/>
            <w:r>
              <w:rPr>
                <w:rFonts w:ascii="Aptos" w:hAnsi="Aptos"/>
                <w:b/>
                <w:color w:val="FFFFFF"/>
                <w:sz w:val="15"/>
              </w:rPr>
              <w:t>Work item</w:t>
            </w:r>
          </w:p>
        </w:tc>
        <w:tc>
          <w:tcPr>
            <w:tcW w:type="dxa" w:w="8424"/>
            <w:shd w:fill="16324F"/>
          </w:tcPr>
          <w:p>
            <w:pPr>
              <w:spacing w:after="0"/>
            </w:pPr>
            <w:r/>
            <w:r>
              <w:rPr>
                <w:rFonts w:ascii="Aptos" w:hAnsi="Aptos"/>
                <w:b/>
                <w:color w:val="FFFFFF"/>
                <w:sz w:val="15"/>
              </w:rPr>
              <w:t>Required response</w:t>
            </w:r>
          </w:p>
        </w:tc>
      </w:tr>
      <w:tr>
        <w:tc>
          <w:tcPr>
            <w:tcW w:type="dxa" w:w="2088"/>
            <w:vAlign w:val="center"/>
          </w:tcPr>
          <w:p>
            <w:pPr>
              <w:spacing w:after="0"/>
            </w:pPr>
            <w:r/>
            <w:r>
              <w:rPr>
                <w:rFonts w:ascii="Aptos" w:hAnsi="Aptos"/>
                <w:b w:val="0"/>
                <w:color w:val="263238"/>
                <w:sz w:val="15"/>
              </w:rPr>
              <w:t>Current state</w:t>
            </w:r>
          </w:p>
        </w:tc>
        <w:tc>
          <w:tcPr>
            <w:tcW w:type="dxa" w:w="8424"/>
            <w:vAlign w:val="center"/>
          </w:tcPr>
          <w:p>
            <w:pPr>
              <w:spacing w:after="0"/>
            </w:pPr>
            <w:r/>
            <w:r>
              <w:rPr>
                <w:rFonts w:ascii="Aptos" w:hAnsi="Aptos"/>
                <w:b w:val="0"/>
                <w:color w:val="263238"/>
                <w:sz w:val="15"/>
              </w:rPr>
              <w:t>Describe what RHM already has in place for on-call log, including documents, relationships, staff capacity, and unresolved assumptions.</w:t>
            </w:r>
          </w:p>
        </w:tc>
      </w:tr>
      <w:tr>
        <w:tc>
          <w:tcPr>
            <w:tcW w:type="dxa" w:w="2088"/>
            <w:shd w:fill="F3F6F8"/>
            <w:vAlign w:val="center"/>
          </w:tcPr>
          <w:p>
            <w:pPr>
              <w:spacing w:after="0"/>
            </w:pPr>
            <w:r/>
            <w:r>
              <w:rPr>
                <w:rFonts w:ascii="Aptos" w:hAnsi="Aptos"/>
                <w:b w:val="0"/>
                <w:color w:val="263238"/>
                <w:sz w:val="15"/>
              </w:rPr>
              <w:t>30-day deliverable</w:t>
            </w:r>
          </w:p>
        </w:tc>
        <w:tc>
          <w:tcPr>
            <w:tcW w:type="dxa" w:w="8424"/>
            <w:shd w:fill="F3F6F8"/>
            <w:vAlign w:val="center"/>
          </w:tcPr>
          <w:p>
            <w:pPr>
              <w:spacing w:after="0"/>
            </w:pPr>
            <w:r/>
            <w:r>
              <w:rPr>
                <w:rFonts w:ascii="Aptos" w:hAnsi="Aptos"/>
                <w:b w:val="0"/>
                <w:color w:val="263238"/>
                <w:sz w:val="15"/>
              </w:rPr>
              <w:t>Produce the first verifiable on-call log work product and place it in the project data room with an owner and review date.</w:t>
            </w:r>
          </w:p>
        </w:tc>
      </w:tr>
      <w:tr>
        <w:tc>
          <w:tcPr>
            <w:tcW w:type="dxa" w:w="2088"/>
            <w:vAlign w:val="center"/>
          </w:tcPr>
          <w:p>
            <w:pPr>
              <w:spacing w:after="0"/>
            </w:pPr>
            <w:r/>
            <w:r>
              <w:rPr>
                <w:rFonts w:ascii="Aptos" w:hAnsi="Aptos"/>
                <w:b w:val="0"/>
                <w:color w:val="263238"/>
                <w:sz w:val="15"/>
              </w:rPr>
              <w:t>60-day test</w:t>
            </w:r>
          </w:p>
        </w:tc>
        <w:tc>
          <w:tcPr>
            <w:tcW w:type="dxa" w:w="8424"/>
            <w:vAlign w:val="center"/>
          </w:tcPr>
          <w:p>
            <w:pPr>
              <w:spacing w:after="0"/>
            </w:pPr>
            <w:r/>
            <w:r>
              <w:rPr>
                <w:rFonts w:ascii="Aptos" w:hAnsi="Aptos"/>
                <w:b w:val="0"/>
                <w:color w:val="263238"/>
                <w:sz w:val="15"/>
              </w:rPr>
              <w:t>Test the work product with at least one resident/peer voice, one operational leader, and one independent professional or partner.</w:t>
            </w:r>
          </w:p>
        </w:tc>
      </w:tr>
      <w:tr>
        <w:tc>
          <w:tcPr>
            <w:tcW w:type="dxa" w:w="2088"/>
            <w:shd w:fill="F3F6F8"/>
            <w:vAlign w:val="center"/>
          </w:tcPr>
          <w:p>
            <w:pPr>
              <w:spacing w:after="0"/>
            </w:pPr>
            <w:r/>
            <w:r>
              <w:rPr>
                <w:rFonts w:ascii="Aptos" w:hAnsi="Aptos"/>
                <w:b w:val="0"/>
                <w:color w:val="263238"/>
                <w:sz w:val="15"/>
              </w:rPr>
              <w:t>90-day gate</w:t>
            </w:r>
          </w:p>
        </w:tc>
        <w:tc>
          <w:tcPr>
            <w:tcW w:type="dxa" w:w="8424"/>
            <w:shd w:fill="F3F6F8"/>
            <w:vAlign w:val="center"/>
          </w:tcPr>
          <w:p>
            <w:pPr>
              <w:spacing w:after="0"/>
            </w:pPr>
            <w:r/>
            <w:r>
              <w:rPr>
                <w:rFonts w:ascii="Aptos" w:hAnsi="Aptos"/>
                <w:b w:val="0"/>
                <w:color w:val="263238"/>
                <w:sz w:val="15"/>
              </w:rPr>
              <w:t>Approve, revise, defer, or stop the workstream based on written evidence; record the effect on capital need, opening date, staffing, and risk.</w:t>
            </w:r>
          </w:p>
        </w:tc>
      </w:tr>
      <w:tr>
        <w:tc>
          <w:tcPr>
            <w:tcW w:type="dxa" w:w="2088"/>
            <w:vAlign w:val="center"/>
          </w:tcPr>
          <w:p>
            <w:pPr>
              <w:spacing w:after="0"/>
            </w:pPr>
            <w:r/>
            <w:r>
              <w:rPr>
                <w:rFonts w:ascii="Aptos" w:hAnsi="Aptos"/>
                <w:b w:val="0"/>
                <w:color w:val="263238"/>
                <w:sz w:val="15"/>
              </w:rPr>
              <w:t>Acceptance measure</w:t>
            </w:r>
          </w:p>
        </w:tc>
        <w:tc>
          <w:tcPr>
            <w:tcW w:type="dxa" w:w="8424"/>
            <w:vAlign w:val="center"/>
          </w:tcPr>
          <w:p>
            <w:pPr>
              <w:spacing w:after="0"/>
            </w:pPr>
            <w:r/>
            <w:r>
              <w:rPr>
                <w:rFonts w:ascii="Aptos" w:hAnsi="Aptos"/>
                <w:b w:val="0"/>
                <w:color w:val="263238"/>
                <w:sz w:val="15"/>
              </w:rPr>
              <w:t>Evidence is complete, understandable to a new leader, financially modeled, rights-aware, and capable of being audited after launch.</w:t>
            </w:r>
          </w:p>
        </w:tc>
      </w:tr>
    </w:tbl>
    <w:p>
      <w:pPr>
        <w:spacing w:before="60" w:after="40"/>
      </w:pPr>
      <w:r>
        <w:rPr>
          <w:b/>
          <w:color w:val="1E6A8D"/>
        </w:rPr>
        <w:t xml:space="preserve">Decision record: </w:t>
      </w:r>
      <w:r>
        <w:t>Owner: ____________________  Due: __________  Status: ☐ approve  ☐ revise  ☐ defer  ☐ stop  Next review: __________</w:t>
      </w:r>
    </w:p>
    <w:p>
      <w:r>
        <w:br w:type="page"/>
      </w:r>
    </w:p>
    <w:p>
      <w:pPr>
        <w:pStyle w:val="Heading3"/>
      </w:pPr>
      <w:r>
        <w:t>SOURCE REGISTER AND FINAL IMPLEMENTATION CONTROLS</w:t>
      </w:r>
    </w:p>
    <w:p>
      <w:pPr>
        <w:pStyle w:val="Heading1"/>
      </w:pPr>
      <w:r>
        <w:t>Evidence Base, Assumptions and Professional Review</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5328"/>
        <w:gridCol w:w="5328"/>
      </w:tblGrid>
      <w:tr>
        <w:tc>
          <w:tcPr>
            <w:tcW w:type="dxa" w:w="4752"/>
            <w:shd w:fill="16324F"/>
          </w:tcPr>
          <w:p>
            <w:pPr>
              <w:spacing w:after="0"/>
            </w:pPr>
            <w:r/>
            <w:r>
              <w:rPr>
                <w:rFonts w:ascii="Aptos" w:hAnsi="Aptos"/>
                <w:b/>
                <w:color w:val="FFFFFF"/>
                <w:sz w:val="14"/>
              </w:rPr>
              <w:t>Source / authority</w:t>
            </w:r>
          </w:p>
        </w:tc>
        <w:tc>
          <w:tcPr>
            <w:tcW w:type="dxa" w:w="5760"/>
            <w:shd w:fill="16324F"/>
          </w:tcPr>
          <w:p>
            <w:pPr>
              <w:spacing w:after="0"/>
            </w:pPr>
            <w:r/>
            <w:r>
              <w:rPr>
                <w:rFonts w:ascii="Aptos" w:hAnsi="Aptos"/>
                <w:b/>
                <w:color w:val="FFFFFF"/>
                <w:sz w:val="14"/>
              </w:rPr>
              <w:t>Use in plan</w:t>
            </w:r>
          </w:p>
        </w:tc>
      </w:tr>
      <w:tr>
        <w:tc>
          <w:tcPr>
            <w:tcW w:type="dxa" w:w="4752"/>
            <w:vAlign w:val="center"/>
          </w:tcPr>
          <w:p>
            <w:pPr>
              <w:spacing w:after="0"/>
            </w:pPr>
            <w:r/>
            <w:r>
              <w:rPr>
                <w:rFonts w:ascii="Aptos" w:hAnsi="Aptos"/>
                <w:b w:val="0"/>
                <w:color w:val="263238"/>
                <w:sz w:val="14"/>
              </w:rPr>
              <w:t>Wis. Stat. § 46.234, Recovery residences; registration</w:t>
            </w:r>
          </w:p>
        </w:tc>
        <w:tc>
          <w:tcPr>
            <w:tcW w:type="dxa" w:w="5760"/>
            <w:vAlign w:val="center"/>
          </w:tcPr>
          <w:p>
            <w:pPr>
              <w:spacing w:after="0"/>
            </w:pPr>
            <w:r/>
            <w:r>
              <w:rPr>
                <w:rFonts w:ascii="Aptos" w:hAnsi="Aptos"/>
                <w:b w:val="0"/>
                <w:color w:val="263238"/>
                <w:sz w:val="14"/>
              </w:rPr>
              <w:t>https://docs.legis.wisconsin.gov/statutes/statutes/46/ii/234</w:t>
            </w:r>
          </w:p>
        </w:tc>
      </w:tr>
      <w:tr>
        <w:tc>
          <w:tcPr>
            <w:tcW w:type="dxa" w:w="4752"/>
            <w:shd w:fill="F3F6F8"/>
            <w:vAlign w:val="center"/>
          </w:tcPr>
          <w:p>
            <w:pPr>
              <w:spacing w:after="0"/>
            </w:pPr>
            <w:r/>
            <w:r>
              <w:rPr>
                <w:rFonts w:ascii="Aptos" w:hAnsi="Aptos"/>
                <w:b w:val="0"/>
                <w:color w:val="263238"/>
                <w:sz w:val="14"/>
              </w:rPr>
              <w:t>Wisconsin DHS Recovery Residence Registry</w:t>
            </w:r>
          </w:p>
        </w:tc>
        <w:tc>
          <w:tcPr>
            <w:tcW w:type="dxa" w:w="5760"/>
            <w:shd w:fill="F3F6F8"/>
            <w:vAlign w:val="center"/>
          </w:tcPr>
          <w:p>
            <w:pPr>
              <w:spacing w:after="0"/>
            </w:pPr>
            <w:r/>
            <w:r>
              <w:rPr>
                <w:rFonts w:ascii="Aptos" w:hAnsi="Aptos"/>
                <w:b w:val="0"/>
                <w:color w:val="263238"/>
                <w:sz w:val="14"/>
              </w:rPr>
              <w:t>https://www.dhs.wisconsin.gov/regulations/recovery-registry.htm</w:t>
            </w:r>
          </w:p>
        </w:tc>
      </w:tr>
      <w:tr>
        <w:tc>
          <w:tcPr>
            <w:tcW w:type="dxa" w:w="4752"/>
            <w:vAlign w:val="center"/>
          </w:tcPr>
          <w:p>
            <w:pPr>
              <w:spacing w:after="0"/>
            </w:pPr>
            <w:r/>
            <w:r>
              <w:rPr>
                <w:rFonts w:ascii="Aptos" w:hAnsi="Aptos"/>
                <w:b w:val="0"/>
                <w:color w:val="263238"/>
                <w:sz w:val="14"/>
              </w:rPr>
              <w:t>NARR National Standard 3.0 Compendium</w:t>
            </w:r>
          </w:p>
        </w:tc>
        <w:tc>
          <w:tcPr>
            <w:tcW w:type="dxa" w:w="5760"/>
            <w:vAlign w:val="center"/>
          </w:tcPr>
          <w:p>
            <w:pPr>
              <w:spacing w:after="0"/>
            </w:pPr>
            <w:r/>
            <w:r>
              <w:rPr>
                <w:rFonts w:ascii="Aptos" w:hAnsi="Aptos"/>
                <w:b w:val="0"/>
                <w:color w:val="263238"/>
                <w:sz w:val="14"/>
              </w:rPr>
              <w:t>Supplied file: NARR-National-Standard-3.0-Compendium(1).pdf</w:t>
            </w:r>
          </w:p>
        </w:tc>
      </w:tr>
      <w:tr>
        <w:tc>
          <w:tcPr>
            <w:tcW w:type="dxa" w:w="4752"/>
            <w:shd w:fill="F3F6F8"/>
            <w:vAlign w:val="center"/>
          </w:tcPr>
          <w:p>
            <w:pPr>
              <w:spacing w:after="0"/>
            </w:pPr>
            <w:r/>
            <w:r>
              <w:rPr>
                <w:rFonts w:ascii="Aptos" w:hAnsi="Aptos"/>
                <w:b w:val="0"/>
                <w:color w:val="263238"/>
                <w:sz w:val="14"/>
              </w:rPr>
              <w:t>SAMHSA, Recovery and Recovery Support</w:t>
            </w:r>
          </w:p>
        </w:tc>
        <w:tc>
          <w:tcPr>
            <w:tcW w:type="dxa" w:w="5760"/>
            <w:shd w:fill="F3F6F8"/>
            <w:vAlign w:val="center"/>
          </w:tcPr>
          <w:p>
            <w:pPr>
              <w:spacing w:after="0"/>
            </w:pPr>
            <w:r/>
            <w:r>
              <w:rPr>
                <w:rFonts w:ascii="Aptos" w:hAnsi="Aptos"/>
                <w:b w:val="0"/>
                <w:color w:val="263238"/>
                <w:sz w:val="14"/>
              </w:rPr>
              <w:t>https://www.samhsa.gov/substance-use/recovery</w:t>
            </w:r>
          </w:p>
        </w:tc>
      </w:tr>
      <w:tr>
        <w:tc>
          <w:tcPr>
            <w:tcW w:type="dxa" w:w="4752"/>
            <w:vAlign w:val="center"/>
          </w:tcPr>
          <w:p>
            <w:pPr>
              <w:spacing w:after="0"/>
            </w:pPr>
            <w:r/>
            <w:r>
              <w:rPr>
                <w:rFonts w:ascii="Aptos" w:hAnsi="Aptos"/>
                <w:b w:val="0"/>
                <w:color w:val="263238"/>
                <w:sz w:val="14"/>
              </w:rPr>
              <w:t>HUD/DOJ Joint Statement on Group Homes and Local Land Use</w:t>
            </w:r>
          </w:p>
        </w:tc>
        <w:tc>
          <w:tcPr>
            <w:tcW w:type="dxa" w:w="5760"/>
            <w:vAlign w:val="center"/>
          </w:tcPr>
          <w:p>
            <w:pPr>
              <w:spacing w:after="0"/>
            </w:pPr>
            <w:r/>
            <w:r>
              <w:rPr>
                <w:rFonts w:ascii="Aptos" w:hAnsi="Aptos"/>
                <w:b w:val="0"/>
                <w:color w:val="263238"/>
                <w:sz w:val="14"/>
              </w:rPr>
              <w:t>https://www.justice.gov/crt/joint-statement-department-justice-and-department-housing-and-urban-development</w:t>
            </w:r>
          </w:p>
        </w:tc>
      </w:tr>
      <w:tr>
        <w:tc>
          <w:tcPr>
            <w:tcW w:type="dxa" w:w="4752"/>
            <w:shd w:fill="F3F6F8"/>
            <w:vAlign w:val="center"/>
          </w:tcPr>
          <w:p>
            <w:pPr>
              <w:spacing w:after="0"/>
            </w:pPr>
            <w:r/>
            <w:r>
              <w:rPr>
                <w:rFonts w:ascii="Aptos" w:hAnsi="Aptos"/>
                <w:b w:val="0"/>
                <w:color w:val="263238"/>
                <w:sz w:val="14"/>
              </w:rPr>
              <w:t>Wis. Stat. § 942.08, Invasion of privacy</w:t>
            </w:r>
          </w:p>
        </w:tc>
        <w:tc>
          <w:tcPr>
            <w:tcW w:type="dxa" w:w="5760"/>
            <w:shd w:fill="F3F6F8"/>
            <w:vAlign w:val="center"/>
          </w:tcPr>
          <w:p>
            <w:pPr>
              <w:spacing w:after="0"/>
            </w:pPr>
            <w:r/>
            <w:r>
              <w:rPr>
                <w:rFonts w:ascii="Aptos" w:hAnsi="Aptos"/>
                <w:b w:val="0"/>
                <w:color w:val="263238"/>
                <w:sz w:val="14"/>
              </w:rPr>
              <w:t>https://docs.legis.wisconsin.gov/statutes/statutes/942/08</w:t>
            </w:r>
          </w:p>
        </w:tc>
      </w:tr>
      <w:tr>
        <w:tc>
          <w:tcPr>
            <w:tcW w:type="dxa" w:w="4752"/>
            <w:vAlign w:val="center"/>
          </w:tcPr>
          <w:p>
            <w:pPr>
              <w:spacing w:after="0"/>
            </w:pPr>
            <w:r/>
            <w:r>
              <w:rPr>
                <w:rFonts w:ascii="Aptos" w:hAnsi="Aptos"/>
                <w:b w:val="0"/>
                <w:color w:val="263238"/>
                <w:sz w:val="14"/>
              </w:rPr>
              <w:t>CDC/NIOSH, Shift Work and Long Work Hours</w:t>
            </w:r>
          </w:p>
        </w:tc>
        <w:tc>
          <w:tcPr>
            <w:tcW w:type="dxa" w:w="5760"/>
            <w:vAlign w:val="center"/>
          </w:tcPr>
          <w:p>
            <w:pPr>
              <w:spacing w:after="0"/>
            </w:pPr>
            <w:r/>
            <w:r>
              <w:rPr>
                <w:rFonts w:ascii="Aptos" w:hAnsi="Aptos"/>
                <w:b w:val="0"/>
                <w:color w:val="263238"/>
                <w:sz w:val="14"/>
              </w:rPr>
              <w:t>https://www.cdc.gov/niosh/work-hour-training-for-nurses/longhours/</w:t>
            </w:r>
          </w:p>
        </w:tc>
      </w:tr>
      <w:tr>
        <w:tc>
          <w:tcPr>
            <w:tcW w:type="dxa" w:w="4752"/>
            <w:shd w:fill="F3F6F8"/>
            <w:vAlign w:val="center"/>
          </w:tcPr>
          <w:p>
            <w:pPr>
              <w:spacing w:after="0"/>
            </w:pPr>
            <w:r/>
            <w:r>
              <w:rPr>
                <w:rFonts w:ascii="Aptos" w:hAnsi="Aptos"/>
                <w:b w:val="0"/>
                <w:color w:val="263238"/>
                <w:sz w:val="14"/>
              </w:rPr>
              <w:t>Green Bay rent benchmark - Zumper, Aug. 2026 median $1,099</w:t>
            </w:r>
          </w:p>
        </w:tc>
        <w:tc>
          <w:tcPr>
            <w:tcW w:type="dxa" w:w="5760"/>
            <w:shd w:fill="F3F6F8"/>
            <w:vAlign w:val="center"/>
          </w:tcPr>
          <w:p>
            <w:pPr>
              <w:spacing w:after="0"/>
            </w:pPr>
            <w:r/>
            <w:r>
              <w:rPr>
                <w:rFonts w:ascii="Aptos" w:hAnsi="Aptos"/>
                <w:b w:val="0"/>
                <w:color w:val="263238"/>
                <w:sz w:val="14"/>
              </w:rPr>
              <w:t>https://www.zumper.com/rent-research/green-bay-wi</w:t>
            </w:r>
          </w:p>
        </w:tc>
      </w:tr>
      <w:tr>
        <w:tc>
          <w:tcPr>
            <w:tcW w:type="dxa" w:w="4752"/>
            <w:vAlign w:val="center"/>
          </w:tcPr>
          <w:p>
            <w:pPr>
              <w:spacing w:after="0"/>
            </w:pPr>
            <w:r/>
            <w:r>
              <w:rPr>
                <w:rFonts w:ascii="Aptos" w:hAnsi="Aptos"/>
                <w:b w:val="0"/>
                <w:color w:val="263238"/>
                <w:sz w:val="14"/>
              </w:rPr>
              <w:t>Green Bay rent benchmark - Rent.com, 2026: studio $799; 1BR $960; 2BR $1,220</w:t>
            </w:r>
          </w:p>
        </w:tc>
        <w:tc>
          <w:tcPr>
            <w:tcW w:type="dxa" w:w="5760"/>
            <w:vAlign w:val="center"/>
          </w:tcPr>
          <w:p>
            <w:pPr>
              <w:spacing w:after="0"/>
            </w:pPr>
            <w:r/>
            <w:r>
              <w:rPr>
                <w:rFonts w:ascii="Aptos" w:hAnsi="Aptos"/>
                <w:b w:val="0"/>
                <w:color w:val="263238"/>
                <w:sz w:val="14"/>
              </w:rPr>
              <w:t>https://www.rent.com/wisconsin/green-bay-apartments/rent-trends</w:t>
            </w:r>
          </w:p>
        </w:tc>
      </w:tr>
      <w:tr>
        <w:tc>
          <w:tcPr>
            <w:tcW w:type="dxa" w:w="4752"/>
            <w:shd w:fill="F3F6F8"/>
            <w:vAlign w:val="center"/>
          </w:tcPr>
          <w:p>
            <w:pPr>
              <w:spacing w:after="0"/>
            </w:pPr>
            <w:r/>
            <w:r>
              <w:rPr>
                <w:rFonts w:ascii="Aptos" w:hAnsi="Aptos"/>
                <w:b w:val="0"/>
                <w:color w:val="263238"/>
                <w:sz w:val="14"/>
              </w:rPr>
              <w:t>Wisconsin DHS Opioid Settlement Funds</w:t>
            </w:r>
          </w:p>
        </w:tc>
        <w:tc>
          <w:tcPr>
            <w:tcW w:type="dxa" w:w="5760"/>
            <w:shd w:fill="F3F6F8"/>
            <w:vAlign w:val="center"/>
          </w:tcPr>
          <w:p>
            <w:pPr>
              <w:spacing w:after="0"/>
            </w:pPr>
            <w:r/>
            <w:r>
              <w:rPr>
                <w:rFonts w:ascii="Aptos" w:hAnsi="Aptos"/>
                <w:b w:val="0"/>
                <w:color w:val="263238"/>
                <w:sz w:val="14"/>
              </w:rPr>
              <w:t>https://www.dhs.wisconsin.gov/opioids/settlement-funds.htm</w:t>
            </w:r>
          </w:p>
        </w:tc>
      </w:tr>
      <w:tr>
        <w:tc>
          <w:tcPr>
            <w:tcW w:type="dxa" w:w="4752"/>
            <w:vAlign w:val="center"/>
          </w:tcPr>
          <w:p>
            <w:pPr>
              <w:spacing w:after="0"/>
            </w:pPr>
            <w:r/>
            <w:r>
              <w:rPr>
                <w:rFonts w:ascii="Aptos" w:hAnsi="Aptos"/>
                <w:b w:val="0"/>
                <w:color w:val="263238"/>
                <w:sz w:val="14"/>
              </w:rPr>
              <w:t>SAMHSA BRSS TACS Peer-Run Organization Toolkit</w:t>
            </w:r>
          </w:p>
        </w:tc>
        <w:tc>
          <w:tcPr>
            <w:tcW w:type="dxa" w:w="5760"/>
            <w:vAlign w:val="center"/>
          </w:tcPr>
          <w:p>
            <w:pPr>
              <w:spacing w:after="0"/>
            </w:pPr>
            <w:r/>
            <w:r>
              <w:rPr>
                <w:rFonts w:ascii="Aptos" w:hAnsi="Aptos"/>
                <w:b w:val="0"/>
                <w:color w:val="263238"/>
                <w:sz w:val="14"/>
              </w:rPr>
              <w:t>Supplied file: brss-102-c4-Toolkit-v24.pdf</w:t>
            </w:r>
          </w:p>
        </w:tc>
      </w:tr>
      <w:tr>
        <w:tc>
          <w:tcPr>
            <w:tcW w:type="dxa" w:w="4752"/>
            <w:shd w:fill="F3F6F8"/>
            <w:vAlign w:val="center"/>
          </w:tcPr>
          <w:p>
            <w:pPr>
              <w:spacing w:after="0"/>
            </w:pPr>
            <w:r/>
            <w:r>
              <w:rPr>
                <w:rFonts w:ascii="Aptos" w:hAnsi="Aptos"/>
                <w:b w:val="0"/>
                <w:color w:val="263238"/>
                <w:sz w:val="14"/>
              </w:rPr>
              <w:t>Hope, Faith &amp; Recovery Toolkit (2023)</w:t>
            </w:r>
          </w:p>
        </w:tc>
        <w:tc>
          <w:tcPr>
            <w:tcW w:type="dxa" w:w="5760"/>
            <w:shd w:fill="F3F6F8"/>
            <w:vAlign w:val="center"/>
          </w:tcPr>
          <w:p>
            <w:pPr>
              <w:spacing w:after="0"/>
            </w:pPr>
            <w:r/>
            <w:r>
              <w:rPr>
                <w:rFonts w:ascii="Aptos" w:hAnsi="Aptos"/>
                <w:b w:val="0"/>
                <w:color w:val="263238"/>
                <w:sz w:val="14"/>
              </w:rPr>
              <w:t>Supplied file: HopeFaithRecovery2023EditionFinal.pdf</w:t>
            </w:r>
          </w:p>
        </w:tc>
      </w:tr>
      <w:tr>
        <w:tc>
          <w:tcPr>
            <w:tcW w:type="dxa" w:w="4752"/>
            <w:vAlign w:val="center"/>
          </w:tcPr>
          <w:p>
            <w:pPr>
              <w:spacing w:after="0"/>
            </w:pPr>
            <w:r/>
            <w:r>
              <w:rPr>
                <w:rFonts w:ascii="Aptos" w:hAnsi="Aptos"/>
                <w:b w:val="0"/>
                <w:color w:val="263238"/>
                <w:sz w:val="14"/>
              </w:rPr>
              <w:t>Faith-Based Rural Recovery Housing and Supports</w:t>
            </w:r>
          </w:p>
        </w:tc>
        <w:tc>
          <w:tcPr>
            <w:tcW w:type="dxa" w:w="5760"/>
            <w:vAlign w:val="center"/>
          </w:tcPr>
          <w:p>
            <w:pPr>
              <w:spacing w:after="0"/>
            </w:pPr>
            <w:r/>
            <w:r>
              <w:rPr>
                <w:rFonts w:ascii="Aptos" w:hAnsi="Aptos"/>
                <w:b w:val="0"/>
                <w:color w:val="263238"/>
                <w:sz w:val="14"/>
              </w:rPr>
              <w:t>Supplied file: Faith-Based-Rural-Recovery-Hosing-and-Spports.pdf</w:t>
            </w:r>
          </w:p>
        </w:tc>
      </w:tr>
      <w:tr>
        <w:tc>
          <w:tcPr>
            <w:tcW w:type="dxa" w:w="4752"/>
            <w:shd w:fill="F3F6F8"/>
            <w:vAlign w:val="center"/>
          </w:tcPr>
          <w:p>
            <w:pPr>
              <w:spacing w:after="0"/>
            </w:pPr>
            <w:r/>
            <w:r>
              <w:rPr>
                <w:rFonts w:ascii="Aptos" w:hAnsi="Aptos"/>
                <w:b w:val="0"/>
                <w:color w:val="263238"/>
                <w:sz w:val="14"/>
              </w:rPr>
              <w:t>FCC Faith-Based Toolkit (2021)</w:t>
            </w:r>
          </w:p>
        </w:tc>
        <w:tc>
          <w:tcPr>
            <w:tcW w:type="dxa" w:w="5760"/>
            <w:shd w:fill="F3F6F8"/>
            <w:vAlign w:val="center"/>
          </w:tcPr>
          <w:p>
            <w:pPr>
              <w:spacing w:after="0"/>
            </w:pPr>
            <w:r/>
            <w:r>
              <w:rPr>
                <w:rFonts w:ascii="Aptos" w:hAnsi="Aptos"/>
                <w:b w:val="0"/>
                <w:color w:val="263238"/>
                <w:sz w:val="14"/>
              </w:rPr>
              <w:t>Supplied file: FCC_Faith-Based-Toolkit_2021.pdf</w:t>
            </w:r>
          </w:p>
        </w:tc>
      </w:tr>
    </w:tbl>
    <w:p>
      <w:pPr>
        <w:pStyle w:val="ListBullet"/>
        <w:spacing w:after="40" w:line="240" w:lineRule="auto"/>
      </w:pPr>
      <w:r>
        <w:rPr>
          <w:rFonts w:ascii="Aptos" w:hAnsi="Aptos"/>
          <w:color w:val="263238"/>
          <w:sz w:val="16"/>
        </w:rPr>
        <w:t>Remaining planning modules incorporated by reference for board work sessions: Incident Form; Website Copy Approval; Opening-Day Checklist.</w:t>
      </w:r>
    </w:p>
    <w:p>
      <w:pPr>
        <w:pStyle w:val="ListBullet"/>
        <w:spacing w:after="40" w:line="240" w:lineRule="auto"/>
      </w:pPr>
      <w:r>
        <w:rPr>
          <w:rFonts w:ascii="Aptos" w:hAnsi="Aptos"/>
          <w:color w:val="263238"/>
          <w:sz w:val="16"/>
        </w:rPr>
        <w:t>Every numeric input is an initial planning assumption until supported by a quote, appraisal, executed agreement, public award, or operating history.</w:t>
      </w:r>
    </w:p>
    <w:p>
      <w:pPr>
        <w:pStyle w:val="ListBullet"/>
        <w:spacing w:after="40" w:line="240" w:lineRule="auto"/>
      </w:pPr>
      <w:r>
        <w:rPr>
          <w:rFonts w:ascii="Aptos" w:hAnsi="Aptos"/>
          <w:color w:val="263238"/>
          <w:sz w:val="16"/>
        </w:rPr>
        <w:t>The board should update this manual at acquisition, 30 days before opening, 90 days after opening, and annually.</w:t>
      </w:r>
    </w:p>
    <w:p>
      <w:pPr>
        <w:pStyle w:val="Heading2"/>
      </w:pPr>
      <w:r>
        <w:t>Final assumption register</w:t>
      </w:r>
    </w:p>
    <w:tbl>
      <w:tblPr>
        <w:tblW w:type="auto" w:w="0"/>
        <w:jc w:val="center"/>
        <w:tblLayout w:type="fixed"/>
        <w:tblLook w:firstColumn="1" w:firstRow="1" w:lastColumn="0" w:lastRow="0" w:noHBand="0" w:noVBand="1" w:val="04A0"/>
        <w:tblBorders>
          <w:top w:val="single" w:sz="4" w:color="C9D3D9"/>
          <w:left w:val="single" w:sz="4" w:color="C9D3D9"/>
          <w:bottom w:val="single" w:sz="4" w:color="C9D3D9"/>
          <w:right w:val="single" w:sz="4" w:color="C9D3D9"/>
          <w:insideH w:val="single" w:sz="4" w:color="C9D3D9"/>
          <w:insideV w:val="single" w:sz="4" w:color="C9D3D9"/>
        </w:tblBorders>
      </w:tblPr>
      <w:tblGrid>
        <w:gridCol w:w="3552"/>
        <w:gridCol w:w="3552"/>
        <w:gridCol w:w="3552"/>
      </w:tblGrid>
      <w:tr>
        <w:tc>
          <w:tcPr>
            <w:tcW w:type="dxa" w:w="3672"/>
            <w:shd w:fill="16324F"/>
          </w:tcPr>
          <w:p>
            <w:pPr>
              <w:spacing w:after="0"/>
            </w:pPr>
            <w:r/>
            <w:r>
              <w:rPr>
                <w:rFonts w:ascii="Aptos" w:hAnsi="Aptos"/>
                <w:b/>
                <w:color w:val="FFFFFF"/>
                <w:sz w:val="14"/>
              </w:rPr>
              <w:t>Assumption to replace</w:t>
            </w:r>
          </w:p>
        </w:tc>
        <w:tc>
          <w:tcPr>
            <w:tcW w:type="dxa" w:w="5184"/>
            <w:shd w:fill="16324F"/>
          </w:tcPr>
          <w:p>
            <w:pPr>
              <w:spacing w:after="0"/>
            </w:pPr>
            <w:r/>
            <w:r>
              <w:rPr>
                <w:rFonts w:ascii="Aptos" w:hAnsi="Aptos"/>
                <w:b/>
                <w:color w:val="FFFFFF"/>
                <w:sz w:val="14"/>
              </w:rPr>
              <w:t>Required verification</w:t>
            </w:r>
          </w:p>
        </w:tc>
        <w:tc>
          <w:tcPr>
            <w:tcW w:type="dxa" w:w="1656"/>
            <w:shd w:fill="16324F"/>
          </w:tcPr>
          <w:p>
            <w:pPr>
              <w:spacing w:after="0"/>
            </w:pPr>
            <w:r/>
            <w:r>
              <w:rPr>
                <w:rFonts w:ascii="Aptos" w:hAnsi="Aptos"/>
                <w:b/>
                <w:color w:val="FFFFFF"/>
                <w:sz w:val="14"/>
              </w:rPr>
              <w:t>Deadline</w:t>
            </w:r>
          </w:p>
        </w:tc>
      </w:tr>
      <w:tr>
        <w:tc>
          <w:tcPr>
            <w:tcW w:type="dxa" w:w="3672"/>
            <w:vAlign w:val="center"/>
          </w:tcPr>
          <w:p>
            <w:pPr>
              <w:spacing w:after="0"/>
            </w:pPr>
            <w:r/>
            <w:r>
              <w:rPr>
                <w:rFonts w:ascii="Aptos" w:hAnsi="Aptos"/>
                <w:b w:val="0"/>
                <w:color w:val="263238"/>
                <w:sz w:val="14"/>
              </w:rPr>
              <w:t>Property price and exact parcels</w:t>
            </w:r>
          </w:p>
        </w:tc>
        <w:tc>
          <w:tcPr>
            <w:tcW w:type="dxa" w:w="5184"/>
            <w:vAlign w:val="center"/>
          </w:tcPr>
          <w:p>
            <w:pPr>
              <w:spacing w:after="0"/>
            </w:pPr>
            <w:r/>
            <w:r>
              <w:rPr>
                <w:rFonts w:ascii="Aptos" w:hAnsi="Aptos"/>
                <w:b w:val="0"/>
                <w:color w:val="263238"/>
                <w:sz w:val="14"/>
              </w:rPr>
              <w:t>Executed offer, appraisal, title and survey</w:t>
            </w:r>
          </w:p>
        </w:tc>
        <w:tc>
          <w:tcPr>
            <w:tcW w:type="dxa" w:w="1656"/>
            <w:vAlign w:val="center"/>
          </w:tcPr>
          <w:p>
            <w:pPr>
              <w:spacing w:after="0"/>
            </w:pPr>
            <w:r/>
            <w:r>
              <w:rPr>
                <w:rFonts w:ascii="Aptos" w:hAnsi="Aptos"/>
                <w:b w:val="0"/>
                <w:color w:val="263238"/>
                <w:sz w:val="14"/>
              </w:rPr>
              <w:t>Before offer contingency expires</w:t>
            </w:r>
          </w:p>
        </w:tc>
      </w:tr>
      <w:tr>
        <w:tc>
          <w:tcPr>
            <w:tcW w:type="dxa" w:w="3672"/>
            <w:shd w:fill="F3F6F8"/>
            <w:vAlign w:val="center"/>
          </w:tcPr>
          <w:p>
            <w:pPr>
              <w:spacing w:after="0"/>
            </w:pPr>
            <w:r/>
            <w:r>
              <w:rPr>
                <w:rFonts w:ascii="Aptos" w:hAnsi="Aptos"/>
                <w:b w:val="0"/>
                <w:color w:val="263238"/>
                <w:sz w:val="14"/>
              </w:rPr>
              <w:t>Zoning and lawful occupancy</w:t>
            </w:r>
          </w:p>
        </w:tc>
        <w:tc>
          <w:tcPr>
            <w:tcW w:type="dxa" w:w="5184"/>
            <w:shd w:fill="F3F6F8"/>
            <w:vAlign w:val="center"/>
          </w:tcPr>
          <w:p>
            <w:pPr>
              <w:spacing w:after="0"/>
            </w:pPr>
            <w:r/>
            <w:r>
              <w:rPr>
                <w:rFonts w:ascii="Aptos" w:hAnsi="Aptos"/>
                <w:b w:val="0"/>
                <w:color w:val="263238"/>
                <w:sz w:val="14"/>
              </w:rPr>
              <w:t>Written municipal determination and counsel review</w:t>
            </w:r>
          </w:p>
        </w:tc>
        <w:tc>
          <w:tcPr>
            <w:tcW w:type="dxa" w:w="1656"/>
            <w:shd w:fill="F3F6F8"/>
            <w:vAlign w:val="center"/>
          </w:tcPr>
          <w:p>
            <w:pPr>
              <w:spacing w:after="0"/>
            </w:pPr>
            <w:r/>
            <w:r>
              <w:rPr>
                <w:rFonts w:ascii="Aptos" w:hAnsi="Aptos"/>
                <w:b w:val="0"/>
                <w:color w:val="263238"/>
                <w:sz w:val="14"/>
              </w:rPr>
              <w:t>Before nonrefundable commitment</w:t>
            </w:r>
          </w:p>
        </w:tc>
      </w:tr>
      <w:tr>
        <w:tc>
          <w:tcPr>
            <w:tcW w:type="dxa" w:w="3672"/>
            <w:vAlign w:val="center"/>
          </w:tcPr>
          <w:p>
            <w:pPr>
              <w:spacing w:after="0"/>
            </w:pPr>
            <w:r/>
            <w:r>
              <w:rPr>
                <w:rFonts w:ascii="Aptos" w:hAnsi="Aptos"/>
                <w:b w:val="0"/>
                <w:color w:val="263238"/>
                <w:sz w:val="14"/>
              </w:rPr>
              <w:t>Bed and family-unit capacity</w:t>
            </w:r>
          </w:p>
        </w:tc>
        <w:tc>
          <w:tcPr>
            <w:tcW w:type="dxa" w:w="5184"/>
            <w:vAlign w:val="center"/>
          </w:tcPr>
          <w:p>
            <w:pPr>
              <w:spacing w:after="0"/>
            </w:pPr>
            <w:r/>
            <w:r>
              <w:rPr>
                <w:rFonts w:ascii="Aptos" w:hAnsi="Aptos"/>
                <w:b w:val="0"/>
                <w:color w:val="263238"/>
                <w:sz w:val="14"/>
              </w:rPr>
              <w:t>Architect/fire/occupancy analysis</w:t>
            </w:r>
          </w:p>
        </w:tc>
        <w:tc>
          <w:tcPr>
            <w:tcW w:type="dxa" w:w="1656"/>
            <w:vAlign w:val="center"/>
          </w:tcPr>
          <w:p>
            <w:pPr>
              <w:spacing w:after="0"/>
            </w:pPr>
            <w:r/>
            <w:r>
              <w:rPr>
                <w:rFonts w:ascii="Aptos" w:hAnsi="Aptos"/>
                <w:b w:val="0"/>
                <w:color w:val="263238"/>
                <w:sz w:val="14"/>
              </w:rPr>
              <w:t>Before final underwriting</w:t>
            </w:r>
          </w:p>
        </w:tc>
      </w:tr>
      <w:tr>
        <w:tc>
          <w:tcPr>
            <w:tcW w:type="dxa" w:w="3672"/>
            <w:shd w:fill="F3F6F8"/>
            <w:vAlign w:val="center"/>
          </w:tcPr>
          <w:p>
            <w:pPr>
              <w:spacing w:after="0"/>
            </w:pPr>
            <w:r/>
            <w:r>
              <w:rPr>
                <w:rFonts w:ascii="Aptos" w:hAnsi="Aptos"/>
                <w:b w:val="0"/>
                <w:color w:val="263238"/>
                <w:sz w:val="14"/>
              </w:rPr>
              <w:t>Debt terms</w:t>
            </w:r>
          </w:p>
        </w:tc>
        <w:tc>
          <w:tcPr>
            <w:tcW w:type="dxa" w:w="5184"/>
            <w:shd w:fill="F3F6F8"/>
            <w:vAlign w:val="center"/>
          </w:tcPr>
          <w:p>
            <w:pPr>
              <w:spacing w:after="0"/>
            </w:pPr>
            <w:r/>
            <w:r>
              <w:rPr>
                <w:rFonts w:ascii="Aptos" w:hAnsi="Aptos"/>
                <w:b w:val="0"/>
                <w:color w:val="263238"/>
                <w:sz w:val="14"/>
              </w:rPr>
              <w:t>Lender term sheet and amortization schedule</w:t>
            </w:r>
          </w:p>
        </w:tc>
        <w:tc>
          <w:tcPr>
            <w:tcW w:type="dxa" w:w="1656"/>
            <w:shd w:fill="F3F6F8"/>
            <w:vAlign w:val="center"/>
          </w:tcPr>
          <w:p>
            <w:pPr>
              <w:spacing w:after="0"/>
            </w:pPr>
            <w:r/>
            <w:r>
              <w:rPr>
                <w:rFonts w:ascii="Aptos" w:hAnsi="Aptos"/>
                <w:b w:val="0"/>
                <w:color w:val="263238"/>
                <w:sz w:val="14"/>
              </w:rPr>
              <w:t>Before board financing vote</w:t>
            </w:r>
          </w:p>
        </w:tc>
      </w:tr>
      <w:tr>
        <w:tc>
          <w:tcPr>
            <w:tcW w:type="dxa" w:w="3672"/>
            <w:vAlign w:val="center"/>
          </w:tcPr>
          <w:p>
            <w:pPr>
              <w:spacing w:after="0"/>
            </w:pPr>
            <w:r/>
            <w:r>
              <w:rPr>
                <w:rFonts w:ascii="Aptos" w:hAnsi="Aptos"/>
                <w:b w:val="0"/>
                <w:color w:val="263238"/>
                <w:sz w:val="14"/>
              </w:rPr>
              <w:t>Insurance availability</w:t>
            </w:r>
          </w:p>
        </w:tc>
        <w:tc>
          <w:tcPr>
            <w:tcW w:type="dxa" w:w="5184"/>
            <w:vAlign w:val="center"/>
          </w:tcPr>
          <w:p>
            <w:pPr>
              <w:spacing w:after="0"/>
            </w:pPr>
            <w:r/>
            <w:r>
              <w:rPr>
                <w:rFonts w:ascii="Aptos" w:hAnsi="Aptos"/>
                <w:b w:val="0"/>
                <w:color w:val="263238"/>
                <w:sz w:val="14"/>
              </w:rPr>
              <w:t>Binder identifying exclusions and overnight model</w:t>
            </w:r>
          </w:p>
        </w:tc>
        <w:tc>
          <w:tcPr>
            <w:tcW w:type="dxa" w:w="1656"/>
            <w:vAlign w:val="center"/>
          </w:tcPr>
          <w:p>
            <w:pPr>
              <w:spacing w:after="0"/>
            </w:pPr>
            <w:r/>
            <w:r>
              <w:rPr>
                <w:rFonts w:ascii="Aptos" w:hAnsi="Aptos"/>
                <w:b w:val="0"/>
                <w:color w:val="263238"/>
                <w:sz w:val="14"/>
              </w:rPr>
              <w:t>Before closing</w:t>
            </w:r>
          </w:p>
        </w:tc>
      </w:tr>
      <w:tr>
        <w:tc>
          <w:tcPr>
            <w:tcW w:type="dxa" w:w="3672"/>
            <w:shd w:fill="F3F6F8"/>
            <w:vAlign w:val="center"/>
          </w:tcPr>
          <w:p>
            <w:pPr>
              <w:spacing w:after="0"/>
            </w:pPr>
            <w:r/>
            <w:r>
              <w:rPr>
                <w:rFonts w:ascii="Aptos" w:hAnsi="Aptos"/>
                <w:b w:val="0"/>
                <w:color w:val="263238"/>
                <w:sz w:val="14"/>
              </w:rPr>
              <w:t>Resident pricing and demand</w:t>
            </w:r>
          </w:p>
        </w:tc>
        <w:tc>
          <w:tcPr>
            <w:tcW w:type="dxa" w:w="5184"/>
            <w:shd w:fill="F3F6F8"/>
            <w:vAlign w:val="center"/>
          </w:tcPr>
          <w:p>
            <w:pPr>
              <w:spacing w:after="0"/>
            </w:pPr>
            <w:r/>
            <w:r>
              <w:rPr>
                <w:rFonts w:ascii="Aptos" w:hAnsi="Aptos"/>
                <w:b w:val="0"/>
                <w:color w:val="263238"/>
                <w:sz w:val="14"/>
              </w:rPr>
              <w:t>Referral survey, waitlist and affordability review</w:t>
            </w:r>
          </w:p>
        </w:tc>
        <w:tc>
          <w:tcPr>
            <w:tcW w:type="dxa" w:w="1656"/>
            <w:shd w:fill="F3F6F8"/>
            <w:vAlign w:val="center"/>
          </w:tcPr>
          <w:p>
            <w:pPr>
              <w:spacing w:after="0"/>
            </w:pPr>
            <w:r/>
            <w:r>
              <w:rPr>
                <w:rFonts w:ascii="Aptos" w:hAnsi="Aptos"/>
                <w:b w:val="0"/>
                <w:color w:val="263238"/>
                <w:sz w:val="14"/>
              </w:rPr>
              <w:t>90 days before opening</w:t>
            </w:r>
          </w:p>
        </w:tc>
      </w:tr>
      <w:tr>
        <w:tc>
          <w:tcPr>
            <w:tcW w:type="dxa" w:w="3672"/>
            <w:vAlign w:val="center"/>
          </w:tcPr>
          <w:p>
            <w:pPr>
              <w:spacing w:after="0"/>
            </w:pPr>
            <w:r/>
            <w:r>
              <w:rPr>
                <w:rFonts w:ascii="Aptos" w:hAnsi="Aptos"/>
                <w:b w:val="0"/>
                <w:color w:val="263238"/>
                <w:sz w:val="14"/>
              </w:rPr>
              <w:t>Public and grant funding</w:t>
            </w:r>
          </w:p>
        </w:tc>
        <w:tc>
          <w:tcPr>
            <w:tcW w:type="dxa" w:w="5184"/>
            <w:vAlign w:val="center"/>
          </w:tcPr>
          <w:p>
            <w:pPr>
              <w:spacing w:after="0"/>
            </w:pPr>
            <w:r/>
            <w:r>
              <w:rPr>
                <w:rFonts w:ascii="Aptos" w:hAnsi="Aptos"/>
                <w:b w:val="0"/>
                <w:color w:val="263238"/>
                <w:sz w:val="14"/>
              </w:rPr>
              <w:t>Executed award; never treat an application as revenue</w:t>
            </w:r>
          </w:p>
        </w:tc>
        <w:tc>
          <w:tcPr>
            <w:tcW w:type="dxa" w:w="1656"/>
            <w:vAlign w:val="center"/>
          </w:tcPr>
          <w:p>
            <w:pPr>
              <w:spacing w:after="0"/>
            </w:pPr>
            <w:r/>
            <w:r>
              <w:rPr>
                <w:rFonts w:ascii="Aptos" w:hAnsi="Aptos"/>
                <w:b w:val="0"/>
                <w:color w:val="263238"/>
                <w:sz w:val="14"/>
              </w:rPr>
              <w:t>Before included in base case</w:t>
            </w:r>
          </w:p>
        </w:tc>
      </w:tr>
      <w:tr>
        <w:tc>
          <w:tcPr>
            <w:tcW w:type="dxa" w:w="3672"/>
            <w:shd w:fill="F3F6F8"/>
            <w:vAlign w:val="center"/>
          </w:tcPr>
          <w:p>
            <w:pPr>
              <w:spacing w:after="0"/>
            </w:pPr>
            <w:r/>
            <w:r>
              <w:rPr>
                <w:rFonts w:ascii="Aptos" w:hAnsi="Aptos"/>
                <w:b w:val="0"/>
                <w:color w:val="263238"/>
                <w:sz w:val="14"/>
              </w:rPr>
              <w:t>Staffing and on-call cost</w:t>
            </w:r>
          </w:p>
        </w:tc>
        <w:tc>
          <w:tcPr>
            <w:tcW w:type="dxa" w:w="5184"/>
            <w:shd w:fill="F3F6F8"/>
            <w:vAlign w:val="center"/>
          </w:tcPr>
          <w:p>
            <w:pPr>
              <w:spacing w:after="0"/>
            </w:pPr>
            <w:r/>
            <w:r>
              <w:rPr>
                <w:rFonts w:ascii="Aptos" w:hAnsi="Aptos"/>
                <w:b w:val="0"/>
                <w:color w:val="263238"/>
                <w:sz w:val="14"/>
              </w:rPr>
              <w:t>Wage quotes, payroll burden and scheduling test</w:t>
            </w:r>
          </w:p>
        </w:tc>
        <w:tc>
          <w:tcPr>
            <w:tcW w:type="dxa" w:w="1656"/>
            <w:shd w:fill="F3F6F8"/>
            <w:vAlign w:val="center"/>
          </w:tcPr>
          <w:p>
            <w:pPr>
              <w:spacing w:after="0"/>
            </w:pPr>
            <w:r/>
            <w:r>
              <w:rPr>
                <w:rFonts w:ascii="Aptos" w:hAnsi="Aptos"/>
                <w:b w:val="0"/>
                <w:color w:val="263238"/>
                <w:sz w:val="14"/>
              </w:rPr>
              <w:t>60 days before opening</w:t>
            </w:r>
          </w:p>
        </w:tc>
      </w:tr>
    </w:tbl>
    <w:p>
      <w:pPr>
        <w:spacing w:before="100"/>
      </w:pPr>
      <w:r>
        <w:rPr>
          <w:b/>
        </w:rPr>
        <w:t xml:space="preserve">Board certification: </w:t>
      </w:r>
      <w:r>
        <w:t>Chair ____________________  Treasurer ____________________  Date __________  Next annual review __________</w:t>
      </w:r>
    </w:p>
    <w:sectPr w:rsidR="00FC693F" w:rsidRPr="0006063C" w:rsidSect="00034616">
      <w:headerReference w:type="default" r:id="rId9"/>
      <w:footerReference w:type="default" r:id="rId10"/>
      <w:pgSz w:w="12240" w:h="15840"/>
      <w:pgMar w:top="691" w:right="792" w:bottom="691" w:left="792" w:header="288" w:footer="36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5747C"/>
        <w:sz w:val="14"/>
      </w:rPr>
      <w:t xml:space="preserve">Planning draft | August 2026 |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b/>
        <w:color w:val="3B8C88"/>
        <w:sz w:val="14"/>
      </w:rPr>
      <w:t>RESTORING HOPE MINISTRIES  |  THE 120 HOUSE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47" w:lineRule="auto"/>
    </w:pPr>
    <w:rPr>
      <w:rFonts w:ascii="Aptos" w:hAnsi="Aptos"/>
      <w:color w:val="263238"/>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100"/>
      <w:outlineLvl w:val="0"/>
    </w:pPr>
    <w:rPr>
      <w:rFonts w:asciiTheme="majorHAnsi" w:eastAsiaTheme="majorEastAsia" w:hAnsiTheme="majorHAnsi" w:cstheme="majorBidi" w:ascii="Aptos Display" w:hAnsi="Aptos Display"/>
      <w:b/>
      <w:bCs/>
      <w:color w:val="16324F"/>
      <w:sz w:val="36"/>
      <w:szCs w:val="28"/>
    </w:rPr>
  </w:style>
  <w:style w:type="paragraph" w:styleId="Heading2">
    <w:name w:val="heading 2"/>
    <w:basedOn w:val="Normal"/>
    <w:next w:val="Normal"/>
    <w:link w:val="Heading2Char"/>
    <w:uiPriority w:val="9"/>
    <w:unhideWhenUsed/>
    <w:qFormat/>
    <w:rsid w:val="00FC693F"/>
    <w:pPr>
      <w:keepNext/>
      <w:keepLines/>
      <w:spacing w:before="100" w:after="60"/>
      <w:outlineLvl w:val="1"/>
    </w:pPr>
    <w:rPr>
      <w:rFonts w:asciiTheme="majorHAnsi" w:eastAsiaTheme="majorEastAsia" w:hAnsiTheme="majorHAnsi" w:cstheme="majorBidi" w:ascii="Aptos Display" w:hAnsi="Aptos Display"/>
      <w:b/>
      <w:bCs/>
      <w:color w:val="1E6A8D"/>
      <w:sz w:val="24"/>
      <w:szCs w:val="26"/>
    </w:rPr>
  </w:style>
  <w:style w:type="paragraph" w:styleId="Heading3">
    <w:name w:val="heading 3"/>
    <w:basedOn w:val="Normal"/>
    <w:next w:val="Normal"/>
    <w:link w:val="Heading3Char"/>
    <w:uiPriority w:val="9"/>
    <w:unhideWhenUsed/>
    <w:qFormat/>
    <w:rsid w:val="00FC693F"/>
    <w:pPr>
      <w:keepNext/>
      <w:keepLines/>
      <w:spacing w:before="80" w:after="40"/>
      <w:outlineLvl w:val="2"/>
    </w:pPr>
    <w:rPr>
      <w:rFonts w:asciiTheme="majorHAnsi" w:eastAsiaTheme="majorEastAsia" w:hAnsiTheme="majorHAnsi" w:cstheme="majorBidi" w:ascii="Aptos Display" w:hAnsi="Aptos Display"/>
      <w:b/>
      <w:bCs/>
      <w:color w:val="3B8C88"/>
      <w:sz w:val="2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200" w:line="240" w:lineRule="auto" w:before="0"/>
      <w:contextualSpacing/>
    </w:pPr>
    <w:rPr>
      <w:rFonts w:asciiTheme="majorHAnsi" w:eastAsiaTheme="majorEastAsia" w:hAnsiTheme="majorHAnsi" w:cstheme="majorBidi" w:ascii="Aptos Display" w:hAnsi="Aptos Display"/>
      <w:b/>
      <w:color w:val="16324F"/>
      <w:spacing w:val="5"/>
      <w:kern w:val="28"/>
      <w:sz w:val="5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