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Rails</w:t>
      </w:r>
    </w:p>
    <w:p>
      <w:pPr>
        <w:pStyle w:val="Subtitle"/>
      </w:pPr>
      <w:r>
        <w:t xml:space="preserve">Protecting</w:t>
      </w:r>
      <w:r>
        <w:t xml:space="preserve"> </w:t>
      </w:r>
      <w:r>
        <w:t xml:space="preserve">Enterprise</w:t>
      </w:r>
      <w:r>
        <w:t xml:space="preserve"> </w:t>
      </w:r>
      <w:r>
        <w:t xml:space="preserve">Freedom</w:t>
      </w:r>
      <w:r>
        <w:t xml:space="preserve"> </w:t>
      </w:r>
      <w:r>
        <w:t xml:space="preserve">Within</w:t>
      </w:r>
      <w:r>
        <w:t xml:space="preserve"> </w:t>
      </w:r>
      <w:r>
        <w:t xml:space="preserve">Federated</w:t>
      </w:r>
      <w:r>
        <w:t xml:space="preserve"> </w:t>
      </w:r>
      <w:r>
        <w:t xml:space="preserve">Compliance</w:t>
      </w:r>
      <w:r>
        <w:t xml:space="preserve"> </w:t>
      </w:r>
      <w:r>
        <w:t xml:space="preserve">—</w:t>
      </w:r>
      <w:r>
        <w:t xml:space="preserve"> </w:t>
      </w:r>
      <w:r>
        <w:t xml:space="preserve">A</w:t>
      </w:r>
      <w:r>
        <w:t xml:space="preserve"> </w:t>
      </w:r>
      <w:r>
        <w:t xml:space="preserve">Policy</w:t>
      </w:r>
      <w:r>
        <w:t xml:space="preserve"> </w:t>
      </w:r>
      <w:r>
        <w:t xml:space="preserve">Brief</w:t>
      </w:r>
    </w:p>
    <w:p>
      <w:pPr>
        <w:pStyle w:val="Author"/>
      </w:pPr>
      <w:r>
        <w:t xml:space="preserve">African</w:t>
      </w:r>
      <w:r>
        <w:t xml:space="preserve"> </w:t>
      </w:r>
      <w:r>
        <w:t xml:space="preserve">Renaissance</w:t>
      </w:r>
      <w:r>
        <w:t xml:space="preserve"> </w:t>
      </w:r>
      <w:r>
        <w:t xml:space="preserve">Foundation</w:t>
      </w:r>
    </w:p>
    <w:p>
      <w:pPr>
        <w:pStyle w:val="Date"/>
      </w:pPr>
      <w:r>
        <w:t xml:space="preserve">March</w:t>
      </w:r>
      <w:r>
        <w:t xml:space="preserve"> </w:t>
      </w:r>
      <w:r>
        <w:t xml:space="preserve">2026</w:t>
      </w:r>
    </w:p>
    <w:bookmarkStart w:id="30" w:name="the-guardian-rails-policy-brief"/>
    <w:p>
      <w:pPr>
        <w:pStyle w:val="Heading1"/>
      </w:pPr>
      <w:r>
        <w:t xml:space="preserve">The Guardian Rails: Policy Brief</w:t>
      </w:r>
    </w:p>
    <w:bookmarkStart w:id="20" w:name="the-problem"/>
    <w:p>
      <w:pPr>
        <w:pStyle w:val="Heading2"/>
      </w:pPr>
      <w:r>
        <w:t xml:space="preserve">The Problem</w:t>
      </w:r>
    </w:p>
    <w:p>
      <w:pPr>
        <w:pStyle w:val="FirstParagraph"/>
      </w:pPr>
      <w:r>
        <w:t xml:space="preserve">Every federated economic system faces a foundational tension. The federation requires institutions of governance, compliance, and oversight to protect collective standards. Over time, those same institutions can constrain the enterprises they were designed to support. Governance standards designed to prevent corruption become procedural burdens. Compliance requirements accumulate into an architecture whose cumulative cost exceeds its protective value. An oversight body established to verify adherence to defined standards gradually expands its jurisdiction into territory that was never part of its mandate.</w:t>
      </w:r>
    </w:p>
    <w:p>
      <w:pPr>
        <w:pStyle w:val="BodyText"/>
      </w:pPr>
      <w:r>
        <w:t xml:space="preserve">This is not a theoretical concern. The Mondragon Corporation, the world’s largest cooperative federation (over 70,000 workers, €11 billion in annual sales), has experienced precisely this dynamic over the past two decades. In December 2022, two of its most successful industrial members, Ulma Group and Orona, voted by 81% and 70% respectively to leave the federation. Combined, they represented 13% of Mondragon’s workforce and 15% of its sales. Both cited</w:t>
      </w:r>
      <w:r>
        <w:t xml:space="preserve"> </w:t>
      </w:r>
      <w:r>
        <w:t xml:space="preserve">“</w:t>
      </w:r>
      <w:r>
        <w:t xml:space="preserve">pressure</w:t>
      </w:r>
      <w:r>
        <w:t xml:space="preserve">”</w:t>
      </w:r>
      <w:r>
        <w:t xml:space="preserve"> </w:t>
      </w:r>
      <w:r>
        <w:t xml:space="preserve">and</w:t>
      </w:r>
      <w:r>
        <w:t xml:space="preserve"> </w:t>
      </w:r>
      <w:r>
        <w:t xml:space="preserve">“</w:t>
      </w:r>
      <w:r>
        <w:t xml:space="preserve">interference</w:t>
      </w:r>
      <w:r>
        <w:t xml:space="preserve">”</w:t>
      </w:r>
      <w:r>
        <w:t xml:space="preserve"> </w:t>
      </w:r>
      <w:r>
        <w:t xml:space="preserve">from central governance structures. Both had first attempted to reform the governance model from within. That proposal was rejected. Having exhausted voice, they chose exit.</w:t>
      </w:r>
    </w:p>
    <w:p>
      <w:pPr>
        <w:pStyle w:val="BodyText"/>
      </w:pPr>
      <w:r>
        <w:t xml:space="preserve">By 2025, both departing cooperatives and the federation itself were thriving independently. The Spanish press described it as a</w:t>
      </w:r>
      <w:r>
        <w:t xml:space="preserve"> </w:t>
      </w:r>
      <w:r>
        <w:t xml:space="preserve">“</w:t>
      </w:r>
      <w:r>
        <w:t xml:space="preserve">happy divorce.</w:t>
      </w:r>
      <w:r>
        <w:t xml:space="preserve">”</w:t>
      </w:r>
      <w:r>
        <w:t xml:space="preserve"> </w:t>
      </w:r>
      <w:r>
        <w:t xml:space="preserve">But the federation permanently lost the voice and contribution of two of its most ambitious members. The productive tension their dissatisfaction represented was expelled from the system rather than channelled into reform.</w:t>
      </w:r>
    </w:p>
    <w:p>
      <w:pPr>
        <w:pStyle w:val="BodyText"/>
      </w:pPr>
      <w:r>
        <w:t xml:space="preserve">The Uganda Alliance Fund must learn from this experience and build the structural mechanisms that Mondragon did not construct in time.</w:t>
      </w:r>
    </w:p>
    <w:bookmarkEnd w:id="20"/>
    <w:bookmarkStart w:id="21" w:name="the-theoretical-framework"/>
    <w:p>
      <w:pPr>
        <w:pStyle w:val="Heading2"/>
      </w:pPr>
      <w:r>
        <w:t xml:space="preserve">The Theoretical Framework</w:t>
      </w:r>
    </w:p>
    <w:p>
      <w:pPr>
        <w:pStyle w:val="FirstParagraph"/>
      </w:pPr>
      <w:r>
        <w:t xml:space="preserve">Albert O. Hirschman’s 1970 framework of exit, voice, and loyalty provides the analytical spine for this paper’s proposals. When organisations deteriorate or when members become dissatisfied, they can exit (leave) or exercise voice (agitate for change from within). Loyalty retards exit and gives voice time to work, but only if voice mechanisms are credible. When voice mechanisms are absent or ineffective, the most capable members exit first, creating a brain drain that weakens the organisation’s capacity for self-correction.</w:t>
      </w:r>
    </w:p>
    <w:p>
      <w:pPr>
        <w:pStyle w:val="BodyText"/>
      </w:pPr>
      <w:r>
        <w:t xml:space="preserve">The three mechanisms proposed in this brief are constitutional voice mechanisms, designed to ensure that the UAF’s most productive members never face a binary choice between silent compliance and departure.</w:t>
      </w:r>
    </w:p>
    <w:bookmarkEnd w:id="21"/>
    <w:bookmarkStart w:id="22" w:name="the-evidence-base"/>
    <w:p>
      <w:pPr>
        <w:pStyle w:val="Heading2"/>
      </w:pPr>
      <w:r>
        <w:t xml:space="preserve">The Evidence Base</w:t>
      </w:r>
    </w:p>
    <w:p>
      <w:pPr>
        <w:pStyle w:val="FirstParagraph"/>
      </w:pPr>
      <w:r>
        <w:rPr>
          <w:bCs/>
          <w:b/>
        </w:rPr>
        <w:t xml:space="preserve">Compliance costs are material and rising.</w:t>
      </w:r>
      <w:r>
        <w:t xml:space="preserve"> </w:t>
      </w:r>
      <w:r>
        <w:t xml:space="preserve">An OECD Economics Department Working Paper published in January 2026 found that in the United States, the wage share devoted to compliance tasks rose from 4.0% in 2012 to 4.2% in 2024. In Europe, the equivalent indicator rose from 3.7% in 2011 to 3.9% in 2023. Econometric analysis found these increases are associated with a 0.5% decline in labour productivity and a 0.4 percentage point reduction in workers employed by young firms. The OECD’s December 2025 Economic Outlook called for a</w:t>
      </w:r>
      <w:r>
        <w:t xml:space="preserve"> </w:t>
      </w:r>
      <w:r>
        <w:t xml:space="preserve">“</w:t>
      </w:r>
      <w:r>
        <w:t xml:space="preserve">regulatory reset,</w:t>
      </w:r>
      <w:r>
        <w:t xml:space="preserve">”</w:t>
      </w:r>
      <w:r>
        <w:t xml:space="preserve"> </w:t>
      </w:r>
      <w:r>
        <w:t xml:space="preserve">noting that businesses now rank regulatory burden as their most significant challenge.</w:t>
      </w:r>
    </w:p>
    <w:p>
      <w:pPr>
        <w:pStyle w:val="BodyText"/>
      </w:pPr>
      <w:r>
        <w:rPr>
          <w:bCs/>
          <w:b/>
        </w:rPr>
        <w:t xml:space="preserve">The burden falls hardest on smaller enterprises.</w:t>
      </w:r>
      <w:r>
        <w:t xml:space="preserve"> </w:t>
      </w:r>
      <w:r>
        <w:t xml:space="preserve">A 2025 doctoral study of nearly 2,000 Ugandan SMEs, conducted with the Uganda Revenue Authority, found that smaller firms face compliance costs exceeding 20% of turnover, compared to less than 1% for the largest firms. Many small Ugandan firms spend more on completing their tax returns than they pay in actual tax. The IMF’s March 2026 analysis of South Africa found that regulatory burdens have nearly twice the impact on productivity for firms with fewer than 20 employees.</w:t>
      </w:r>
    </w:p>
    <w:p>
      <w:pPr>
        <w:pStyle w:val="BodyText"/>
      </w:pPr>
      <w:r>
        <w:rPr>
          <w:bCs/>
          <w:b/>
        </w:rPr>
        <w:t xml:space="preserve">Compliance bodies expand through informal interpretation, not formal mandate changes.</w:t>
      </w:r>
      <w:r>
        <w:t xml:space="preserve"> </w:t>
      </w:r>
      <w:r>
        <w:t xml:space="preserve">Patrick Dunleavy’s bureau-shaping model (1991) demonstrates that regulatory bodies expand their jurisdiction through intellectual capture and interpretive precedent rather than crude budget maximisation. In the UAF’s context, the realistic risk is the Inspectorate gradually coming to evaluate commercial decisions through the lens of compliance verification.</w:t>
      </w:r>
    </w:p>
    <w:p>
      <w:pPr>
        <w:pStyle w:val="BodyText"/>
      </w:pPr>
      <w:r>
        <w:rPr>
          <w:bCs/>
          <w:b/>
        </w:rPr>
        <w:t xml:space="preserve">The Mondragon experience provides three distinct lessons.</w:t>
      </w:r>
      <w:r>
        <w:t xml:space="preserve"> </w:t>
      </w:r>
      <w:r>
        <w:t xml:space="preserve">In 2008, Irizar and Ampo departed (early warning, unheeded). In 2013, Fagor Electrodomésticos collapsed with over €1 billion in debt, and the federation bore approximately €240 million in solidarity costs for a strategic failure it had no authority to prevent (intervention without authority). In December 2022, Ulma and Orona left after their governance reform proposal was rejected (voice failed, exit followed).</w:t>
      </w:r>
    </w:p>
    <w:bookmarkEnd w:id="22"/>
    <w:bookmarkStart w:id="26" w:name="the-three-mechanisms"/>
    <w:p>
      <w:pPr>
        <w:pStyle w:val="Heading2"/>
      </w:pPr>
      <w:r>
        <w:t xml:space="preserve">The Three Mechanisms</w:t>
      </w:r>
    </w:p>
    <w:bookmarkStart w:id="23" w:name="the-innovation-protection-clause"/>
    <w:p>
      <w:pPr>
        <w:pStyle w:val="Heading3"/>
      </w:pPr>
      <w:r>
        <w:t xml:space="preserve">1. The Innovation Protection Clause</w:t>
      </w:r>
    </w:p>
    <w:p>
      <w:pPr>
        <w:pStyle w:val="FirstParagraph"/>
      </w:pPr>
      <w:r>
        <w:t xml:space="preserve">An explicit constitutional provision embedded in the Federation Covenant:</w:t>
      </w:r>
    </w:p>
    <w:p>
      <w:pPr>
        <w:pStyle w:val="BodyText"/>
      </w:pPr>
      <w:r>
        <w:rPr>
          <w:iCs/>
          <w:i/>
        </w:rPr>
        <w:t xml:space="preserve">Compliance with governance standards, financial reporting requirements, staffing mandate trajectories, and social mandate delivery benchmarks does not authorise the Inspectorate or any federation body to direct, restrict, evaluate, or express institutional judgement upon the commercial strategy, product development, market positioning, technology adoption, pricing decisions, or operational methodology of any Clan Operating Company.</w:t>
      </w:r>
    </w:p>
    <w:p>
      <w:pPr>
        <w:pStyle w:val="BodyText"/>
      </w:pPr>
      <w:r>
        <w:t xml:space="preserve">The Clause is modelled on the subsidiarity principle as implemented in the German Basic Law (post-1994), where the Federal Constitutional Court exercises genuine review power over federal encroachment on Länder authority. The EU’s weaker subsidiarity regime, where the European Court of Justice consistently defers to the Commission’s discretion, provides a cautionary parallel: a constitutional boundary without effective enforcement is an aspiration, not a constraint.</w:t>
      </w:r>
    </w:p>
    <w:p>
      <w:pPr>
        <w:pStyle w:val="BodyText"/>
      </w:pPr>
      <w:r>
        <w:rPr>
          <w:bCs/>
          <w:b/>
        </w:rPr>
        <w:t xml:space="preserve">The Non-Bailout Parity Provision.</w:t>
      </w:r>
      <w:r>
        <w:t xml:space="preserve"> </w:t>
      </w:r>
      <w:r>
        <w:t xml:space="preserve">If the federation cannot direct commercial strategy, it does not underwrite commercial failure. The provision applies to equity injections and debt-servicing support. It does not apply to worker social protection. The commercial entity bears the consequences of its strategic choices. The workers remain protected by the federation’s social compact. This is the lesson of the Fagor collapse: the boundary must work in both directions.</w:t>
      </w:r>
    </w:p>
    <w:p>
      <w:pPr>
        <w:pStyle w:val="BodyText"/>
      </w:pPr>
      <w:r>
        <w:rPr>
          <w:bCs/>
          <w:b/>
        </w:rPr>
        <w:t xml:space="preserve">The Sovereignty Compromise.</w:t>
      </w:r>
      <w:r>
        <w:t xml:space="preserve"> </w:t>
      </w:r>
      <w:r>
        <w:t xml:space="preserve">The Clause functions as a retention strategy for the federation. It grants COCs the commercial autonomy they would seek through exit, while maintaining the financial solidarity and shared services that justify the federation’s existence. By removing the primary motivation for departure, it makes continued federation membership the dominant strategy for every rational actor, including the most successful.</w:t>
      </w:r>
    </w:p>
    <w:p>
      <w:pPr>
        <w:pStyle w:val="BodyText"/>
      </w:pPr>
      <w:r>
        <w:rPr>
          <w:bCs/>
          <w:b/>
        </w:rPr>
        <w:t xml:space="preserve">The Neutral Narrative Requirement.</w:t>
      </w:r>
      <w:r>
        <w:t xml:space="preserve"> </w:t>
      </w:r>
      <w:r>
        <w:t xml:space="preserve">Inspectorate compliance reports disclosing financial data must include the COC’s own Strategic Rationale. A Public Summary accompanies the published report on the transparency portal. A Confidential Strategic Detail, containing commercially sensitive information, is available only to the Competition Panel, the Clan Institution, and the Council of Clans in closed session. This prevents the Inspectorate’s transparency function from operating as an implicit commercial judgment while preserving information flow for the federation’s stakeholders.</w:t>
      </w:r>
    </w:p>
    <w:bookmarkEnd w:id="23"/>
    <w:bookmarkStart w:id="24" w:name="the-regulatory-burden-review-mechanism"/>
    <w:p>
      <w:pPr>
        <w:pStyle w:val="Heading3"/>
      </w:pPr>
      <w:r>
        <w:t xml:space="preserve">2. The Regulatory Burden Review Mechanism</w:t>
      </w:r>
    </w:p>
    <w:p>
      <w:pPr>
        <w:pStyle w:val="FirstParagraph"/>
      </w:pPr>
      <w:r>
        <w:t xml:space="preserve">A mandatory triennial assessment of the cumulative compliance burden on COCs, conducted by an independent assessor.</w:t>
      </w:r>
    </w:p>
    <w:p>
      <w:pPr>
        <w:pStyle w:val="BodyText"/>
      </w:pPr>
      <w:r>
        <w:rPr>
          <w:bCs/>
          <w:b/>
        </w:rPr>
        <w:t xml:space="preserve">Six tasks:</w:t>
      </w:r>
      <w:r>
        <w:t xml:space="preserve"> </w:t>
      </w:r>
      <w:r>
        <w:t xml:space="preserve">Measure compliance costs as a percentage of COC operating budgets (disaggregated by size and stage). Compare against the preceding review. Identify redundant, disproportionate, or duplicative requirements. Evaluate whether requirements achieve their governance objectives. Recommend simplifications. Conduct a confidential Cultural Health Survey measuring whether COC managers feel safe to exercise their constitutional protections.</w:t>
      </w:r>
    </w:p>
    <w:p>
      <w:pPr>
        <w:pStyle w:val="BodyText"/>
      </w:pPr>
      <w:r>
        <w:rPr>
          <w:bCs/>
          <w:b/>
        </w:rPr>
        <w:t xml:space="preserve">Tripartite appointment.</w:t>
      </w:r>
      <w:r>
        <w:t xml:space="preserve"> </w:t>
      </w:r>
      <w:r>
        <w:t xml:space="preserve">The UAF Board nominates a shortlist. The Council of Clans nominates a separate shortlist. A selection panel of independent professional members already serving within the federation’s governance structure makes the final appointment. This prevents capture by either the governors or the governed.</w:t>
      </w:r>
    </w:p>
    <w:p>
      <w:pPr>
        <w:pStyle w:val="BodyText"/>
      </w:pPr>
      <w:r>
        <w:rPr>
          <w:bCs/>
          <w:b/>
        </w:rPr>
        <w:t xml:space="preserve">The Emergency Burden Trigger.</w:t>
      </w:r>
      <w:r>
        <w:t xml:space="preserve"> </w:t>
      </w:r>
      <w:r>
        <w:t xml:space="preserve">If 15% of registered COCs petition that a specific requirement is creating an existential burden, the assessor must conduct a focused 90-day review. This provides rapid response between triennial cycles for acute cases.</w:t>
      </w:r>
    </w:p>
    <w:p>
      <w:pPr>
        <w:pStyle w:val="BodyText"/>
      </w:pPr>
      <w:r>
        <w:rPr>
          <w:bCs/>
          <w:b/>
        </w:rPr>
        <w:t xml:space="preserve">Value-weighted recommendations.</w:t>
      </w:r>
      <w:r>
        <w:t xml:space="preserve"> </w:t>
      </w:r>
      <w:r>
        <w:t xml:space="preserve">The assessor may simplify how a social mandate is measured without authorisation. Reducing the scope of monitoring requires Council of Clans approval. Eliminating the sole verification mechanism for a core Covenant objective is not permitted without proposing an alternative. The Review simplifies instruments, not objectives.</w:t>
      </w:r>
    </w:p>
    <w:p>
      <w:pPr>
        <w:pStyle w:val="BodyText"/>
      </w:pPr>
      <w:r>
        <w:rPr>
          <w:bCs/>
          <w:b/>
        </w:rPr>
        <w:t xml:space="preserve">Protected funding.</w:t>
      </w:r>
      <w:r>
        <w:t xml:space="preserve"> </w:t>
      </w:r>
      <w:r>
        <w:t xml:space="preserve">The Covenant specifies a minimum funding floor that the UAF Board cannot reduce without Council of Clans approval. A review that can be defunded by the body it scrutinises is not an independent review.</w:t>
      </w:r>
    </w:p>
    <w:p>
      <w:pPr>
        <w:pStyle w:val="BodyText"/>
      </w:pPr>
      <w:r>
        <w:rPr>
          <w:bCs/>
          <w:b/>
        </w:rPr>
        <w:t xml:space="preserve">Phased regulatory discipline.</w:t>
      </w:r>
      <w:r>
        <w:t xml:space="preserve"> </w:t>
      </w:r>
      <w:r>
        <w:t xml:space="preserve">The Canadian Red Tape Reduction Act’s one-for-one rule (legislated 2015, producing measurable net reductions in administrative burden every year since 2012) is a proven model, but it is a mature-state tool designed for systems with large stocks of accumulated regulation. The UAF should adopt the triennial review with Emergency Trigger in its early phases, and consider introducing one-for-one offset discipline as a Phase 3 objective once the compliance architecture has stabilised (typically after six to nine years).</w:t>
      </w:r>
    </w:p>
    <w:bookmarkEnd w:id="24"/>
    <w:bookmarkStart w:id="25" w:name="the-right-of-appeal-for-cocs"/>
    <w:p>
      <w:pPr>
        <w:pStyle w:val="Heading3"/>
      </w:pPr>
      <w:r>
        <w:t xml:space="preserve">3. The Right of Appeal for COCs</w:t>
      </w:r>
    </w:p>
    <w:p>
      <w:pPr>
        <w:pStyle w:val="FirstParagraph"/>
      </w:pPr>
      <w:r>
        <w:t xml:space="preserve">A formal process through which any COC may seek independent adjudication from the Competition Panel.</w:t>
      </w:r>
    </w:p>
    <w:p>
      <w:pPr>
        <w:pStyle w:val="BodyText"/>
      </w:pPr>
      <w:r>
        <w:rPr>
          <w:bCs/>
          <w:b/>
        </w:rPr>
        <w:t xml:space="preserve">Two-level architecture.</w:t>
      </w:r>
      <w:r>
        <w:t xml:space="preserve"> </w:t>
      </w:r>
      <w:r>
        <w:t xml:space="preserve">Level One: formal reconsideration by the Inspectorate (30-day mandatory response). Level Two: independent adjudication by the Competition Panel if the COC remains dissatisfied. The Panel’s determination is binding. Its authority is corrective and restraining, not directive: it can tell the Inspectorate what it cannot do, not what it must do.</w:t>
      </w:r>
    </w:p>
    <w:p>
      <w:pPr>
        <w:pStyle w:val="BodyText"/>
      </w:pPr>
      <w:r>
        <w:rPr>
          <w:bCs/>
          <w:b/>
        </w:rPr>
        <w:t xml:space="preserve">Cost-capping.</w:t>
      </w:r>
      <w:r>
        <w:t xml:space="preserve"> </w:t>
      </w:r>
      <w:r>
        <w:t xml:space="preserve">Fixed fee schedule affordable for early-stage COCs. General prohibition on adverse costs awards against losing appellants. Graduated legal assistance: federation-funded if the appeal succeeds, 50% reimbursable over 24 months if it fails in good faith, 100% reimbursable if found frivolous. COCs may engage independent counsel from outside the UAF ecosystem.</w:t>
      </w:r>
    </w:p>
    <w:p>
      <w:pPr>
        <w:pStyle w:val="BodyText"/>
      </w:pPr>
      <w:r>
        <w:rPr>
          <w:bCs/>
          <w:b/>
        </w:rPr>
        <w:t xml:space="preserve">Anti-retaliation.</w:t>
      </w:r>
      <w:r>
        <w:t xml:space="preserve"> </w:t>
      </w:r>
      <w:r>
        <w:t xml:space="preserve">Retaliatory conduct by Inspectorate personnel against an appellant COC constitutes grounds for disciplinary proceedings. The Competition Panel monitors interactions with appellant COCs for twelve months following appeal resolution. Modelled on the US FDIC framework established under the Riegle Act 1994.</w:t>
      </w:r>
    </w:p>
    <w:p>
      <w:pPr>
        <w:pStyle w:val="BodyText"/>
      </w:pPr>
      <w:r>
        <w:rPr>
          <w:bCs/>
          <w:b/>
        </w:rPr>
        <w:t xml:space="preserve">Two-category sunset clause.</w:t>
      </w:r>
      <w:r>
        <w:t xml:space="preserve"> </w:t>
      </w:r>
      <w:r>
        <w:t xml:space="preserve">When the Panel issues an interpretive ruling that expands the Inspectorate’s practical scope:</w:t>
      </w:r>
    </w:p>
    <w:p>
      <w:pPr>
        <w:numPr>
          <w:ilvl w:val="0"/>
          <w:numId w:val="1001"/>
        </w:numPr>
        <w:pStyle w:val="Compact"/>
      </w:pPr>
      <w:r>
        <w:rPr>
          <w:bCs/>
          <w:b/>
        </w:rPr>
        <w:t xml:space="preserve">Category A</w:t>
      </w:r>
      <w:r>
        <w:t xml:space="preserve"> </w:t>
      </w:r>
      <w:r>
        <w:t xml:space="preserve">(boundary between compliance and commercial direction): standard three-year sunset. The ruling lapses unless the Council of Clans votes to ratify it as a permanent Covenant amendment.</w:t>
      </w:r>
    </w:p>
    <w:p>
      <w:pPr>
        <w:numPr>
          <w:ilvl w:val="0"/>
          <w:numId w:val="1001"/>
        </w:numPr>
        <w:pStyle w:val="Compact"/>
      </w:pPr>
      <w:r>
        <w:rPr>
          <w:bCs/>
          <w:b/>
        </w:rPr>
        <w:t xml:space="preserve">Category B</w:t>
      </w:r>
      <w:r>
        <w:t xml:space="preserve"> </w:t>
      </w:r>
      <w:r>
        <w:t xml:space="preserve">(core protective functions: fraud prevention, financial integrity, anti-corruption): reverse sunset. The ruling persists unless the Council actively votes to repeal it.</w:t>
      </w:r>
    </w:p>
    <w:p>
      <w:pPr>
        <w:pStyle w:val="FirstParagraph"/>
      </w:pPr>
      <w:r>
        <w:t xml:space="preserve">This prevents both jurisdictional creep (through the Category A sunset) and governance voids (through the Category B reverse sunset).</w:t>
      </w:r>
    </w:p>
    <w:bookmarkEnd w:id="25"/>
    <w:bookmarkEnd w:id="26"/>
    <w:bookmarkStart w:id="27" w:name="how-the-three-mechanisms-interlock"/>
    <w:p>
      <w:pPr>
        <w:pStyle w:val="Heading2"/>
      </w:pPr>
      <w:r>
        <w:t xml:space="preserve">How the Three Mechanisms Interlock</w:t>
      </w:r>
    </w:p>
    <w:p>
      <w:pPr>
        <w:pStyle w:val="FirstParagraph"/>
      </w:pPr>
      <w:r>
        <w:t xml:space="preserve">The Innovation Protection Clause draws the jurisdictional boundary. Without the Regulatory Burden Review, the boundary is respected in type (no horizontal creep) but not in volume (vertical creep through accumulation of individually legitimate requirements). Without the Right of Appeal, neither mechanism has an enforcement process that individual COCs can activate.</w:t>
      </w:r>
    </w:p>
    <w:p>
      <w:pPr>
        <w:pStyle w:val="BodyText"/>
      </w:pPr>
      <w:r>
        <w:t xml:space="preserve">Together they constitute a comprehensive voice architecture. The Clause provides structural voice (constitutional text). The Review provides systemic voice (triennial measurement and evaluation). The Appeal provides individual voice (case-by-case adjudication). The Sovereignty Compromise operates across all three, making continued federation membership the rational choice by ensuring that the governance benefits of membership are never offset by governance costs that exceed what an independent enterprise would face.</w:t>
      </w:r>
    </w:p>
    <w:bookmarkEnd w:id="27"/>
    <w:bookmarkStart w:id="28" w:name="residual-risks"/>
    <w:p>
      <w:pPr>
        <w:pStyle w:val="Heading2"/>
      </w:pPr>
      <w:r>
        <w:t xml:space="preserve">Residual Risks</w:t>
      </w:r>
    </w:p>
    <w:p>
      <w:pPr>
        <w:pStyle w:val="FirstParagraph"/>
      </w:pPr>
      <w:r>
        <w:t xml:space="preserve">The mechanisms cannot substitute for institutional culture (the Cultural Health Survey measures this dimension). They cannot eliminate the asymmetry of institutional capacity between large and small COCs (the legal assistance mechanism and the Clan Enterprise Accelerator address this). They cannot resolve every boundary ambiguity (the Competition Panel adjudicates disputed cases). They cannot prevent the Council of Clans from operating as a political body subject to logrolling and bloc voting (the disaggregated cost measurement in the Review detects collusive expansion). They cannot address the competitive pressure from Uganda’s informal economy (the guardian rails reduce the compliance premium of formal operation, but the broader UAF value proposition must make formality economically superior to informality).</w:t>
      </w:r>
    </w:p>
    <w:bookmarkEnd w:id="28"/>
    <w:bookmarkStart w:id="29" w:name="recommendation"/>
    <w:p>
      <w:pPr>
        <w:pStyle w:val="Heading2"/>
      </w:pPr>
      <w:r>
        <w:t xml:space="preserve">Recommendation</w:t>
      </w:r>
    </w:p>
    <w:p>
      <w:pPr>
        <w:pStyle w:val="FirstParagraph"/>
      </w:pPr>
      <w:r>
        <w:t xml:space="preserve">The three mechanisms should be embedded in the Federation Covenant before the UAF’s compliance architecture begins to operate. Constitutional protections are easiest to establish when the threats they address have not yet materialised. Mondragon’s experience, spanning 2008 to 2025, demonstrates that governance tensions in federated systems are easier to prevent than to resolve.</w:t>
      </w:r>
    </w:p>
    <w:p>
      <w:pPr>
        <w:pStyle w:val="BodyText"/>
      </w:pPr>
      <w:r>
        <w:t xml:space="preserve">The guardian rails are not constraints on the federation’s ambition. They are the structural conditions that make sustainable ambition possible.</w:t>
      </w:r>
    </w:p>
    <w:p>
      <w:r>
        <w:pict>
          <v:rect style="width:0;height:1.5pt" o:hralign="center" o:hrstd="t" o:hr="t"/>
        </w:pict>
      </w:r>
    </w:p>
    <w:p>
      <w:pPr>
        <w:pStyle w:val="FirstParagraph"/>
      </w:pPr>
      <w:r>
        <w:rPr>
          <w:iCs/>
          <w:i/>
        </w:rPr>
        <w:t xml:space="preserve">An African Renaissance Foundation Policy Brief. For the full evidence base, comparative analysis, and detailed institutional design, see: The Guardian Rails: Protecting Enterprise Freedom Within Federated Compliance (Full Policy Paper, March 2026).</w:t>
      </w:r>
    </w:p>
    <w:p>
      <w:pPr>
        <w:pStyle w:val="BodyText"/>
      </w:pPr>
      <w:r>
        <w:rPr>
          <w:iCs/>
          <w:i/>
        </w:rPr>
        <w:t xml:space="preserve">“</w:t>
      </w:r>
      <w:r>
        <w:rPr>
          <w:iCs/>
          <w:i/>
        </w:rPr>
        <w:t xml:space="preserve">I am because we are. We are because I am.</w:t>
      </w:r>
      <w:r>
        <w:rPr>
          <w:iCs/>
          <w:i/>
        </w:rPr>
        <w:t xml:space="preserve">”</w:t>
      </w:r>
    </w:p>
    <w:bookmarkEnd w:id="29"/>
    <w:bookmarkEnd w:id="30"/>
    <w:sectPr>
      <w:headerReference r:id="rId9" w:type="default"/>
      <w:footerReference r:id="rId10" w:type="default"/>
      <w:pgSz w:h="15840" w:orient="portrait" w:w="12240"/>
      <w:pgMar w:bottom="1440" w:footer="708" w:gutter="0" w:header="708" w:left="1440" w:right="1440" w:top="1440"/>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999999"/>
        <w:sz w:val="18"/>
        <w:szCs w:val="18"/>
      </w:rPr>
      <w:t xml:space="preserve">Page </w:t>
    </w:r>
    <w:r>
      <w:rPr>
        <w:rFonts w:ascii="Georgia" w:cs="Georgia" w:eastAsia="Georgia" w:hAnsi="Georgia"/>
        <w:color w:val="999999"/>
        <w:sz w:val="18"/>
        <w:szCs w:val="18"/>
      </w:rPr>
      <w:fldChar w:fldCharType="begin"/>
      <w:instrText xml:space="preserve">PAGE</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44E" w:sz="4" w:space="4"/>
      </w:pBdr>
      <w:spacing w:after="0"/>
      <w:jc w:val="right"/>
    </w:pPr>
    <w:r>
      <w:rPr>
        <w:rFonts w:ascii="Georgia" w:cs="Georgia" w:eastAsia="Georgia" w:hAnsi="Georgia"/>
        <w:i/>
        <w:iCs/>
        <w:color w:val="888888"/>
        <w:sz w:val="18"/>
        <w:szCs w:val="18"/>
      </w:rPr>
      <w:t xml:space="preserve">The Guardian Rails</w:t>
    </w:r>
    <w:r>
      <w:rPr>
        <w:rFonts w:ascii="Georgia" w:cs="Georgia" w:eastAsia="Georgia" w:hAnsi="Georgia"/>
        <w:color w:val="888888"/>
        <w:sz w:val="18"/>
        <w:szCs w:val="18"/>
      </w:rPr>
      <w:t xml:space="preserve">  —  African Renaissance Foundation</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1"/>
    <w:lvlOverride w:ilvl="0">
      <w:startOverride w:val="1"/>
    </w:lvlOverride>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decimalSymbol w:val="."/>
  <w:listSeparator w:val=","/>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pPr>
        <w:spacing w:after="200" w:line="312"/>
      </w:pPr>
    </w:pPrDefault>
  </w:docDefaults>
  <w:style w:styleId="Title" w:type="paragraph">
    <w:name w:val="Title"/>
    <w:basedOn w:val="Normal"/>
    <w:next w:val="Normal"/>
    <w:qFormat/>
    <w:rPr>
      <w:sz w:val="56"/>
      <w:szCs w:val="56"/>
    </w:rPr>
  </w:style>
  <w:style w:styleId="Heading1" w:type="paragraph">
    <w:name w:val="Heading 1"/>
    <w:basedOn w:val="Normal"/>
    <w:next w:val="Normal"/>
    <w:qFormat/>
    <w:rPr>
      <w:color w:val="2E74B5"/>
      <w:sz w:val="32"/>
      <w:szCs w:val="32"/>
    </w:rPr>
  </w:style>
  <w:style w:styleId="Heading2" w:type="paragraph">
    <w:name w:val="Heading 2"/>
    <w:basedOn w:val="Normal"/>
    <w:next w:val="Normal"/>
    <w:qFormat/>
    <w:rPr>
      <w:color w:val="2E74B5"/>
      <w:sz w:val="26"/>
      <w:szCs w:val="26"/>
    </w:rPr>
  </w:style>
  <w:style w:styleId="Heading3" w:type="paragraph">
    <w:name w:val="Heading 3"/>
    <w:basedOn w:val="Normal"/>
    <w:next w:val="Normal"/>
    <w:qFormat/>
    <w:rPr>
      <w:color w:val="1F4D78"/>
      <w:sz w:val="24"/>
      <w:szCs w:val="24"/>
    </w:rPr>
  </w:style>
  <w:style w:styleId="Heading4" w:type="paragraph">
    <w:name w:val="Heading 4"/>
    <w:basedOn w:val="Normal"/>
    <w:next w:val="Normal"/>
    <w:qFormat/>
    <w:rPr>
      <w:i/>
      <w:iCs/>
      <w:color w:val="2E74B5"/>
    </w:rPr>
  </w:style>
  <w:style w:styleId="Heading5" w:type="paragraph">
    <w:name w:val="Heading 5"/>
    <w:basedOn w:val="Normal"/>
    <w:next w:val="Normal"/>
    <w:qFormat/>
    <w:rPr>
      <w:color w:val="2E74B5"/>
    </w:rPr>
  </w:style>
  <w:style w:styleId="Heading6" w:type="paragraph">
    <w:name w:val="Heading 6"/>
    <w:basedOn w:val="Normal"/>
    <w:next w:val="Normal"/>
    <w:qFormat/>
    <w:rPr>
      <w:color w:val="1F4D78"/>
    </w:rPr>
  </w:style>
  <w:style w:styleId="Strong" w:type="paragraph">
    <w:name w:val="Strong"/>
    <w:basedOn w:val="Normal"/>
    <w:next w:val="Normal"/>
    <w:qFormat/>
    <w:rPr>
      <w:b/>
      <w:bCs/>
    </w:rPr>
  </w:style>
  <w:style w:styleId="ListParagraph" w:type="paragraph">
    <w:name w:val="List Paragraph"/>
    <w:basedOn w:val="Normal"/>
    <w:qFormat/>
  </w:style>
  <w:style w:styleId="Hyperlink" w:type="character">
    <w:name w:val="Hyperlink"/>
    <w:basedOn w:val="DefaultParagraphFont"/>
    <w:uiPriority w:val="99"/>
    <w:unhideWhenUsed/>
    <w:rPr>
      <w:color w:val="0563C1"/>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Heading1" w:type="paragraph">
    <w:name w:val="Heading 1"/>
    <w:basedOn w:val="Normal"/>
    <w:next w:val="Normal"/>
    <w:qFormat/>
    <w:pPr>
      <w:spacing w:after="280" w:before="480"/>
      <w:outlineLvl w:val="0"/>
    </w:pPr>
    <w:rPr>
      <w:rFonts w:ascii="Georgia" w:cs="Georgia" w:eastAsia="Georgia" w:hAnsi="Georgia"/>
      <w:b/>
      <w:bCs/>
      <w:color w:val="1B3A2D"/>
      <w:sz w:val="36"/>
      <w:szCs w:val="36"/>
    </w:rPr>
  </w:style>
  <w:style w:styleId="Heading2" w:type="paragraph">
    <w:name w:val="Heading 2"/>
    <w:basedOn w:val="Normal"/>
    <w:next w:val="Normal"/>
    <w:qFormat/>
    <w:pPr>
      <w:spacing w:after="200" w:before="360"/>
      <w:outlineLvl w:val="1"/>
    </w:pPr>
    <w:rPr>
      <w:rFonts w:ascii="Georgia" w:cs="Georgia" w:eastAsia="Georgia" w:hAnsi="Georgia"/>
      <w:b/>
      <w:bCs/>
      <w:color w:val="2D5016"/>
      <w:sz w:val="28"/>
      <w:szCs w:val="28"/>
    </w:rPr>
  </w:style>
  <w:style w:styleId="Heading3" w:type="paragraph">
    <w:name w:val="Heading 3"/>
    <w:basedOn w:val="Normal"/>
    <w:next w:val="Normal"/>
    <w:qFormat/>
    <w:pPr>
      <w:spacing w:after="160" w:before="280"/>
      <w:outlineLvl w:val="2"/>
    </w:pPr>
    <w:rPr>
      <w:rFonts w:ascii="Georgia" w:cs="Georgia" w:eastAsia="Georgia" w:hAnsi="Georgia"/>
      <w:b/>
      <w:bCs/>
      <w:i/>
      <w:iCs/>
      <w:color w:val="3D6B1E"/>
      <w:sz w:val="26"/>
      <w:szCs w:val="26"/>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Rails</dc:title>
  <dc:creator>African Renaissance Foundation</dc:creator>
  <cp:keywords/>
  <dcterms:created xsi:type="dcterms:W3CDTF">2026-03-19T15:53:59Z</dcterms:created>
  <dcterms:modified xsi:type="dcterms:W3CDTF">2026-03-19T15:53:59Z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March 2026</vt:lpwstr>
  </property>
  <property fmtid="{D5CDD505-2E9C-101B-9397-08002B2CF9AE}" pid="3" name="subtitle">
    <vt:lpwstr>Protecting Enterprise Freedom Within Federated Compliance — A Policy Brief</vt:lpwstr>
  </property>
</Properties>
</file>