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Arial" w:cs="Arial" w:eastAsia="Arial" w:hAnsi="Arial"/>
          <w:color w:val="C5A028"/>
          <w:sz w:val="22"/>
          <w:szCs w:val="22"/>
        </w:rPr>
        <w:t xml:space="preserve">Uganda Alliance Fund Research Series</w:t>
      </w:r>
    </w:p>
    <w:p>
      <w:pPr>
        <w:pBdr>
          <w:bottom w:val="single" w:color="C5A028" w:sz="6" w:space="8"/>
        </w:pBdr>
        <w:spacing w:after="100"/>
      </w:pPr>
    </w:p>
    <w:p>
      <w:pPr>
        <w:spacing w:after="300"/>
      </w:pPr>
    </w:p>
    <w:p>
      <w:pPr>
        <w:spacing w:after="80"/>
      </w:pPr>
      <w:r>
        <w:rPr>
          <w:rFonts w:ascii="Arial" w:cs="Arial" w:eastAsia="Arial" w:hAnsi="Arial"/>
          <w:b/>
          <w:bCs/>
          <w:color w:val="1B3A4B"/>
          <w:sz w:val="48"/>
          <w:szCs w:val="48"/>
        </w:rPr>
        <w:t xml:space="preserve">The Intergenerational Shield</w:t>
      </w:r>
    </w:p>
    <w:p>
      <w:pPr>
        <w:spacing w:after="80"/>
      </w:pPr>
    </w:p>
    <w:p>
      <w:pPr>
        <w:spacing w:after="200"/>
      </w:pPr>
      <w:r>
        <w:rPr>
          <w:rFonts w:ascii="Arial" w:cs="Arial" w:eastAsia="Arial" w:hAnsi="Arial"/>
          <w:color w:val="555555"/>
          <w:sz w:val="26"/>
          <w:szCs w:val="26"/>
        </w:rPr>
        <w:t xml:space="preserve">A Dual-Track Stabilisation and Endowment Fund
for the Uganda Alliance Fund</w:t>
      </w:r>
    </w:p>
    <w:p>
      <w:pPr>
        <w:spacing w:after="400"/>
      </w:pPr>
    </w:p>
    <w:p>
      <w:pPr>
        <w:spacing w:after="60"/>
      </w:pPr>
      <w:r>
        <w:rPr>
          <w:rFonts w:ascii="Arial" w:cs="Arial" w:eastAsia="Arial" w:hAnsi="Arial"/>
          <w:b/>
          <w:bCs/>
          <w:color w:val="1B3A4B"/>
          <w:sz w:val="24"/>
          <w:szCs w:val="24"/>
        </w:rPr>
        <w:t xml:space="preserve">Policy Brief</w:t>
      </w:r>
    </w:p>
    <w:p>
      <w:pPr>
        <w:spacing w:after="60"/>
      </w:pPr>
      <w:r>
        <w:rPr>
          <w:rFonts w:ascii="Arial" w:cs="Arial" w:eastAsia="Arial" w:hAnsi="Arial"/>
          <w:color w:val="777777"/>
          <w:sz w:val="21"/>
          <w:szCs w:val="21"/>
        </w:rPr>
        <w:t xml:space="preserve">March 2026</w:t>
      </w:r>
    </w:p>
    <w:p>
      <w:pPr>
        <w:sectPr>
          <w:pgSz w:w="12240" w:h="15840" w:orient="portrait"/>
          <w:pgMar w:top="2880" w:right="1440" w:bottom="1440" w:left="1440" w:header="708" w:footer="708" w:gutter="0"/>
          <w:pgNumType/>
          <w:docGrid w:linePitch="360"/>
        </w:sectPr>
      </w:pPr>
    </w:p>
    <w:p>
      <w:pPr>
        <w:pStyle w:val="Heading1"/>
      </w:pPr>
      <w:r>
        <w:t xml:space="preserve">Executive Summary</w:t>
      </w:r>
    </w:p>
    <w:p>
      <w:pPr>
        <w:spacing w:after="180" w:before="0"/>
      </w:pPr>
      <w:r>
        <w:rPr>
          <w:rFonts w:ascii="Arial" w:cs="Arial" w:eastAsia="Arial" w:hAnsi="Arial"/>
          <w:sz w:val="21"/>
          <w:szCs w:val="21"/>
        </w:rPr>
        <w:t xml:space="preserve">The Uganda Alliance Fund’s revenue allocation dedicates 10–15% of federation income to the Intergenerational Stabilisation Fund. This policy brief details the design, governance, and investment architecture of that fund: a dual-track savings and endowment vehicle containing two ring-fenced pools within a single legal entity. The Stabilisation Pool provides short-term crisis protection for the Ubuntu Dividend and federation operations. The Intergenerational Endowment is locked for a minimum of 20 years to build permanent wealth for future generations.</w:t>
      </w:r>
    </w:p>
    <w:p>
      <w:pPr>
        <w:spacing w:after="180" w:before="0"/>
      </w:pPr>
      <w:r>
        <w:rPr>
          <w:rFonts w:ascii="Arial" w:cs="Arial" w:eastAsia="Arial" w:hAnsi="Arial"/>
          <w:sz w:val="21"/>
          <w:szCs w:val="21"/>
        </w:rPr>
        <w:t xml:space="preserve">The fund is governed by a tri-layered protection framework: mathematical triggers that remove human discretion from crisis definitions, procedural safeguards that prevent rapid or politicised withdrawals, and constitutional protections that require supermajorities to change the rules. The design draws on lessons from Norway, Botswana, Alaska, Nigeria, and Mondragon.</w:t>
      </w:r>
    </w:p>
    <w:p>
      <w:pPr>
        <w:pStyle w:val="Heading1"/>
      </w:pPr>
      <w:r>
        <w:t xml:space="preserve">Why a Cooperative Federation Saves</w:t>
      </w:r>
    </w:p>
    <w:p>
      <w:pPr>
        <w:spacing w:after="180" w:before="0"/>
      </w:pPr>
      <w:r>
        <w:rPr>
          <w:rFonts w:ascii="Arial" w:cs="Arial" w:eastAsia="Arial" w:hAnsi="Arial"/>
          <w:sz w:val="21"/>
          <w:szCs w:val="21"/>
        </w:rPr>
        <w:t xml:space="preserve">The Intergenerational Stabilisation Fund addresses three imperatives that apply to any cooperative federation managing revenue across generations:</w:t>
      </w:r>
    </w:p>
    <w:p>
      <w:pPr>
        <w:pStyle w:val="ListParagraph"/>
        <w:numPr>
          <w:ilvl w:val="0"/>
          <w:numId w:val="2"/>
        </w:numPr>
        <w:spacing w:after="80"/>
      </w:pPr>
      <w:r>
        <w:rPr>
          <w:rFonts w:ascii="Arial" w:cs="Arial" w:eastAsia="Arial" w:hAnsi="Arial"/>
          <w:b/>
          <w:bCs/>
          <w:sz w:val="21"/>
          <w:szCs w:val="21"/>
        </w:rPr>
        <w:t xml:space="preserve">Dividend credibility. </w:t>
      </w:r>
      <w:r>
        <w:rPr>
          <w:rFonts w:ascii="Arial" w:cs="Arial" w:eastAsia="Arial" w:hAnsi="Arial"/>
          <w:sz w:val="21"/>
          <w:szCs w:val="21"/>
        </w:rPr>
        <w:t xml:space="preserve">Without a stabilisation buffer, a 30% drop in COC profitability produces a 30% drop in the Ubuntu Dividend. The Stabilisation Pool ensures the federation can smooth dividend payments during downturns, maintaining citizen confidence in the system.</w:t>
      </w:r>
    </w:p>
    <w:p>
      <w:pPr>
        <w:pStyle w:val="ListParagraph"/>
        <w:numPr>
          <w:ilvl w:val="0"/>
          <w:numId w:val="2"/>
        </w:numPr>
        <w:spacing w:after="80"/>
      </w:pPr>
      <w:r>
        <w:rPr>
          <w:rFonts w:ascii="Arial" w:cs="Arial" w:eastAsia="Arial" w:hAnsi="Arial"/>
          <w:b/>
          <w:bCs/>
          <w:sz w:val="21"/>
          <w:szCs w:val="21"/>
        </w:rPr>
        <w:t xml:space="preserve">Real-value preservation. </w:t>
      </w:r>
      <w:r>
        <w:rPr>
          <w:rFonts w:ascii="Arial" w:cs="Arial" w:eastAsia="Arial" w:hAnsi="Arial"/>
          <w:sz w:val="21"/>
          <w:szCs w:val="21"/>
        </w:rPr>
        <w:t xml:space="preserve">Inflation and currency depreciation erode purchasing power every year. A dedicated savings allocation that grows in real terms ensures the federation’s capacity to deliver on its social mandate does not quietly diminish even when nominal revenue holds steady.</w:t>
      </w:r>
    </w:p>
    <w:p>
      <w:pPr>
        <w:pStyle w:val="ListParagraph"/>
        <w:numPr>
          <w:ilvl w:val="0"/>
          <w:numId w:val="2"/>
        </w:numPr>
        <w:spacing w:after="80"/>
      </w:pPr>
      <w:r>
        <w:rPr>
          <w:rFonts w:ascii="Arial" w:cs="Arial" w:eastAsia="Arial" w:hAnsi="Arial"/>
          <w:b/>
          <w:bCs/>
          <w:sz w:val="21"/>
          <w:szCs w:val="21"/>
        </w:rPr>
        <w:t xml:space="preserve">Intergenerational equity. </w:t>
      </w:r>
      <w:r>
        <w:rPr>
          <w:rFonts w:ascii="Arial" w:cs="Arial" w:eastAsia="Arial" w:hAnsi="Arial"/>
          <w:sz w:val="21"/>
          <w:szCs w:val="21"/>
        </w:rPr>
        <w:t xml:space="preserve">The federation’s distribution allocations serve the present. The Endowment ensures future generations inherit both the institutional architecture and accumulated capital, building a second source of income independent of the current economic cycle.</w:t>
      </w:r>
    </w:p>
    <w:p>
      <w:pPr>
        <w:spacing w:after="180" w:before="0"/>
      </w:pPr>
      <w:r>
        <w:rPr>
          <w:rFonts w:ascii="Arial" w:cs="Arial" w:eastAsia="Arial" w:hAnsi="Arial"/>
          <w:sz w:val="21"/>
          <w:szCs w:val="21"/>
        </w:rPr>
        <w:t xml:space="preserve">This design is grounded in an ancestral mandate. Ugandan clans have historically maintained communal granaries, seed banks, and land reserves for exactly this purpose: protecting the community through bad seasons and safeguarding resources for those not yet born. The Intergenerational Stabilisation Fund is the financial equivalent of the communal granary.</w:t>
      </w:r>
    </w:p>
    <w:p>
      <w:pPr>
        <w:pStyle w:val="Heading1"/>
      </w:pPr>
      <w:r>
        <w:t xml:space="preserve">The Solution: Two Pools, One Institution</w:t>
      </w:r>
    </w:p>
    <w:p>
      <w:pPr>
        <w:spacing w:after="180" w:before="0"/>
      </w:pPr>
      <w:r>
        <w:rPr>
          <w:rFonts w:ascii="Arial" w:cs="Arial" w:eastAsia="Arial" w:hAnsi="Arial"/>
          <w:sz w:val="21"/>
          <w:szCs w:val="21"/>
        </w:rPr>
        <w:t xml:space="preserve">The fund is structured as a Company Limited by Guarantee under the Companies Act 2012, acting as trustee. This hybrid corporate-trust structure provides stronger legal protections than the Trustees Act (Cap 164), with all safeguards embedded as entrenched provisions in the Articles of Association.</w:t>
      </w:r>
    </w:p>
    <w:p>
      <w:pPr>
        <w:spacing w:after="180" w:before="0"/>
      </w:pPr>
      <w:r>
        <w:rPr>
          <w:rFonts w:ascii="Arial" w:cs="Arial" w:eastAsia="Arial" w:hAnsi="Arial"/>
          <w:sz w:val="21"/>
          <w:szCs w:val="21"/>
        </w:rPr>
        <w:t xml:space="preserve">The two pools are defined as legally Separate Series. A non-recourse clause prohibits any transfer, lending, or cross-collateralisation between them. This prevents the “Pula Blur” that destroyed Botswana’s savings, where the absence of structural separation allowed long-term savings to be treated as short-term liquidity.</w:t>
      </w:r>
    </w:p>
    <w:p>
      <w:pPr>
        <w:spacing w:after="180" w:before="0"/>
      </w:pPr>
      <w:r>
        <w:rPr>
          <w:rFonts w:ascii="Arial" w:cs="Arial" w:eastAsia="Arial" w:hAnsi="Arial"/>
          <w:sz w:val="21"/>
          <w:szCs w:val="21"/>
        </w:rPr>
        <w:t xml:space="preserve">The fund self-aligns with the Santiago+ Principles: all 24 international governance standards for sovereign wealth funds, plus a 25th principle of Cooperative Identity affirming democratic accountability to the federation’s membership.</w:t>
      </w:r>
    </w:p>
    <w:p>
      <w:pPr>
        <w:pStyle w:val="Heading2"/>
      </w:pPr>
      <w:r>
        <w:t xml:space="preserve">The Stabilisation Pool</w:t>
      </w:r>
    </w:p>
    <w:p>
      <w:pPr>
        <w:pStyle w:val="ListParagraph"/>
        <w:numPr>
          <w:ilvl w:val="0"/>
          <w:numId w:val="2"/>
        </w:numPr>
        <w:spacing w:after="80"/>
      </w:pPr>
      <w:r>
        <w:rPr>
          <w:rFonts w:ascii="Arial" w:cs="Arial" w:eastAsia="Arial" w:hAnsi="Arial"/>
          <w:b/>
          <w:bCs/>
          <w:sz w:val="21"/>
          <w:szCs w:val="21"/>
        </w:rPr>
        <w:t xml:space="preserve">Purpose: </w:t>
      </w:r>
      <w:r>
        <w:rPr>
          <w:rFonts w:ascii="Arial" w:cs="Arial" w:eastAsia="Arial" w:hAnsi="Arial"/>
          <w:sz w:val="21"/>
          <w:szCs w:val="21"/>
        </w:rPr>
        <w:t xml:space="preserve">Protect the Ubuntu Dividend and federation operations during sustained downturns.</w:t>
      </w:r>
    </w:p>
    <w:p>
      <w:pPr>
        <w:pStyle w:val="ListParagraph"/>
        <w:numPr>
          <w:ilvl w:val="0"/>
          <w:numId w:val="2"/>
        </w:numPr>
        <w:spacing w:after="80"/>
      </w:pPr>
      <w:r>
        <w:rPr>
          <w:rFonts w:ascii="Arial" w:cs="Arial" w:eastAsia="Arial" w:hAnsi="Arial"/>
          <w:b/>
          <w:bCs/>
          <w:sz w:val="21"/>
          <w:szCs w:val="21"/>
        </w:rPr>
        <w:t xml:space="preserve">Funding: </w:t>
      </w:r>
      <w:r>
        <w:rPr>
          <w:rFonts w:ascii="Arial" w:cs="Arial" w:eastAsia="Arial" w:hAnsi="Arial"/>
          <w:sz w:val="21"/>
          <w:szCs w:val="21"/>
        </w:rPr>
        <w:t xml:space="preserve">40% of the fund’s total inflows (from the 10–15% UAF revenue allocation) until target balance is reached.</w:t>
      </w:r>
    </w:p>
    <w:p>
      <w:pPr>
        <w:pStyle w:val="ListParagraph"/>
        <w:numPr>
          <w:ilvl w:val="0"/>
          <w:numId w:val="2"/>
        </w:numPr>
        <w:spacing w:after="80"/>
      </w:pPr>
      <w:r>
        <w:rPr>
          <w:rFonts w:ascii="Arial" w:cs="Arial" w:eastAsia="Arial" w:hAnsi="Arial"/>
          <w:b/>
          <w:bCs/>
          <w:sz w:val="21"/>
          <w:szCs w:val="21"/>
        </w:rPr>
        <w:t xml:space="preserve">Target balance: </w:t>
      </w:r>
      <w:r>
        <w:rPr>
          <w:rFonts w:ascii="Arial" w:cs="Arial" w:eastAsia="Arial" w:hAnsi="Arial"/>
          <w:sz w:val="21"/>
          <w:szCs w:val="21"/>
        </w:rPr>
        <w:t xml:space="preserve">200% of the three-year rolling average annual Ubuntu Dividend payout.</w:t>
      </w:r>
    </w:p>
    <w:p>
      <w:pPr>
        <w:pStyle w:val="ListParagraph"/>
        <w:numPr>
          <w:ilvl w:val="0"/>
          <w:numId w:val="2"/>
        </w:numPr>
        <w:spacing w:after="80"/>
      </w:pPr>
      <w:r>
        <w:rPr>
          <w:rFonts w:ascii="Arial" w:cs="Arial" w:eastAsia="Arial" w:hAnsi="Arial"/>
          <w:b/>
          <w:bCs/>
          <w:sz w:val="21"/>
          <w:szCs w:val="21"/>
        </w:rPr>
        <w:t xml:space="preserve">Hard Floor: </w:t>
      </w:r>
      <w:r>
        <w:rPr>
          <w:rFonts w:ascii="Arial" w:cs="Arial" w:eastAsia="Arial" w:hAnsi="Arial"/>
          <w:sz w:val="21"/>
          <w:szCs w:val="21"/>
        </w:rPr>
        <w:t xml:space="preserve">The greater of a nominal amount (inflation-adjusted annually via UBOS CPI) or 100% of the three-year rolling average dividend payout. No withdrawals permitted below this level.</w:t>
      </w:r>
    </w:p>
    <w:p>
      <w:pPr>
        <w:pStyle w:val="ListParagraph"/>
        <w:numPr>
          <w:ilvl w:val="0"/>
          <w:numId w:val="2"/>
        </w:numPr>
        <w:spacing w:after="80"/>
      </w:pPr>
      <w:r>
        <w:rPr>
          <w:rFonts w:ascii="Arial" w:cs="Arial" w:eastAsia="Arial" w:hAnsi="Arial"/>
          <w:b/>
          <w:bCs/>
          <w:sz w:val="21"/>
          <w:szCs w:val="21"/>
        </w:rPr>
        <w:t xml:space="preserve">Investment: </w:t>
      </w:r>
      <w:r>
        <w:rPr>
          <w:rFonts w:ascii="Arial" w:cs="Arial" w:eastAsia="Arial" w:hAnsi="Arial"/>
          <w:sz w:val="21"/>
          <w:szCs w:val="21"/>
        </w:rPr>
        <w:t xml:space="preserve">Capital preservation with liquidity. Minimum 50% in non-UGX assets (short-duration sovereign bonds, money market funds, Gold ETFs). All assets convertible within five business days.</w:t>
      </w:r>
    </w:p>
    <w:p>
      <w:pPr>
        <w:pStyle w:val="Heading3"/>
      </w:pPr>
      <w:r>
        <w:t xml:space="preserve">Drawdown Rules</w:t>
      </w:r>
    </w:p>
    <w:p>
      <w:pPr>
        <w:spacing w:after="180" w:before="0"/>
      </w:pPr>
      <w:r>
        <w:rPr>
          <w:rFonts w:ascii="Arial" w:cs="Arial" w:eastAsia="Arial" w:hAnsi="Arial"/>
          <w:b/>
          <w:bCs/>
          <w:sz w:val="21"/>
          <w:szCs w:val="21"/>
        </w:rPr>
        <w:t xml:space="preserve">Mathematical Trigger: </w:t>
      </w:r>
      <w:r>
        <w:rPr>
          <w:rFonts w:ascii="Arial" w:cs="Arial" w:eastAsia="Arial" w:hAnsi="Arial"/>
          <w:sz w:val="21"/>
          <w:szCs w:val="21"/>
        </w:rPr>
        <w:t xml:space="preserve">Audited gross revenue per registered Alliance Share holder falls below 85% of the three-year rolling average for two consecutive quarters. Revenue is triangulated against bank records and URA filings.</w:t>
      </w:r>
    </w:p>
    <w:p>
      <w:pPr>
        <w:spacing w:after="180" w:before="0"/>
      </w:pPr>
      <w:r>
        <w:rPr>
          <w:rFonts w:ascii="Arial" w:cs="Arial" w:eastAsia="Arial" w:hAnsi="Arial"/>
          <w:b/>
          <w:bCs/>
          <w:sz w:val="21"/>
          <w:szCs w:val="21"/>
        </w:rPr>
        <w:t xml:space="preserve">Procedural Shield: </w:t>
      </w:r>
      <w:r>
        <w:rPr>
          <w:rFonts w:ascii="Arial" w:cs="Arial" w:eastAsia="Arial" w:hAnsi="Arial"/>
          <w:sz w:val="21"/>
          <w:szCs w:val="21"/>
        </w:rPr>
        <w:t xml:space="preserve">Executive Board proposes; ICPAU-appointed Investment Committee independently certifies the trigger is met; funds released in tranches (25% immediately, 75% over six months); mandatory +5% restoration levy activates once the crisis clears.</w:t>
      </w:r>
    </w:p>
    <w:p>
      <w:pPr>
        <w:spacing w:after="180" w:before="0"/>
      </w:pPr>
      <w:r>
        <w:rPr>
          <w:rFonts w:ascii="Arial" w:cs="Arial" w:eastAsia="Arial" w:hAnsi="Arial"/>
          <w:b/>
          <w:bCs/>
          <w:sz w:val="21"/>
          <w:szCs w:val="21"/>
        </w:rPr>
        <w:t xml:space="preserve">Economic Breathing Room: </w:t>
      </w:r>
      <w:r>
        <w:rPr>
          <w:rFonts w:ascii="Arial" w:cs="Arial" w:eastAsia="Arial" w:hAnsi="Arial"/>
          <w:sz w:val="21"/>
          <w:szCs w:val="21"/>
        </w:rPr>
        <w:t xml:space="preserve">The restoration levy is deferred if the crisis trigger remains active, resuming only when revenue per member returns to 90% of the pre-crisis average.</w:t>
      </w:r>
    </w:p>
    <w:p>
      <w:pPr>
        <w:spacing w:after="180" w:before="0"/>
      </w:pPr>
      <w:r>
        <w:rPr>
          <w:rFonts w:ascii="Arial" w:cs="Arial" w:eastAsia="Arial" w:hAnsi="Arial"/>
          <w:b/>
          <w:bCs/>
          <w:sz w:val="21"/>
          <w:szCs w:val="21"/>
        </w:rPr>
        <w:t xml:space="preserve">Purpose restrictions: </w:t>
      </w:r>
      <w:r>
        <w:rPr>
          <w:rFonts w:ascii="Arial" w:cs="Arial" w:eastAsia="Arial" w:hAnsi="Arial"/>
          <w:sz w:val="21"/>
          <w:szCs w:val="21"/>
        </w:rPr>
        <w:t xml:space="preserve">Dividend supplementation (to maintain 70% of pre-crisis level), emergency equalisation, or transformation/retraining of workers and enterprises. In structural crises, a minimum 50% must fund restructuring and redeployment.</w:t>
      </w:r>
    </w:p>
    <w:p>
      <w:pPr>
        <w:pStyle w:val="Heading2"/>
      </w:pPr>
      <w:r>
        <w:t xml:space="preserve">The Intergenerational Endowment</w:t>
      </w:r>
    </w:p>
    <w:p>
      <w:pPr>
        <w:pStyle w:val="ListParagraph"/>
        <w:numPr>
          <w:ilvl w:val="0"/>
          <w:numId w:val="2"/>
        </w:numPr>
        <w:spacing w:after="80"/>
      </w:pPr>
      <w:r>
        <w:rPr>
          <w:rFonts w:ascii="Arial" w:cs="Arial" w:eastAsia="Arial" w:hAnsi="Arial"/>
          <w:b/>
          <w:bCs/>
          <w:sz w:val="21"/>
          <w:szCs w:val="21"/>
        </w:rPr>
        <w:t xml:space="preserve">Purpose: </w:t>
      </w:r>
      <w:r>
        <w:rPr>
          <w:rFonts w:ascii="Arial" w:cs="Arial" w:eastAsia="Arial" w:hAnsi="Arial"/>
          <w:sz w:val="21"/>
          <w:szCs w:val="21"/>
        </w:rPr>
        <w:t xml:space="preserve">Build a permanent, growing capital base generating independent returns for future generations.</w:t>
      </w:r>
    </w:p>
    <w:p>
      <w:pPr>
        <w:pStyle w:val="ListParagraph"/>
        <w:numPr>
          <w:ilvl w:val="0"/>
          <w:numId w:val="2"/>
        </w:numPr>
        <w:spacing w:after="80"/>
      </w:pPr>
      <w:r>
        <w:rPr>
          <w:rFonts w:ascii="Arial" w:cs="Arial" w:eastAsia="Arial" w:hAnsi="Arial"/>
          <w:b/>
          <w:bCs/>
          <w:sz w:val="21"/>
          <w:szCs w:val="21"/>
        </w:rPr>
        <w:t xml:space="preserve">Funding: </w:t>
      </w:r>
      <w:r>
        <w:rPr>
          <w:rFonts w:ascii="Arial" w:cs="Arial" w:eastAsia="Arial" w:hAnsi="Arial"/>
          <w:sz w:val="21"/>
          <w:szCs w:val="21"/>
        </w:rPr>
        <w:t xml:space="preserve">60% of total inflows, increasing to 85–90% once the Stabilisation Pool reaches its target.</w:t>
      </w:r>
    </w:p>
    <w:p>
      <w:pPr>
        <w:pStyle w:val="ListParagraph"/>
        <w:numPr>
          <w:ilvl w:val="0"/>
          <w:numId w:val="2"/>
        </w:numPr>
        <w:spacing w:after="80"/>
      </w:pPr>
      <w:r>
        <w:rPr>
          <w:rFonts w:ascii="Arial" w:cs="Arial" w:eastAsia="Arial" w:hAnsi="Arial"/>
          <w:b/>
          <w:bCs/>
          <w:sz w:val="21"/>
          <w:szCs w:val="21"/>
        </w:rPr>
        <w:t xml:space="preserve">Lockout: </w:t>
      </w:r>
      <w:r>
        <w:rPr>
          <w:rFonts w:ascii="Arial" w:cs="Arial" w:eastAsia="Arial" w:hAnsi="Arial"/>
          <w:sz w:val="21"/>
          <w:szCs w:val="21"/>
        </w:rPr>
        <w:t xml:space="preserve">Minimum 20 years or until the Self-Sustaining Threshold is met, whichever comes later. No withdrawals, no earnings distributions, no inter-pool transfers during lockout.</w:t>
      </w:r>
    </w:p>
    <w:p>
      <w:pPr>
        <w:pStyle w:val="ListParagraph"/>
        <w:numPr>
          <w:ilvl w:val="0"/>
          <w:numId w:val="2"/>
        </w:numPr>
        <w:spacing w:after="80"/>
      </w:pPr>
      <w:r>
        <w:rPr>
          <w:rFonts w:ascii="Arial" w:cs="Arial" w:eastAsia="Arial" w:hAnsi="Arial"/>
          <w:b/>
          <w:bCs/>
          <w:sz w:val="21"/>
          <w:szCs w:val="21"/>
        </w:rPr>
        <w:t xml:space="preserve">Self-Sustaining Threshold: </w:t>
      </w:r>
      <w:r>
        <w:rPr>
          <w:rFonts w:ascii="Arial" w:cs="Arial" w:eastAsia="Arial" w:hAnsi="Arial"/>
          <w:sz w:val="21"/>
          <w:szCs w:val="21"/>
        </w:rPr>
        <w:t xml:space="preserve">3% of market value (five-year rolling average) equals at least 10% of the federation’s five-year rolling average annual revenue.</w:t>
      </w:r>
    </w:p>
    <w:p>
      <w:pPr>
        <w:pStyle w:val="ListParagraph"/>
        <w:numPr>
          <w:ilvl w:val="0"/>
          <w:numId w:val="2"/>
        </w:numPr>
        <w:spacing w:after="80"/>
      </w:pPr>
      <w:r>
        <w:rPr>
          <w:rFonts w:ascii="Arial" w:cs="Arial" w:eastAsia="Arial" w:hAnsi="Arial"/>
          <w:b/>
          <w:bCs/>
          <w:sz w:val="21"/>
          <w:szCs w:val="21"/>
        </w:rPr>
        <w:t xml:space="preserve">Inflation-proofing: </w:t>
      </w:r>
      <w:r>
        <w:rPr>
          <w:rFonts w:ascii="Arial" w:cs="Arial" w:eastAsia="Arial" w:hAnsi="Arial"/>
          <w:sz w:val="21"/>
          <w:szCs w:val="21"/>
        </w:rPr>
        <w:t xml:space="preserve">Mandatory annual deduction from returns, reinvested into corpus before any distribution. Tiered catch-up if returns fall short: 30% of future excess to deficit recovery, 20% to corpus growth, 50% distributable.</w:t>
      </w:r>
    </w:p>
    <w:p>
      <w:pPr>
        <w:pStyle w:val="ListParagraph"/>
        <w:numPr>
          <w:ilvl w:val="0"/>
          <w:numId w:val="2"/>
        </w:numPr>
        <w:spacing w:after="80"/>
      </w:pPr>
      <w:r>
        <w:rPr>
          <w:rFonts w:ascii="Arial" w:cs="Arial" w:eastAsia="Arial" w:hAnsi="Arial"/>
          <w:b/>
          <w:bCs/>
          <w:sz w:val="21"/>
          <w:szCs w:val="21"/>
        </w:rPr>
        <w:t xml:space="preserve">Post-lockout draw: </w:t>
      </w:r>
      <w:r>
        <w:rPr>
          <w:rFonts w:ascii="Arial" w:cs="Arial" w:eastAsia="Arial" w:hAnsi="Arial"/>
          <w:sz w:val="21"/>
          <w:szCs w:val="21"/>
        </w:rPr>
        <w:t xml:space="preserve">Maximum 3% of five-year average market value annually. Returns flow into the general UAF allocation table.</w:t>
      </w:r>
    </w:p>
    <w:p>
      <w:pPr>
        <w:pStyle w:val="ListParagraph"/>
        <w:numPr>
          <w:ilvl w:val="0"/>
          <w:numId w:val="2"/>
        </w:numPr>
        <w:spacing w:after="80"/>
      </w:pPr>
      <w:r>
        <w:rPr>
          <w:rFonts w:ascii="Arial" w:cs="Arial" w:eastAsia="Arial" w:hAnsi="Arial"/>
          <w:b/>
          <w:bCs/>
          <w:sz w:val="21"/>
          <w:szCs w:val="21"/>
        </w:rPr>
        <w:t xml:space="preserve">Investment: </w:t>
      </w:r>
      <w:r>
        <w:rPr>
          <w:rFonts w:ascii="Arial" w:cs="Arial" w:eastAsia="Arial" w:hAnsi="Arial"/>
          <w:sz w:val="21"/>
          <w:szCs w:val="21"/>
        </w:rPr>
        <w:t xml:space="preserve">Long-term real growth (target: inflation + 5%). Minimum 60% international. Global REITs only (no domestic property). No investment in federation entities or competing sectors.</w:t>
      </w:r>
    </w:p>
    <w:p>
      <w:pPr>
        <w:pStyle w:val="Heading3"/>
      </w:pPr>
      <w:r>
        <w:t xml:space="preserve">Tiered Overflow</w:t>
      </w:r>
    </w:p>
    <w:p>
      <w:pPr>
        <w:spacing w:after="180" w:before="0"/>
      </w:pPr>
      <w:r>
        <w:rPr>
          <w:rFonts w:ascii="Arial" w:cs="Arial" w:eastAsia="Arial" w:hAnsi="Arial"/>
          <w:sz w:val="21"/>
          <w:szCs w:val="21"/>
        </w:rPr>
        <w:t xml:space="preserve">When Endowment returns exceed inflation-proofing + 3% draw + 2% growth retention:</w:t>
      </w:r>
    </w:p>
    <w:p>
      <w:pPr>
        <w:pStyle w:val="ListParagraph"/>
        <w:numPr>
          <w:ilvl w:val="0"/>
          <w:numId w:val="2"/>
        </w:numPr>
        <w:spacing w:after="80"/>
      </w:pPr>
      <w:r>
        <w:rPr>
          <w:rFonts w:ascii="Arial" w:cs="Arial" w:eastAsia="Arial" w:hAnsi="Arial"/>
          <w:b/>
          <w:bCs/>
          <w:sz w:val="21"/>
          <w:szCs w:val="21"/>
        </w:rPr>
        <w:t xml:space="preserve">Tier 1: </w:t>
      </w:r>
      <w:r>
        <w:rPr>
          <w:rFonts w:ascii="Arial" w:cs="Arial" w:eastAsia="Arial" w:hAnsi="Arial"/>
          <w:sz w:val="21"/>
          <w:szCs w:val="21"/>
        </w:rPr>
        <w:t xml:space="preserve">Reinvest in Endowment until it reaches 300% of federation revenue.</w:t>
      </w:r>
    </w:p>
    <w:p>
      <w:pPr>
        <w:pStyle w:val="ListParagraph"/>
        <w:numPr>
          <w:ilvl w:val="0"/>
          <w:numId w:val="2"/>
        </w:numPr>
        <w:spacing w:after="80"/>
      </w:pPr>
      <w:r>
        <w:rPr>
          <w:rFonts w:ascii="Arial" w:cs="Arial" w:eastAsia="Arial" w:hAnsi="Arial"/>
          <w:b/>
          <w:bCs/>
          <w:sz w:val="21"/>
          <w:szCs w:val="21"/>
        </w:rPr>
        <w:t xml:space="preserve">Tier 2: </w:t>
      </w:r>
      <w:r>
        <w:rPr>
          <w:rFonts w:ascii="Arial" w:cs="Arial" w:eastAsia="Arial" w:hAnsi="Arial"/>
          <w:sz w:val="21"/>
          <w:szCs w:val="21"/>
        </w:rPr>
        <w:t xml:space="preserve">Excess flows to Strategic Opportunity Reserve (for multi-clan infrastructure, digital platforms, cross-border energy/water). Must pass Inter-Clan Solidarity Test.</w:t>
      </w:r>
    </w:p>
    <w:p>
      <w:pPr>
        <w:pStyle w:val="ListParagraph"/>
        <w:numPr>
          <w:ilvl w:val="0"/>
          <w:numId w:val="2"/>
        </w:numPr>
        <w:spacing w:after="80"/>
      </w:pPr>
      <w:r>
        <w:rPr>
          <w:rFonts w:ascii="Arial" w:cs="Arial" w:eastAsia="Arial" w:hAnsi="Arial"/>
          <w:b/>
          <w:bCs/>
          <w:sz w:val="21"/>
          <w:szCs w:val="21"/>
        </w:rPr>
        <w:t xml:space="preserve">Tier 3: </w:t>
      </w:r>
      <w:r>
        <w:rPr>
          <w:rFonts w:ascii="Arial" w:cs="Arial" w:eastAsia="Arial" w:hAnsi="Arial"/>
          <w:sz w:val="21"/>
          <w:szCs w:val="21"/>
        </w:rPr>
        <w:t xml:space="preserve">When Strategic Reserve reaches 50% of annual federation revenue, excess flows to Ubuntu Dividend as a supplementary distribution.</w:t>
      </w:r>
    </w:p>
    <w:p>
      <w:pPr>
        <w:pStyle w:val="Heading1"/>
      </w:pPr>
      <w:r>
        <w:t xml:space="preserve">Governance Architecture</w:t>
      </w:r>
    </w:p>
    <w:p>
      <w:pPr>
        <w:pStyle w:val="Heading2"/>
      </w:pPr>
      <w:r>
        <w:t xml:space="preserve">The Tri-Layered Shield</w:t>
      </w:r>
    </w:p>
    <w:p>
      <w:pPr>
        <w:spacing w:after="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80"/>
        <w:gridCol w:w="3680"/>
      </w:tblGrid>
      <w:tr>
        <w:tc>
          <w:tcPr>
            <w:tcW w:type="dxa" w:w="2000"/>
            <w:tcBorders>
              <w:top w:val="single" w:color="CCCCCC" w:sz="1"/>
              <w:left w:val="single" w:color="CCCCCC" w:sz="1"/>
              <w:bottom w:val="single" w:color="CCCCCC" w:sz="1"/>
              <w:right w:val="single" w:color="CCCCCC" w:sz="1"/>
            </w:tcBorders>
            <w:shd w:fill="1B3A4B"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Layer</w:t>
            </w:r>
          </w:p>
        </w:tc>
        <w:tc>
          <w:tcPr>
            <w:tcW w:type="dxa" w:w="3680"/>
            <w:tcBorders>
              <w:top w:val="single" w:color="CCCCCC" w:sz="1"/>
              <w:left w:val="single" w:color="CCCCCC" w:sz="1"/>
              <w:bottom w:val="single" w:color="CCCCCC" w:sz="1"/>
              <w:right w:val="single" w:color="CCCCCC" w:sz="1"/>
            </w:tcBorders>
            <w:shd w:fill="1B3A4B"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Stabilisation Pool</w:t>
            </w:r>
          </w:p>
        </w:tc>
        <w:tc>
          <w:tcPr>
            <w:tcW w:type="dxa" w:w="3680"/>
            <w:tcBorders>
              <w:top w:val="single" w:color="CCCCCC" w:sz="1"/>
              <w:left w:val="single" w:color="CCCCCC" w:sz="1"/>
              <w:bottom w:val="single" w:color="CCCCCC" w:sz="1"/>
              <w:right w:val="single" w:color="CCCCCC" w:sz="1"/>
            </w:tcBorders>
            <w:shd w:fill="1B3A4B"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Intergenerational Endowment</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Mathematical</w:t>
            </w:r>
          </w:p>
        </w:tc>
        <w:tc>
          <w:tcPr>
            <w:tcW w:type="dxa" w:w="3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85% revenue/member trigger for 2 quarters; Hard Floor prohibition</w:t>
            </w:r>
          </w:p>
        </w:tc>
        <w:tc>
          <w:tcPr>
            <w:tcW w:type="dxa" w:w="3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20-year lockout; Self-Sustaining Threshold; mandatory inflation-proofing</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Procedural</w:t>
            </w:r>
          </w:p>
        </w:tc>
        <w:tc>
          <w:tcPr>
            <w:tcW w:type="dxa" w:w="3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ICPAU certification; tranched release; mandatory restoration</w:t>
            </w:r>
          </w:p>
        </w:tc>
        <w:tc>
          <w:tcPr>
            <w:tcW w:type="dxa" w:w="3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90-day public notice; independent actuarial assessment; tiered overflow</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Constitutional</w:t>
            </w:r>
          </w:p>
        </w:tc>
        <w:tc>
          <w:tcPr>
            <w:tcW w:type="dxa" w:w="3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75% supermajority to change rules; Transparency Ledger</w:t>
            </w:r>
          </w:p>
        </w:tc>
        <w:tc>
          <w:tcPr>
            <w:tcW w:type="dxa" w:w="3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85% supermajority to change rules; public disclosure to all members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Inter-Pool</w:t>
            </w:r>
          </w:p>
        </w:tc>
        <w:tc>
          <w:tcPr>
            <w:tcW w:type="dxa" w:w="3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Non-recourse: no transfers to or from Endowment</w:t>
            </w:r>
          </w:p>
        </w:tc>
        <w:tc>
          <w:tcPr>
            <w:tcW w:type="dxa" w:w="3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Non-recourse: no transfers to or from Stabilisation Pool</w:t>
            </w:r>
          </w:p>
        </w:tc>
      </w:tr>
    </w:tbl>
    <w:p>
      <w:pPr>
        <w:spacing w:after="150"/>
      </w:pPr>
    </w:p>
    <w:p>
      <w:pPr>
        <w:pStyle w:val="Heading2"/>
      </w:pPr>
      <w:r>
        <w:t xml:space="preserve">Key Independence Mechanisms</w:t>
      </w:r>
    </w:p>
    <w:p>
      <w:pPr>
        <w:pStyle w:val="ListParagraph"/>
        <w:numPr>
          <w:ilvl w:val="0"/>
          <w:numId w:val="2"/>
        </w:numPr>
        <w:spacing w:after="80"/>
      </w:pPr>
      <w:r>
        <w:rPr>
          <w:rFonts w:ascii="Arial" w:cs="Arial" w:eastAsia="Arial" w:hAnsi="Arial"/>
          <w:b/>
          <w:bCs/>
          <w:sz w:val="21"/>
          <w:szCs w:val="21"/>
        </w:rPr>
        <w:t xml:space="preserve">Investment Committee externals </w:t>
      </w:r>
      <w:r>
        <w:rPr>
          <w:rFonts w:ascii="Arial" w:cs="Arial" w:eastAsia="Arial" w:hAnsi="Arial"/>
          <w:sz w:val="21"/>
          <w:szCs w:val="21"/>
        </w:rPr>
        <w:t xml:space="preserve">are selected from a standing panel maintained by the ICPAU. The Council of Clans selects from the panel but cannot appoint anyone not on it. Removal only for criminal conviction, incapacity, or conflict of interest.</w:t>
      </w:r>
    </w:p>
    <w:p>
      <w:pPr>
        <w:pStyle w:val="ListParagraph"/>
        <w:numPr>
          <w:ilvl w:val="0"/>
          <w:numId w:val="2"/>
        </w:numPr>
        <w:spacing w:after="80"/>
      </w:pPr>
      <w:r>
        <w:rPr>
          <w:rFonts w:ascii="Arial" w:cs="Arial" w:eastAsia="Arial" w:hAnsi="Arial"/>
          <w:b/>
          <w:bCs/>
          <w:sz w:val="21"/>
          <w:szCs w:val="21"/>
        </w:rPr>
        <w:t xml:space="preserve">Fixed terms </w:t>
      </w:r>
      <w:r>
        <w:rPr>
          <w:rFonts w:ascii="Arial" w:cs="Arial" w:eastAsia="Arial" w:hAnsi="Arial"/>
          <w:sz w:val="21"/>
          <w:szCs w:val="21"/>
        </w:rPr>
        <w:t xml:space="preserve">do not align with Council election cycles. Staggered so no more than one-third turns over in any year.</w:t>
      </w:r>
    </w:p>
    <w:p>
      <w:pPr>
        <w:pStyle w:val="ListParagraph"/>
        <w:numPr>
          <w:ilvl w:val="0"/>
          <w:numId w:val="2"/>
        </w:numPr>
        <w:spacing w:after="80"/>
      </w:pPr>
      <w:r>
        <w:rPr>
          <w:rFonts w:ascii="Arial" w:cs="Arial" w:eastAsia="Arial" w:hAnsi="Arial"/>
          <w:b/>
          <w:bCs/>
          <w:sz w:val="21"/>
          <w:szCs w:val="21"/>
        </w:rPr>
        <w:t xml:space="preserve">Currency rebalancing </w:t>
      </w:r>
      <w:r>
        <w:rPr>
          <w:rFonts w:ascii="Arial" w:cs="Arial" w:eastAsia="Arial" w:hAnsi="Arial"/>
          <w:sz w:val="21"/>
          <w:szCs w:val="21"/>
        </w:rPr>
        <w:t xml:space="preserve">within the 45–65% international band is a standing annual mandate of the Investment Committee, not subject to Council approval.</w:t>
      </w:r>
    </w:p>
    <w:p>
      <w:pPr>
        <w:pStyle w:val="ListParagraph"/>
        <w:numPr>
          <w:ilvl w:val="0"/>
          <w:numId w:val="2"/>
        </w:numPr>
        <w:spacing w:after="80"/>
      </w:pPr>
      <w:r>
        <w:rPr>
          <w:rFonts w:ascii="Arial" w:cs="Arial" w:eastAsia="Arial" w:hAnsi="Arial"/>
          <w:b/>
          <w:bCs/>
          <w:sz w:val="21"/>
          <w:szCs w:val="21"/>
        </w:rPr>
        <w:t xml:space="preserve">10-Year Strategic Review </w:t>
      </w:r>
      <w:r>
        <w:rPr>
          <w:rFonts w:ascii="Arial" w:cs="Arial" w:eastAsia="Arial" w:hAnsi="Arial"/>
          <w:sz w:val="21"/>
          <w:szCs w:val="21"/>
        </w:rPr>
        <w:t xml:space="preserve">conducted by an independent ICPAU-appointed assessor. Council debates and votes within six months. Rule changes still require the relevant supermajority.</w:t>
      </w:r>
    </w:p>
    <w:p>
      <w:pPr>
        <w:pStyle w:val="ListParagraph"/>
        <w:numPr>
          <w:ilvl w:val="0"/>
          <w:numId w:val="2"/>
        </w:numPr>
        <w:spacing w:after="80"/>
      </w:pPr>
      <w:r>
        <w:rPr>
          <w:rFonts w:ascii="Arial" w:cs="Arial" w:eastAsia="Arial" w:hAnsi="Arial"/>
          <w:b/>
          <w:bCs/>
          <w:sz w:val="21"/>
          <w:szCs w:val="21"/>
        </w:rPr>
        <w:t xml:space="preserve">Governance Onboarding: </w:t>
      </w:r>
      <w:r>
        <w:rPr>
          <w:rFonts w:ascii="Arial" w:cs="Arial" w:eastAsia="Arial" w:hAnsi="Arial"/>
          <w:sz w:val="21"/>
          <w:szCs w:val="21"/>
        </w:rPr>
        <w:t xml:space="preserve">Mandatory three-day certification for every new Council member. Annual refresher for all members. Delivered by independent provider, not by fund management.</w:t>
      </w:r>
    </w:p>
    <w:p>
      <w:pPr>
        <w:pStyle w:val="Heading1"/>
      </w:pPr>
      <w:r>
        <w:t xml:space="preserve">Implementation: The First 36 Months</w:t>
      </w:r>
    </w:p>
    <w:p>
      <w:pPr>
        <w:pStyle w:val="Heading2"/>
      </w:pPr>
      <w:r>
        <w:t xml:space="preserve">Phase I: Legal Foundation (Months 1–12)</w:t>
      </w:r>
    </w:p>
    <w:p>
      <w:pPr>
        <w:pStyle w:val="ListParagraph"/>
        <w:numPr>
          <w:ilvl w:val="0"/>
          <w:numId w:val="2"/>
        </w:numPr>
        <w:spacing w:after="80"/>
      </w:pPr>
      <w:r>
        <w:rPr>
          <w:rFonts w:ascii="Arial" w:cs="Arial" w:eastAsia="Arial" w:hAnsi="Arial"/>
          <w:sz w:val="21"/>
          <w:szCs w:val="21"/>
        </w:rPr>
        <w:t xml:space="preserve">Month 3: Draft statutory trust deed and Articles of Association with all entrenched provisions.</w:t>
      </w:r>
    </w:p>
    <w:p>
      <w:pPr>
        <w:pStyle w:val="ListParagraph"/>
        <w:numPr>
          <w:ilvl w:val="0"/>
          <w:numId w:val="2"/>
        </w:numPr>
        <w:spacing w:after="80"/>
      </w:pPr>
      <w:r>
        <w:rPr>
          <w:rFonts w:ascii="Arial" w:cs="Arial" w:eastAsia="Arial" w:hAnsi="Arial"/>
          <w:sz w:val="21"/>
          <w:szCs w:val="21"/>
        </w:rPr>
        <w:t xml:space="preserve">Month 6: ICPAU constitutes the standing panel for Investment Committee appointments.</w:t>
      </w:r>
    </w:p>
    <w:p>
      <w:pPr>
        <w:pStyle w:val="ListParagraph"/>
        <w:numPr>
          <w:ilvl w:val="0"/>
          <w:numId w:val="2"/>
        </w:numPr>
        <w:spacing w:after="80"/>
      </w:pPr>
      <w:r>
        <w:rPr>
          <w:rFonts w:ascii="Arial" w:cs="Arial" w:eastAsia="Arial" w:hAnsi="Arial"/>
          <w:sz w:val="21"/>
          <w:szCs w:val="21"/>
        </w:rPr>
        <w:t xml:space="preserve">Month 8: Custody and banking framework established (international custodian + Tier 1 Ugandan bank).</w:t>
      </w:r>
    </w:p>
    <w:p>
      <w:pPr>
        <w:pStyle w:val="ListParagraph"/>
        <w:numPr>
          <w:ilvl w:val="0"/>
          <w:numId w:val="2"/>
        </w:numPr>
        <w:spacing w:after="80"/>
      </w:pPr>
      <w:r>
        <w:rPr>
          <w:rFonts w:ascii="Arial" w:cs="Arial" w:eastAsia="Arial" w:hAnsi="Arial"/>
          <w:sz w:val="21"/>
          <w:szCs w:val="21"/>
        </w:rPr>
        <w:t xml:space="preserve">Month 9: UAF Inspectorate baseline audit establishes initial three-year revenue rolling average.</w:t>
      </w:r>
    </w:p>
    <w:p>
      <w:pPr>
        <w:pStyle w:val="ListParagraph"/>
        <w:numPr>
          <w:ilvl w:val="0"/>
          <w:numId w:val="2"/>
        </w:numPr>
        <w:spacing w:after="80"/>
      </w:pPr>
      <w:r>
        <w:rPr>
          <w:rFonts w:ascii="Arial" w:cs="Arial" w:eastAsia="Arial" w:hAnsi="Arial"/>
          <w:sz w:val="21"/>
          <w:szCs w:val="21"/>
        </w:rPr>
        <w:t xml:space="preserve">Month 10: “Member’s Guide to the Shield” published in local languages using the granary analogy. Community briefings held before any money moves.</w:t>
      </w:r>
    </w:p>
    <w:p>
      <w:pPr>
        <w:pStyle w:val="ListParagraph"/>
        <w:numPr>
          <w:ilvl w:val="0"/>
          <w:numId w:val="2"/>
        </w:numPr>
        <w:spacing w:after="80"/>
      </w:pPr>
      <w:r>
        <w:rPr>
          <w:rFonts w:ascii="Arial" w:cs="Arial" w:eastAsia="Arial" w:hAnsi="Arial"/>
          <w:sz w:val="21"/>
          <w:szCs w:val="21"/>
        </w:rPr>
        <w:t xml:space="preserve">Month 12: Council of Clans passes founding resolution. Company Limited by Guarantee incorporated. Revised allocation table takes effect.</w:t>
      </w:r>
    </w:p>
    <w:p>
      <w:pPr>
        <w:pStyle w:val="Heading2"/>
      </w:pPr>
      <w:r>
        <w:t xml:space="preserve">Phase II: Accumulation Launch (Months 13–24)</w:t>
      </w:r>
    </w:p>
    <w:p>
      <w:pPr>
        <w:pStyle w:val="ListParagraph"/>
        <w:numPr>
          <w:ilvl w:val="0"/>
          <w:numId w:val="2"/>
        </w:numPr>
        <w:spacing w:after="80"/>
      </w:pPr>
      <w:r>
        <w:rPr>
          <w:rFonts w:ascii="Arial" w:cs="Arial" w:eastAsia="Arial" w:hAnsi="Arial"/>
          <w:sz w:val="21"/>
          <w:szCs w:val="21"/>
        </w:rPr>
        <w:t xml:space="preserve">Month 13: First quarterly levy transfer into the fund. 40/60 split takes effect.</w:t>
      </w:r>
    </w:p>
    <w:p>
      <w:pPr>
        <w:pStyle w:val="ListParagraph"/>
        <w:numPr>
          <w:ilvl w:val="0"/>
          <w:numId w:val="2"/>
        </w:numPr>
        <w:spacing w:after="80"/>
      </w:pPr>
      <w:r>
        <w:rPr>
          <w:rFonts w:ascii="Arial" w:cs="Arial" w:eastAsia="Arial" w:hAnsi="Arial"/>
          <w:sz w:val="21"/>
          <w:szCs w:val="21"/>
        </w:rPr>
        <w:t xml:space="preserve">Month 15: Investment Committee completes manager selection (low-cost index funds, Gold ETFs, Treasury Bills).</w:t>
      </w:r>
    </w:p>
    <w:p>
      <w:pPr>
        <w:pStyle w:val="ListParagraph"/>
        <w:numPr>
          <w:ilvl w:val="0"/>
          <w:numId w:val="2"/>
        </w:numPr>
        <w:spacing w:after="80"/>
      </w:pPr>
      <w:r>
        <w:rPr>
          <w:rFonts w:ascii="Arial" w:cs="Arial" w:eastAsia="Arial" w:hAnsi="Arial"/>
          <w:sz w:val="21"/>
          <w:szCs w:val="21"/>
        </w:rPr>
        <w:t xml:space="preserve">Month 18: First Transparency Ledger published to all federation members. First Santiago+ self-assessment.</w:t>
      </w:r>
    </w:p>
    <w:p>
      <w:pPr>
        <w:pStyle w:val="Heading2"/>
      </w:pPr>
      <w:r>
        <w:t xml:space="preserve">Phase III: Resilience Test (Months 25–36)</w:t>
      </w:r>
    </w:p>
    <w:p>
      <w:pPr>
        <w:pStyle w:val="ListParagraph"/>
        <w:numPr>
          <w:ilvl w:val="0"/>
          <w:numId w:val="2"/>
        </w:numPr>
        <w:spacing w:after="80"/>
      </w:pPr>
      <w:r>
        <w:rPr>
          <w:rFonts w:ascii="Arial" w:cs="Arial" w:eastAsia="Arial" w:hAnsi="Arial"/>
          <w:sz w:val="21"/>
          <w:szCs w:val="21"/>
        </w:rPr>
        <w:t xml:space="preserve">Month 25: First annual currency rebalancing within the 45–65% band.</w:t>
      </w:r>
    </w:p>
    <w:p>
      <w:pPr>
        <w:pStyle w:val="ListParagraph"/>
        <w:numPr>
          <w:ilvl w:val="0"/>
          <w:numId w:val="2"/>
        </w:numPr>
        <w:spacing w:after="80"/>
      </w:pPr>
      <w:r>
        <w:rPr>
          <w:rFonts w:ascii="Arial" w:cs="Arial" w:eastAsia="Arial" w:hAnsi="Arial"/>
          <w:sz w:val="21"/>
          <w:szCs w:val="21"/>
        </w:rPr>
        <w:t xml:space="preserve">Month 30: Shared infrastructure tested with Pension Trust pilot.</w:t>
      </w:r>
    </w:p>
    <w:p>
      <w:pPr>
        <w:pStyle w:val="ListParagraph"/>
        <w:numPr>
          <w:ilvl w:val="0"/>
          <w:numId w:val="2"/>
        </w:numPr>
        <w:spacing w:after="80"/>
      </w:pPr>
      <w:r>
        <w:rPr>
          <w:rFonts w:ascii="Arial" w:cs="Arial" w:eastAsia="Arial" w:hAnsi="Arial"/>
          <w:sz w:val="21"/>
          <w:szCs w:val="21"/>
        </w:rPr>
        <w:t xml:space="preserve">Month 36: Three-year mini-audit confirms Hard Floor formula is tracking correctly. Rolling average now based on fully audited data.</w:t>
      </w:r>
    </w:p>
    <w:p>
      <w:pPr>
        <w:pStyle w:val="Heading1"/>
      </w:pPr>
      <w:r>
        <w:t xml:space="preserve">What the Evidence Shows</w:t>
      </w:r>
    </w:p>
    <w:p>
      <w:pPr>
        <w:spacing w:after="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780"/>
        <w:gridCol w:w="3780"/>
      </w:tblGrid>
      <w:tr>
        <w:tc>
          <w:tcPr>
            <w:tcW w:type="dxa" w:w="1800"/>
            <w:tcBorders>
              <w:top w:val="single" w:color="CCCCCC" w:sz="1"/>
              <w:left w:val="single" w:color="CCCCCC" w:sz="1"/>
              <w:bottom w:val="single" w:color="CCCCCC" w:sz="1"/>
              <w:right w:val="single" w:color="CCCCCC" w:sz="1"/>
            </w:tcBorders>
            <w:shd w:fill="1B3A4B"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Model</w:t>
            </w:r>
          </w:p>
        </w:tc>
        <w:tc>
          <w:tcPr>
            <w:tcW w:type="dxa" w:w="3780"/>
            <w:tcBorders>
              <w:top w:val="single" w:color="CCCCCC" w:sz="1"/>
              <w:left w:val="single" w:color="CCCCCC" w:sz="1"/>
              <w:bottom w:val="single" w:color="CCCCCC" w:sz="1"/>
              <w:right w:val="single" w:color="CCCCCC" w:sz="1"/>
            </w:tcBorders>
            <w:shd w:fill="1B3A4B"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Key Lesson</w:t>
            </w:r>
          </w:p>
        </w:tc>
        <w:tc>
          <w:tcPr>
            <w:tcW w:type="dxa" w:w="3780"/>
            <w:tcBorders>
              <w:top w:val="single" w:color="CCCCCC" w:sz="1"/>
              <w:left w:val="single" w:color="CCCCCC" w:sz="1"/>
              <w:bottom w:val="single" w:color="CCCCCC" w:sz="1"/>
              <w:right w:val="single" w:color="CCCCCC" w:sz="1"/>
            </w:tcBorders>
            <w:shd w:fill="1B3A4B"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UAF Application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Norway</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Build discipline when the fund is small. Invest 100% outside the domestic economy to de-couple fund performance from domestic commodity risk.</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Establish governance and the 3% draw rule from day one. Minimum 60% international investment in the Endowment.</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Botswana</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A fund without enforceable rules and structural pool separation will be raided. The Pula Fund fell from 121% to 24% of GDP due to governance gaps.</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Dual-track Separate Series with non-recourse clause. Mathematical triggers replace political discretion.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Alaska</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Separate the corpus from the dividend. Inflation-proof the corpus mechanically. Formula-driven payouts are more durable than legislative discretion.</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Mandatory inflation-proofing before any distribution. The 3% POMV draw is formula-based, not appropriated.</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Nigeria</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Ring-fenced pools within one institution resolve the "who owns the money" dispute. Give constituents a visible near-term benefit in exchange for accepting the long-term lockbox.</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Stabilisation Pool + Strategic Opportunity Reserve provide near-term value. Endowment lockbox is the price of admission.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bCs/>
                <w:sz w:val="18"/>
                <w:szCs w:val="18"/>
              </w:rPr>
              <w:t xml:space="preserve">Mondragon</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Cooperative reserves succeed when they transform rather than just compensate. The Fagor collapse was managed through retraining and redeployment, not cash payouts.</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pPr>
            <w:r>
              <w:rPr>
                <w:rFonts w:ascii="Arial" w:cs="Arial" w:eastAsia="Arial" w:hAnsi="Arial"/>
                <w:b w:val="false"/>
                <w:bCs w:val="false"/>
                <w:sz w:val="18"/>
                <w:szCs w:val="18"/>
              </w:rPr>
              <w:t xml:space="preserve">Stabilisation drawdowns prioritise restructuring, retraining, and redeployment over passive cash distribution.</w:t>
            </w:r>
          </w:p>
        </w:tc>
      </w:tr>
    </w:tbl>
    <w:p>
      <w:pPr>
        <w:spacing w:after="200"/>
      </w:pPr>
    </w:p>
    <w:p>
      <w:pPr>
        <w:pStyle w:val="Heading1"/>
      </w:pPr>
      <w:r>
        <w:t xml:space="preserve">The Ancestral Mandate</w:t>
      </w:r>
    </w:p>
    <w:p>
      <w:pPr>
        <w:spacing w:after="180" w:before="0"/>
      </w:pPr>
      <w:r>
        <w:rPr>
          <w:rFonts w:ascii="Arial" w:cs="Arial" w:eastAsia="Arial" w:hAnsi="Arial"/>
          <w:sz w:val="21"/>
          <w:szCs w:val="21"/>
        </w:rPr>
        <w:t xml:space="preserve">The Intergenerational Stabilisation Fund is not a foreign concept imposed on Ugandan institutions. It is a modern financial expression of principles that have governed communal resource management in East African societies for centuries. The Stabilisation Pool is the stored grain for a bad season. The Endowment is the seed grain: locked away, never consumed, planted so each successive harvest is larger. The 20-year lockout is the growing season.</w:t>
      </w:r>
    </w:p>
    <w:p>
      <w:pPr>
        <w:spacing w:after="180" w:before="0"/>
      </w:pPr>
      <w:r>
        <w:rPr>
          <w:rFonts w:ascii="Arial" w:cs="Arial" w:eastAsia="Arial" w:hAnsi="Arial"/>
          <w:sz w:val="21"/>
          <w:szCs w:val="21"/>
        </w:rPr>
        <w:t xml:space="preserve">The federation pays a modest insurance premium today, in the form of reduced current distributions, to ensure that the system works for those alive now and for those not yet born. The discipline must be built while the fund is small. By the time it is large enough to matter, the institutional immune system must be strong enough to protect it.</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99999"/>
        <w:sz w:val="16"/>
        <w:szCs w:val="16"/>
      </w:rPr>
      <w:t xml:space="preserve">Page </w:t>
    </w:r>
    <w:r>
      <w:rPr>
        <w:rFonts w:ascii="Arial" w:cs="Arial" w:eastAsia="Arial" w:hAnsi="Arial"/>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028" w:sz="4" w:space="4"/>
      </w:pBdr>
      <w:tabs>
        <w:tab w:val="right" w:pos="9026"/>
      </w:tabs>
      <w:spacing w:after="0"/>
    </w:pPr>
    <w:r>
      <w:rPr>
        <w:rFonts w:ascii="Arial" w:cs="Arial" w:eastAsia="Arial" w:hAnsi="Arial"/>
        <w:i/>
        <w:iCs/>
        <w:color w:val="777777"/>
        <w:sz w:val="16"/>
        <w:szCs w:val="16"/>
      </w:rPr>
      <w:t xml:space="preserve">The Intergenerational Shield — Policy Brief</w:t>
    </w:r>
    <w:r>
      <w:rPr>
        <w:rFonts w:ascii="Arial" w:cs="Arial" w:eastAsia="Arial" w:hAnsi="Arial"/>
        <w:color w:val="777777"/>
        <w:sz w:val="16"/>
        <w:szCs w:val="16"/>
      </w:rPr>
      <w:t xml:space="preserve">	UAF Research Series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60"/>
      <w:outlineLvl w:val="0"/>
    </w:pPr>
    <w:rPr>
      <w:rFonts w:ascii="Arial" w:cs="Arial" w:eastAsia="Arial" w:hAnsi="Arial"/>
      <w:b/>
      <w:bCs/>
      <w:color w:val="1B3A4B"/>
      <w:sz w:val="30"/>
      <w:szCs w:val="30"/>
    </w:rPr>
  </w:style>
  <w:style w:type="paragraph" w:styleId="Heading2">
    <w:name w:val="Heading 2"/>
    <w:basedOn w:val="Normal"/>
    <w:next w:val="Normal"/>
    <w:qFormat/>
    <w:pPr>
      <w:spacing w:before="240" w:after="120"/>
      <w:outlineLvl w:val="1"/>
    </w:pPr>
    <w:rPr>
      <w:rFonts w:ascii="Arial" w:cs="Arial" w:eastAsia="Arial" w:hAnsi="Arial"/>
      <w:b/>
      <w:bCs/>
      <w:color w:val="1B3A4B"/>
      <w:sz w:val="24"/>
      <w:szCs w:val="24"/>
    </w:rPr>
  </w:style>
  <w:style w:type="paragraph" w:styleId="Heading3">
    <w:name w:val="Heading 3"/>
    <w:basedOn w:val="Normal"/>
    <w:next w:val="Normal"/>
    <w:qFormat/>
    <w:pPr>
      <w:spacing w:before="180" w:after="100"/>
      <w:outlineLvl w:val="2"/>
    </w:pPr>
    <w:rPr>
      <w:rFonts w:ascii="Arial" w:cs="Arial" w:eastAsia="Arial" w:hAnsi="Arial"/>
      <w:b/>
      <w:bCs/>
      <w:color w:val="22222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2026-03-25T23:00:46.826Z</dcterms:created>
  <dcterms:modified xsi:type="dcterms:W3CDTF">2026-03-25T23:00:46.827Z</dcterms:modified>
</cp:coreProperties>
</file>

<file path=docProps/custom.xml><?xml version="1.0" encoding="utf-8"?>
<Properties xmlns="http://schemas.openxmlformats.org/officeDocument/2006/custom-properties" xmlns:vt="http://schemas.openxmlformats.org/officeDocument/2006/docPropsVTypes"/>
</file>