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000"/>
      </w:pPr>
    </w:p>
    <w:p>
      <w:pPr>
        <w:spacing w:after="300"/>
        <w:jc w:val="center"/>
      </w:pPr>
      <w:r>
        <w:rPr>
          <w:rFonts w:ascii="Georgia" w:cs="Georgia" w:eastAsia="Georgia" w:hAnsi="Georgia"/>
          <w:b/>
          <w:bCs/>
          <w:color w:val="1B5E20"/>
          <w:sz w:val="48"/>
          <w:szCs w:val="48"/>
        </w:rPr>
        <w:t xml:space="preserve">THE FIFTH PILLAR</w:t>
      </w:r>
    </w:p>
    <w:p>
      <w:pPr>
        <w:spacing w:after="100"/>
        <w:jc w:val="center"/>
      </w:pPr>
      <w:r>
        <w:rPr>
          <w:rFonts w:ascii="Georgia" w:cs="Georgia" w:eastAsia="Georgia" w:hAnsi="Georgia"/>
          <w:i/>
          <w:iCs/>
          <w:color w:val="555555"/>
          <w:sz w:val="26"/>
          <w:szCs w:val="26"/>
        </w:rPr>
        <w:t xml:space="preserve">Why the Uganda Alliance Fund Needs Its Own Competition Framework</w:t>
      </w:r>
    </w:p>
    <w:p>
      <w:pPr>
        <w:spacing w:after="400"/>
        <w:jc w:val="center"/>
      </w:pPr>
      <w:r>
        <w:rPr>
          <w:rFonts w:ascii="Georgia" w:cs="Georgia" w:eastAsia="Georgia" w:hAnsi="Georgia"/>
          <w:color w:val="888888"/>
          <w:sz w:val="22"/>
          <w:szCs w:val="22"/>
        </w:rPr>
        <w:t xml:space="preserve">An Essay for General Readership</w:t>
      </w:r>
    </w:p>
    <w:p>
      <w:pPr>
        <w:spacing w:after="100"/>
        <w:jc w:val="center"/>
      </w:pPr>
      <w:r>
        <w:rPr>
          <w:rFonts w:ascii="Georgia" w:cs="Georgia" w:eastAsia="Georgia" w:hAnsi="Georgia"/>
          <w:b/>
          <w:bCs/>
          <w:sz w:val="22"/>
          <w:szCs w:val="22"/>
        </w:rPr>
        <w:t xml:space="preserve">The African Renaissance Foundation</w:t>
      </w:r>
    </w:p>
    <w:p>
      <w:pPr>
        <w:spacing w:after="200"/>
        <w:jc w:val="center"/>
      </w:pPr>
      <w:r>
        <w:rPr>
          <w:rFonts w:ascii="Georgia" w:cs="Georgia" w:eastAsia="Georgia" w:hAnsi="Georgia"/>
          <w:color w:val="888888"/>
          <w:sz w:val="22"/>
          <w:szCs w:val="22"/>
        </w:rPr>
        <w:t xml:space="preserve">March 2026</w:t>
      </w:r>
    </w:p>
    <w:p>
      <w:pPr>
        <w:spacing w:before="800"/>
        <w:jc w:val="center"/>
      </w:pPr>
      <w:r>
        <w:rPr>
          <w:rFonts w:ascii="Georgia" w:cs="Georgia" w:eastAsia="Georgia" w:hAnsi="Georgia"/>
          <w:i/>
          <w:iCs/>
          <w:color w:val="AAAAAA"/>
          <w:sz w:val="20"/>
          <w:szCs w:val="20"/>
        </w:rPr>
        <w:t xml:space="preserve">15–20 minute read</w:t>
      </w:r>
    </w:p>
    <w:p>
      <w:r>
        <w:br w:type="page"/>
      </w:r>
    </w:p>
    <w:p>
      <w:pPr>
        <w:pBdr>
          <w:bottom w:val="single" w:color="CCCCCC" w:sz="1" w:space="1"/>
        </w:pBdr>
        <w:spacing w:before="300" w:after="300"/>
        <w:jc w:val="center"/>
      </w:pPr>
    </w:p>
    <w:p>
      <w:pPr>
        <w:spacing w:after="200" w:line="320"/>
      </w:pPr>
      <w:r>
        <w:rPr>
          <w:rFonts w:ascii="Georgia" w:cs="Georgia" w:eastAsia="Georgia" w:hAnsi="Georgia"/>
          <w:sz w:val="24"/>
          <w:szCs w:val="24"/>
        </w:rPr>
        <w:t xml:space="preserve">Imagine two construction companies bidding for the same government road contract in northern Uganda. Both are Clan Operating Companies within the Uganda Alliance Fund. One belongs to a large, well-established clan in Buganda with a diversified portfolio of businesses across five sectors. The other belongs to a smaller Acholi clan that formalised its first enterprise eighteen months ago. The Buganda-based company submits a bid 30 per cent below the market rate. It can afford to. Its parent Clan Institution cross-subsidises the loss from profits generated by its agro-processing and financial services arms. The Acholi company, which has no other businesses to absorb losses, cannot match the price. It loses the contract. Then it loses the next one. Within a year, it exits the sector entirely.</w:t>
      </w:r>
    </w:p>
    <w:p>
      <w:pPr>
        <w:spacing w:after="200" w:line="320"/>
      </w:pPr>
      <w:r>
        <w:rPr>
          <w:rFonts w:ascii="Georgia" w:cs="Georgia" w:eastAsia="Georgia" w:hAnsi="Georgia"/>
          <w:sz w:val="24"/>
          <w:szCs w:val="24"/>
        </w:rPr>
        <w:t xml:space="preserve">Who adjudicates this? The Ministry of Trade's Technical Committee, which administers Uganda's new Competition Act? That body was designed to regulate conduct in the national market. It has no mandate to understand the internal dynamics of a federated clan enterprise system, where the two competitors are simultaneously rivals in the marketplace and members of a shared federation bound by obligations of solidarity and mutual support. The losing clan doesn't just see a commercial defeat. It sees a federation that was supposed to lift every clan, allowing the powerful to crush the small.</w:t>
      </w:r>
    </w:p>
    <w:p>
      <w:pPr>
        <w:spacing w:after="200" w:line="320"/>
      </w:pPr>
      <w:r>
        <w:rPr>
          <w:rFonts w:ascii="Georgia" w:cs="Georgia" w:eastAsia="Georgia" w:hAnsi="Georgia"/>
          <w:sz w:val="24"/>
          <w:szCs w:val="24"/>
        </w:rPr>
        <w:t xml:space="preserve">This is the problem that the UAF's existing framework doesn't yet solve. And solving it is the subject of a new policy paper from the African Renaissance Foundation: *The Fifth Pillar*.</w:t>
      </w:r>
    </w:p>
    <w:p>
      <w:pPr>
        <w:pStyle w:val="Heading2"/>
        <w:spacing w:before="400" w:after="200"/>
      </w:pPr>
      <w:r>
        <w:rPr>
          <w:rFonts w:ascii="Georgia" w:cs="Georgia" w:eastAsia="Georgia" w:hAnsi="Georgia"/>
          <w:b/>
          <w:bCs/>
          <w:color w:val="2E7D32"/>
          <w:sz w:val="28"/>
          <w:szCs w:val="28"/>
        </w:rPr>
        <w:t xml:space="preserve">The gap in the architecture</w:t>
      </w:r>
    </w:p>
    <w:p>
      <w:pPr>
        <w:spacing w:after="200" w:line="320"/>
      </w:pPr>
      <w:r>
        <w:rPr>
          <w:rFonts w:ascii="Georgia" w:cs="Georgia" w:eastAsia="Georgia" w:hAnsi="Georgia"/>
          <w:sz w:val="24"/>
          <w:szCs w:val="24"/>
        </w:rPr>
        <w:t xml:space="preserve">The Uganda Alliance Fund rests on four foundational pillars: clan sovereignty in economic activity, federated equity through the equalisation mechanism, universal citizen participation via the Ubuntu Dividend, and cultural preservation through the Kingdom Cultural Trusts. Together, they form an economic architecture of remarkable ambition. But the framework has a structural gap. It anticipates that Clan Operating Companies from different clans will compete in the same sectors. It does not include a formal set of rules governing how that competition should work, or an independent body to enforce those rules.</w:t>
      </w:r>
    </w:p>
    <w:p>
      <w:pPr>
        <w:spacing w:after="200" w:line="320"/>
      </w:pPr>
      <w:r>
        <w:rPr>
          <w:rFonts w:ascii="Georgia" w:cs="Georgia" w:eastAsia="Georgia" w:hAnsi="Georgia"/>
          <w:sz w:val="24"/>
          <w:szCs w:val="24"/>
        </w:rPr>
        <w:t xml:space="preserve">The companion paper, *Ubuntu and the Innovation Question*, identified this gap explicitly as one of four structural issues requiring urgent design attention. The Innovation Architecture implementation plan designated two additions as high-priority: a Competition and Fair Dealing Charter, and an Independent Competition Panel to administer it. *The Fifth Pillar* provides the detailed argument, institutional design, and evidence base for both.</w:t>
      </w:r>
    </w:p>
    <w:p>
      <w:pPr>
        <w:pStyle w:val="Heading2"/>
        <w:spacing w:before="400" w:after="200"/>
      </w:pPr>
      <w:r>
        <w:rPr>
          <w:rFonts w:ascii="Georgia" w:cs="Georgia" w:eastAsia="Georgia" w:hAnsi="Georgia"/>
          <w:b/>
          <w:bCs/>
          <w:color w:val="2E7D32"/>
          <w:sz w:val="28"/>
          <w:szCs w:val="28"/>
        </w:rPr>
        <w:t xml:space="preserve">Why the national regime isn't enough</w:t>
      </w:r>
    </w:p>
    <w:p>
      <w:pPr>
        <w:spacing w:after="200" w:line="320"/>
      </w:pPr>
      <w:r>
        <w:rPr>
          <w:rFonts w:ascii="Georgia" w:cs="Georgia" w:eastAsia="Georgia" w:hAnsi="Georgia"/>
          <w:sz w:val="24"/>
          <w:szCs w:val="24"/>
        </w:rPr>
        <w:t xml:space="preserve">Uganda now has, for the first time, a comprehensive national competition law. The Competition Act, 2023 (Cap. 66) received Presidential assent in February 2024 and commenced in April of that year. The implementing Regulations were gazetted in August 2025. This is a genuine milestone after two decades of effort.</w:t>
      </w:r>
    </w:p>
    <w:p>
      <w:pPr>
        <w:spacing w:after="200" w:line="320"/>
      </w:pPr>
      <w:r>
        <w:rPr>
          <w:rFonts w:ascii="Georgia" w:cs="Georgia" w:eastAsia="Georgia" w:hAnsi="Georgia"/>
          <w:sz w:val="24"/>
          <w:szCs w:val="24"/>
        </w:rPr>
        <w:t xml:space="preserve">But the national regime faces its own challenges. Enforcement sits within the Ministry of Trade through a Technical Committee of seven members, after the President rejected Parliament's proposal for an independent commission. Legal commentators have flagged concerns about limited staffing expertise, potential political influence, and the absence of clear coordination protocols with sector-specific regulators. The regime is new, its capacity is developing, and its attention is necessarily directed at the entire Ugandan market.</w:t>
      </w:r>
    </w:p>
    <w:p>
      <w:pPr>
        <w:spacing w:after="200" w:line="320"/>
      </w:pPr>
      <w:r>
        <w:rPr>
          <w:rFonts w:ascii="Georgia" w:cs="Georgia" w:eastAsia="Georgia" w:hAnsi="Georgia"/>
          <w:sz w:val="24"/>
          <w:szCs w:val="24"/>
        </w:rPr>
        <w:t xml:space="preserve">The UAF's competitive dynamics are different from anything the national Act was designed to handle. When two COCs compete, they do so within a web of mutual obligations. They both pay levies into the same federation fund. Their performance feeds the same equalisation formula. Their profits contribute to the same Ubuntu Dividend pool. A clan that destroys a rival's commercial viability doesn't just eliminate a competitor. It reduces the federation's aggregate revenue, shrinks the equalisation pool, and weakens the system that every member depends on. Predatory behaviour within the federation is, in a real sense, self-harm.</w:t>
      </w:r>
    </w:p>
    <w:p>
      <w:pPr>
        <w:spacing w:after="200" w:line="320"/>
      </w:pPr>
      <w:r>
        <w:rPr>
          <w:rFonts w:ascii="Georgia" w:cs="Georgia" w:eastAsia="Georgia" w:hAnsi="Georgia"/>
          <w:sz w:val="24"/>
          <w:szCs w:val="24"/>
        </w:rPr>
        <w:t xml:space="preserve">The national Act doesn't recognise these dynamics. The UAF needs an internal framework that does.</w:t>
      </w:r>
    </w:p>
    <w:p>
      <w:pPr>
        <w:pStyle w:val="Heading2"/>
        <w:spacing w:before="400" w:after="200"/>
      </w:pPr>
      <w:r>
        <w:rPr>
          <w:rFonts w:ascii="Georgia" w:cs="Georgia" w:eastAsia="Georgia" w:hAnsi="Georgia"/>
          <w:b/>
          <w:bCs/>
          <w:color w:val="2E7D32"/>
          <w:sz w:val="28"/>
          <w:szCs w:val="28"/>
        </w:rPr>
        <w:t xml:space="preserve">What the world's two best cooperative models tell us</w:t>
      </w:r>
    </w:p>
    <w:p>
      <w:pPr>
        <w:spacing w:after="200" w:line="320"/>
      </w:pPr>
      <w:r>
        <w:rPr>
          <w:rFonts w:ascii="Georgia" w:cs="Georgia" w:eastAsia="Georgia" w:hAnsi="Georgia"/>
          <w:sz w:val="24"/>
          <w:szCs w:val="24"/>
        </w:rPr>
        <w:t xml:space="preserve">To design that framework, *The Fifth Pillar* examines two real-world precedents in depth.</w:t>
      </w:r>
    </w:p>
    <w:p>
      <w:pPr>
        <w:spacing w:after="200" w:line="320"/>
      </w:pPr>
      <w:r>
        <w:rPr>
          <w:rFonts w:ascii="Georgia" w:cs="Georgia" w:eastAsia="Georgia" w:hAnsi="Georgia"/>
          <w:sz w:val="24"/>
          <w:szCs w:val="24"/>
        </w:rPr>
        <w:t xml:space="preserve">The first is the Mondragon Corporation in the Basque Country of Spain. Mondragon is the world's largest worker cooperative federation: 81 self-governing cooperatives, €11.2 billion in combined sales in 2024, over 70,000 employees, nearly seventy years of continuous operation. Its approach to internal competition is unambiguous. It prevents it. Cooperatives are organised into product and market divisions, and the corporation's central bodies ensure that members do not compete with one another. When demand collapsed in the home appliance sector during the European financial crisis and the flagship cooperative Fagor Electrodomésticos went bankrupt in 2013, the inter-cooperation principle kicked in: the vast majority of Fagor's 1,800 displaced workers were absorbed into other Mondragon cooperatives.</w:t>
      </w:r>
    </w:p>
    <w:p>
      <w:pPr>
        <w:spacing w:after="200" w:line="320"/>
      </w:pPr>
      <w:r>
        <w:rPr>
          <w:rFonts w:ascii="Georgia" w:cs="Georgia" w:eastAsia="Georgia" w:hAnsi="Georgia"/>
          <w:sz w:val="24"/>
          <w:szCs w:val="24"/>
        </w:rPr>
        <w:t xml:space="preserve">The second is the cooperative economy of Emilia-Romagna in northern Italy. With a population of roughly 4.5 million, the region hosts one of the densest cooperative ecosystems anywhere. Cooperatives contribute an estimated 30 per cent of regional GDP. About two in three residents are cooperative members. The region's trajectory tells the story: after the Second World War, Emilia-Romagna ranked near the bottom of Italy's twenty regions in economic performance. It now stands third by GDP per capita, with income well above the European average. And unlike Mondragon, its cooperatives compete vigorously with each other. The ceramics firms of Sassuolo, the food processors of Parma, the engineering companies of Bologna all operate in genuine commercial rivalry. What makes it work is the institutional infrastructure underneath: eleven publicly supported Technopoles for shared research, sectoral coordination associations, cooperative federations providing shared services, and decades of investment in education and institutional capacity.</w:t>
      </w:r>
    </w:p>
    <w:p>
      <w:pPr>
        <w:spacing w:after="200" w:line="320"/>
      </w:pPr>
      <w:r>
        <w:rPr>
          <w:rFonts w:ascii="Georgia" w:cs="Georgia" w:eastAsia="Georgia" w:hAnsi="Georgia"/>
          <w:sz w:val="24"/>
          <w:szCs w:val="24"/>
        </w:rPr>
        <w:t xml:space="preserve">Both models have sustained extraordinary performance. Both offer lessons for the UAF. And neither can be adopted wholesale.</w:t>
      </w:r>
    </w:p>
    <w:p>
      <w:pPr>
        <w:spacing w:after="200" w:line="320"/>
      </w:pPr>
      <w:r>
        <w:rPr>
          <w:rFonts w:ascii="Georgia" w:cs="Georgia" w:eastAsia="Georgia" w:hAnsi="Georgia"/>
          <w:sz w:val="24"/>
          <w:szCs w:val="24"/>
        </w:rPr>
        <w:t xml:space="preserve">Mondragon's non-competition model works in a small, culturally homogeneous region where social cohesion is supported by a shared language, a strong regional identity, and decades of institutional trust. Uganda's federation draws its strength from diversity, with hundreds of clans across multiple kingdoms, ethnic groups, and regions. Concentrating market-allocation decisions in a central body, in that context, invites capture by dominant clans and perceptions of favouritism that could tear the federation apart.</w:t>
      </w:r>
    </w:p>
    <w:p>
      <w:pPr>
        <w:spacing w:after="200" w:line="320"/>
      </w:pPr>
      <w:r>
        <w:rPr>
          <w:rFonts w:ascii="Georgia" w:cs="Georgia" w:eastAsia="Georgia" w:hAnsi="Georgia"/>
          <w:sz w:val="24"/>
          <w:szCs w:val="24"/>
        </w:rPr>
        <w:t xml:space="preserve">Emilia-Romagna's competitive cooperation works because of more than a century of institutional development. The UAF is building its institutions from scratch. It cannot rely on informal civic culture to prevent competition from becoming destructive. It needs explicit rules and an independent body to enforce them.</w:t>
      </w:r>
    </w:p>
    <w:p>
      <w:pPr>
        <w:spacing w:after="200" w:line="320"/>
      </w:pPr>
      <w:r>
        <w:rPr>
          <w:rFonts w:ascii="Georgia" w:cs="Georgia" w:eastAsia="Georgia" w:hAnsi="Georgia"/>
          <w:sz w:val="24"/>
          <w:szCs w:val="24"/>
        </w:rPr>
        <w:t xml:space="preserve">The paper argues for a hybrid: active competition as the default, supported by shared infrastructure to level the playing field, governed by clear prohibitions and administered by an independent adjudicator. The discipline of Emilia-Romagna. The solidarity of Mondragon. The rules that both models assume but that the UAF must build deliberately.</w:t>
      </w:r>
    </w:p>
    <w:p>
      <w:pPr>
        <w:pStyle w:val="Heading2"/>
        <w:spacing w:before="400" w:after="200"/>
      </w:pPr>
      <w:r>
        <w:rPr>
          <w:rFonts w:ascii="Georgia" w:cs="Georgia" w:eastAsia="Georgia" w:hAnsi="Georgia"/>
          <w:b/>
          <w:bCs/>
          <w:color w:val="2E7D32"/>
          <w:sz w:val="28"/>
          <w:szCs w:val="28"/>
        </w:rPr>
        <w:t xml:space="preserve">What the Charter actually says</w:t>
      </w:r>
    </w:p>
    <w:p>
      <w:pPr>
        <w:spacing w:after="200" w:line="320"/>
      </w:pPr>
      <w:r>
        <w:rPr>
          <w:rFonts w:ascii="Georgia" w:cs="Georgia" w:eastAsia="Georgia" w:hAnsi="Georgia"/>
          <w:sz w:val="24"/>
          <w:szCs w:val="24"/>
        </w:rPr>
        <w:t xml:space="preserve">The proposed Competition and Fair Dealing Charter would become a dedicated chapter of the Federation Covenant, binding on every Clan Institution and every COC as a condition of membership. Its provisions fall into five categories.</w:t>
      </w:r>
    </w:p>
    <w:p>
      <w:pPr>
        <w:spacing w:after="200" w:line="320"/>
      </w:pPr>
      <w:r>
        <w:rPr>
          <w:rFonts w:ascii="Georgia" w:cs="Georgia" w:eastAsia="Georgia" w:hAnsi="Georgia"/>
          <w:sz w:val="24"/>
          <w:szCs w:val="24"/>
        </w:rPr>
        <w:t xml:space="preserve">Foundational principles. Four principles guide the Panel's interpretation of every case. The principle of productive rivalry establishes that competition between COCs is valued, not merely tolerated. The principle of federation solidarity recognises that conduct destructive to the collective enterprise ecosystem, even if commercially rational for one COC, is contrary to the Covenant's purpose. The principle of equal opportunity requires that the rules do not systematically favour larger clans at the expense of smaller ones. The principle of institutional separation draws a bright line around the Panel's authority: it governs how COCs treat each other, not how they run their businesses.</w:t>
      </w:r>
    </w:p>
    <w:p>
      <w:pPr>
        <w:spacing w:after="200" w:line="320"/>
      </w:pPr>
      <w:r>
        <w:rPr>
          <w:rFonts w:ascii="Georgia" w:cs="Georgia" w:eastAsia="Georgia" w:hAnsi="Georgia"/>
          <w:sz w:val="24"/>
          <w:szCs w:val="24"/>
        </w:rPr>
        <w:t xml:space="preserve">Specific prohibitions. The Charter prohibits predatory pricing between federation members, with a federation-specific innovation: predatory intent may be inferred where below-cost pricing is sustained for more than one fiscal quarter, directed at a market where a rival COC operates, and funded through cross-subsidisation from other businesses within the same Clan Institution. It prohibits exclusive dealing arrangements that foreclose rival COCs from essential inputs or distribution channels. It prohibits market allocation, price-fixing, bid-rigging, and output coordination as per se violations. It prohibits the use of commercially sensitive information obtained through federation governance processes for competitive advantage. And it prohibits refusals to deal motivated by clan identity rather than commercial criteria.</w:t>
      </w:r>
    </w:p>
    <w:p>
      <w:pPr>
        <w:spacing w:after="200" w:line="320"/>
      </w:pPr>
      <w:r>
        <w:rPr>
          <w:rFonts w:ascii="Georgia" w:cs="Georgia" w:eastAsia="Georgia" w:hAnsi="Georgia"/>
          <w:sz w:val="24"/>
          <w:szCs w:val="24"/>
        </w:rPr>
        <w:t xml:space="preserve">Mandatory disclosure. Joint ventures between COCs in the same sector must be notified to the Panel before implementation. Long-term supply agreements exceeding three years with federation counterparties must be disclosed within thirty days.</w:t>
      </w:r>
    </w:p>
    <w:p>
      <w:pPr>
        <w:spacing w:after="200" w:line="320"/>
      </w:pPr>
      <w:r>
        <w:rPr>
          <w:rFonts w:ascii="Georgia" w:cs="Georgia" w:eastAsia="Georgia" w:hAnsi="Georgia"/>
          <w:sz w:val="24"/>
          <w:szCs w:val="24"/>
        </w:rPr>
        <w:t xml:space="preserve">Graduated dispute resolution. Disputes move through four stages: direct negotiation (30 days), mediation (60 days), formal investigation (90 days, extendable), and Panel ruling. The mechanism prioritises early resolution and reserves formal adjudication for cases that mediation cannot resolve.</w:t>
      </w:r>
    </w:p>
    <w:p>
      <w:pPr>
        <w:spacing w:after="200" w:line="320"/>
      </w:pPr>
      <w:r>
        <w:rPr>
          <w:rFonts w:ascii="Georgia" w:cs="Georgia" w:eastAsia="Georgia" w:hAnsi="Georgia"/>
          <w:sz w:val="24"/>
          <w:szCs w:val="24"/>
        </w:rPr>
        <w:t xml:space="preserve">The ethnic integrity safeguard. This may be the Charter's most distinctive feature. Complaints may not invoke the ethnic identity of either party as a basis for the claim. During preliminary assessment, party identities are anonymised in internal Panel documents so the threshold decision is made on commercial merits alone. For disputes between historically antagonistic clans, the Panel may impose an extended cooling-off period with a specialist inter-communal mediator. No Panel member may adjudicate a dispute involving a COC from their own clan or kingdom.</w:t>
      </w:r>
    </w:p>
    <w:p>
      <w:pPr>
        <w:spacing w:after="200" w:line="320"/>
      </w:pPr>
      <w:r>
        <w:rPr>
          <w:rFonts w:ascii="Georgia" w:cs="Georgia" w:eastAsia="Georgia" w:hAnsi="Georgia"/>
          <w:sz w:val="24"/>
          <w:szCs w:val="24"/>
        </w:rPr>
        <w:t xml:space="preserve">No national competition authority includes ethnic safeguards in its procedural rules. But the UAF operates in a society where ethnicity is a structurally significant variable in economic and political life. A competition framework that ignores this reality is a framework designed to fail.</w:t>
      </w:r>
    </w:p>
    <w:p>
      <w:pPr>
        <w:pStyle w:val="Heading2"/>
        <w:spacing w:before="400" w:after="200"/>
      </w:pPr>
      <w:r>
        <w:rPr>
          <w:rFonts w:ascii="Georgia" w:cs="Georgia" w:eastAsia="Georgia" w:hAnsi="Georgia"/>
          <w:b/>
          <w:bCs/>
          <w:color w:val="2E7D32"/>
          <w:sz w:val="28"/>
          <w:szCs w:val="28"/>
        </w:rPr>
        <w:t xml:space="preserve">The Panel: independence by design</w:t>
      </w:r>
    </w:p>
    <w:p>
      <w:pPr>
        <w:spacing w:after="200" w:line="320"/>
      </w:pPr>
      <w:r>
        <w:rPr>
          <w:rFonts w:ascii="Georgia" w:cs="Georgia" w:eastAsia="Georgia" w:hAnsi="Georgia"/>
          <w:sz w:val="24"/>
          <w:szCs w:val="24"/>
        </w:rPr>
        <w:t xml:space="preserve">Rules without an adjudicator are aspirations. The Independent Competition Panel is a standing body of five members with expertise across competition law, commercial economics, and inter-communal dispute resolution. No two members may be from the same clan. No more than two from the same kingdom. Members are nominated by the UAF Board from an open call and approved by the Council of Clans, which may reject nominees but may not substitute its own. Terms are staggered at five years, renewable once. Removal requires a two-thirds supermajority of the Council, only for cause.</w:t>
      </w:r>
    </w:p>
    <w:p>
      <w:pPr>
        <w:spacing w:after="200" w:line="320"/>
      </w:pPr>
      <w:r>
        <w:rPr>
          <w:rFonts w:ascii="Georgia" w:cs="Georgia" w:eastAsia="Georgia" w:hAnsi="Georgia"/>
          <w:sz w:val="24"/>
          <w:szCs w:val="24"/>
        </w:rPr>
        <w:t xml:space="preserve">The Panel's structural independence is, by design, more robust than that of Uganda's own national competition enforcement body, which operates as a committee within the Ministry of Trade.</w:t>
      </w:r>
    </w:p>
    <w:p>
      <w:pPr>
        <w:spacing w:after="200" w:line="320"/>
      </w:pPr>
      <w:r>
        <w:rPr>
          <w:rFonts w:ascii="Georgia" w:cs="Georgia" w:eastAsia="Georgia" w:hAnsi="Georgia"/>
          <w:sz w:val="24"/>
          <w:szCs w:val="24"/>
        </w:rPr>
        <w:t xml:space="preserve">Sanctions follow a graduated ladder: formal censure, cease and desist orders, modification orders, financial penalties capped at five per cent of the relevant COC's annual turnover, and referral to the Council of Clans for covenant enforcement proceedings in extreme cases. Appeals go to an independent arbitration panel, not to the Council (which would politicise the process) or the national courts (which lack federation expertise).</w:t>
      </w:r>
    </w:p>
    <w:p>
      <w:pPr>
        <w:spacing w:after="200" w:line="320"/>
      </w:pPr>
      <w:r>
        <w:rPr>
          <w:rFonts w:ascii="Georgia" w:cs="Georgia" w:eastAsia="Georgia" w:hAnsi="Georgia"/>
          <w:sz w:val="24"/>
          <w:szCs w:val="24"/>
        </w:rPr>
        <w:t xml:space="preserve">The Panel also has the authority to initiate investigations on its own motion, without waiting for a complaint. This is a critical anti-capture mechanism. If the Panel can only act when someone files a complaint, dominant clans can suppress violations simply by ensuring that no smaller clan is willing to bear the cost and risk of filing.</w:t>
      </w:r>
    </w:p>
    <w:p>
      <w:pPr>
        <w:pStyle w:val="Heading2"/>
        <w:spacing w:before="400" w:after="200"/>
      </w:pPr>
      <w:r>
        <w:rPr>
          <w:rFonts w:ascii="Georgia" w:cs="Georgia" w:eastAsia="Georgia" w:hAnsi="Georgia"/>
          <w:b/>
          <w:bCs/>
          <w:color w:val="2E7D32"/>
          <w:sz w:val="28"/>
          <w:szCs w:val="28"/>
        </w:rPr>
        <w:t xml:space="preserve">The three risks, honestly</w:t>
      </w:r>
    </w:p>
    <w:p>
      <w:pPr>
        <w:spacing w:after="200" w:line="320"/>
      </w:pPr>
      <w:r>
        <w:rPr>
          <w:rFonts w:ascii="Georgia" w:cs="Georgia" w:eastAsia="Georgia" w:hAnsi="Georgia"/>
          <w:sz w:val="24"/>
          <w:szCs w:val="24"/>
        </w:rPr>
        <w:t xml:space="preserve">The paper devotes an entire section to what could go wrong.</w:t>
      </w:r>
    </w:p>
    <w:p>
      <w:pPr>
        <w:spacing w:after="200" w:line="320"/>
      </w:pPr>
      <w:r>
        <w:rPr>
          <w:rFonts w:ascii="Georgia" w:cs="Georgia" w:eastAsia="Georgia" w:hAnsi="Georgia"/>
          <w:sz w:val="24"/>
          <w:szCs w:val="24"/>
        </w:rPr>
        <w:t xml:space="preserve">Ethnic tensions contaminating commercial rivalry. This is the deepest risk. The Early Warning Project's 2023-2024 assessment of Uganda identified identity-based discrimination and perceptions of exclusion as a structural risk factor, with ethnic groups from the central, northern, and eastern regions perceiving themselves as excluded from economic opportunities. Commercial competition between clan enterprises could become a vehicle for ethnic grievance. The design mitigations include the ethnic integrity safeguard, annual analysis of dispute patterns by regional affiliation, preferential weighting for inter-clan collaboration in Innovation Fund grants, and mandatory training for Panel mediators in Uganda-specific inter-communal dynamics.</w:t>
      </w:r>
    </w:p>
    <w:p>
      <w:pPr>
        <w:spacing w:after="200" w:line="320"/>
      </w:pPr>
      <w:r>
        <w:rPr>
          <w:rFonts w:ascii="Georgia" w:cs="Georgia" w:eastAsia="Georgia" w:hAnsi="Georgia"/>
          <w:sz w:val="24"/>
          <w:szCs w:val="24"/>
        </w:rPr>
        <w:t xml:space="preserve">Dominant clans capturing the system. The literature on elite capture in developing countries, synthesised in a comprehensive review covering studies across Africa, Asia, and Latin America, consistently finds that community-driven institutions in the Global South are vulnerable to capture by locally powerful actors. The mitigations include the Panel's structural independence, its own-motion investigation power, independent expert resources to prevent resource asymmetry between parties, statistical monitoring of enforcement patterns, and a confidential reporting channel with whistleblower protection.</w:t>
      </w:r>
    </w:p>
    <w:p>
      <w:pPr>
        <w:spacing w:after="200" w:line="320"/>
      </w:pPr>
      <w:r>
        <w:rPr>
          <w:rFonts w:ascii="Georgia" w:cs="Georgia" w:eastAsia="Georgia" w:hAnsi="Georgia"/>
          <w:sz w:val="24"/>
          <w:szCs w:val="24"/>
        </w:rPr>
        <w:t xml:space="preserve">Regulatory overreach stifling enterprise. The UAF's existing compliance architecture already imposes a heavy burden. The deep analysis document calculates that cumulative levies, social fund obligations, and cultural contributions can leave a COC with as little as 13 per cent of net profit for reinvestment. Adding competition compliance costs on top of that could delay or prevent the commercial viability the entire system depends on. The mitigations include the Innovation Protection Clause (the Panel governs conduct, not strategy), explicit inclusion of competition costs in the triennial Regulatory Burden Review, a de minimis threshold for formal complaints, and a nursery clause exempting new COCs from disclosure obligations during their first three years.</w:t>
      </w:r>
    </w:p>
    <w:p>
      <w:pPr>
        <w:pStyle w:val="Heading2"/>
        <w:spacing w:before="400" w:after="200"/>
      </w:pPr>
      <w:r>
        <w:rPr>
          <w:rFonts w:ascii="Georgia" w:cs="Georgia" w:eastAsia="Georgia" w:hAnsi="Georgia"/>
          <w:b/>
          <w:bCs/>
          <w:color w:val="2E7D32"/>
          <w:sz w:val="28"/>
          <w:szCs w:val="28"/>
        </w:rPr>
        <w:t xml:space="preserve">Why this matters beyond Uganda</w:t>
      </w:r>
    </w:p>
    <w:p>
      <w:pPr>
        <w:spacing w:after="200" w:line="320"/>
      </w:pPr>
      <w:r>
        <w:rPr>
          <w:rFonts w:ascii="Georgia" w:cs="Georgia" w:eastAsia="Georgia" w:hAnsi="Georgia"/>
          <w:sz w:val="24"/>
          <w:szCs w:val="24"/>
        </w:rPr>
        <w:t xml:space="preserve">Africa is building a continental competition architecture. Uganda's own Competition Act commenced in 2024. The COMESA regime was overhauled in December 2025. The East African Community Competition Authority began receiving merger notifications in November 2025. The AfCFTA Competition Protocol is working toward ratification. Every layer of this architecture is being assembled at the same time.</w:t>
      </w:r>
    </w:p>
    <w:p>
      <w:pPr>
        <w:spacing w:after="200" w:line="320"/>
      </w:pPr>
      <w:r>
        <w:rPr>
          <w:rFonts w:ascii="Georgia" w:cs="Georgia" w:eastAsia="Georgia" w:hAnsi="Georgia"/>
          <w:sz w:val="24"/>
          <w:szCs w:val="24"/>
        </w:rPr>
        <w:t xml:space="preserve">These frameworks are, for the most part, built on models imported from established economies. They are competent frameworks. But they are not African frameworks, rooted in African institutional traditions and designed around the governance challenges that African societies face.</w:t>
      </w:r>
    </w:p>
    <w:p>
      <w:pPr>
        <w:spacing w:after="200" w:line="320"/>
      </w:pPr>
      <w:r>
        <w:rPr>
          <w:rFonts w:ascii="Georgia" w:cs="Georgia" w:eastAsia="Georgia" w:hAnsi="Georgia"/>
          <w:sz w:val="24"/>
          <w:szCs w:val="24"/>
        </w:rPr>
        <w:t xml:space="preserve">The UAF's Competition and Fair Dealing Charter is an attempt to build something different. A competition framework designed from within the Ubuntu philosophical tradition, addressing the specific conditions of a clan-based, ethnically diverse, federated enterprise system. If it succeeds, it demonstrates that African economic institutions can be designed by Africans, for African conditions, to the highest standards of institutional rigour.</w:t>
      </w:r>
    </w:p>
    <w:p>
      <w:pPr>
        <w:spacing w:after="200" w:line="320"/>
      </w:pPr>
      <w:r>
        <w:rPr>
          <w:rFonts w:ascii="Georgia" w:cs="Georgia" w:eastAsia="Georgia" w:hAnsi="Georgia"/>
          <w:sz w:val="24"/>
          <w:szCs w:val="24"/>
        </w:rPr>
        <w:t xml:space="preserve">The fifth pillar holds up the other four. It is time to build it.</w:t>
      </w:r>
    </w:p>
    <w:p>
      <w:pPr>
        <w:pBdr>
          <w:bottom w:val="single" w:color="CCCCCC" w:sz="1" w:space="1"/>
        </w:pBdr>
        <w:spacing w:before="300" w:after="300"/>
        <w:jc w:val="center"/>
      </w:pPr>
    </w:p>
    <w:p>
      <w:pPr>
        <w:spacing w:after="200" w:line="320"/>
      </w:pPr>
      <w:r>
        <w:rPr>
          <w:rFonts w:ascii="Georgia" w:cs="Georgia" w:eastAsia="Georgia" w:hAnsi="Georgia"/>
          <w:i/>
          <w:iCs/>
          <w:sz w:val="24"/>
          <w:szCs w:val="24"/>
        </w:rPr>
        <w:t xml:space="preserve">The African Renaissance Foundation is an independent policy institute dedicated to developing economic and governance frameworks rooted in African philosophical traditions. The Uganda Alliance Fund is the Foundation's flagship initiative.</w:t>
      </w:r>
    </w:p>
    <w:p>
      <w:pPr>
        <w:spacing w:after="200" w:line="320"/>
      </w:pPr>
      <w:r>
        <w:rPr>
          <w:rFonts w:ascii="Georgia" w:cs="Georgia" w:eastAsia="Georgia" w:hAnsi="Georgia"/>
          <w:i/>
          <w:iCs/>
          <w:sz w:val="24"/>
          <w:szCs w:val="24"/>
        </w:rPr>
        <w:t xml:space="preserve">This work depends on the support of people who believe that Africa's economic future should be designed by Africans. The research, legal analysis, and institutional design required to bring the UAF from policy paper to functioning institution are funded entirely by the generosity of individuals and organisations who share this conviction.</w:t>
      </w:r>
    </w:p>
    <w:p>
      <w:pPr>
        <w:spacing w:after="200" w:line="320"/>
      </w:pPr>
      <w:r>
        <w:rPr>
          <w:rFonts w:ascii="Georgia" w:cs="Georgia" w:eastAsia="Georgia" w:hAnsi="Georgia"/>
          <w:i/>
          <w:iCs/>
          <w:sz w:val="24"/>
          <w:szCs w:val="24"/>
        </w:rPr>
        <w:t xml:space="preserve">If this essay has persuaded you that the fifth pillar is worth building, we invite you to help build it. Visit the African Renaissance Foundation online to contribute. Every donation, of any size, brings the federation closer to the ground.</w:t>
      </w:r>
    </w:p>
    <w:p>
      <w:pPr>
        <w:spacing w:after="200" w:line="320"/>
      </w:pPr>
      <w:r>
        <w:rPr>
          <w:rFonts w:ascii="Georgia" w:cs="Georgia" w:eastAsia="Georgia" w:hAnsi="Georgia"/>
          <w:i/>
          <w:iCs/>
          <w:sz w:val="24"/>
          <w:szCs w:val="24"/>
        </w:rPr>
        <w:t xml:space="preserve">"I am because we are. We are because I am."</w:t>
      </w:r>
    </w:p>
    <w:sectPr>
      <w:headerReference w:type="default" r:id="rId6"/>
      <w:footerReference w:type="default" r:id="rId7"/>
      <w:pgSz w:w="12240" w:h="15840" w:orient="portrait"/>
      <w:pgMar w:top="1440" w:right="1800" w:bottom="1440" w:left="18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AAAAAA"/>
        <w:sz w:val="16"/>
        <w:szCs w:val="16"/>
      </w:rPr>
      <w:t xml:space="preserve">Page </w:t>
    </w:r>
    <w:r>
      <w:rPr>
        <w:rFonts w:ascii="Georgia" w:cs="Georgia" w:eastAsia="Georgia" w:hAnsi="Georgia"/>
        <w:color w:val="AAAAA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Georgia" w:cs="Georgia" w:eastAsia="Georgia" w:hAnsi="Georgia"/>
        <w:i/>
        <w:iCs/>
        <w:color w:val="AAAAAA"/>
        <w:sz w:val="16"/>
        <w:szCs w:val="16"/>
      </w:rPr>
      <w:t xml:space="preserve">The Fifth Pillar — African Renaissance Foundation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500" w:after="300"/>
      <w:outlineLvl w:val="0"/>
    </w:pPr>
    <w:rPr>
      <w:rFonts w:ascii="Georgia" w:cs="Georgia" w:eastAsia="Georgia" w:hAnsi="Georgia"/>
      <w:b/>
      <w:bCs/>
      <w:color w:val="1B5E20"/>
      <w:sz w:val="36"/>
      <w:szCs w:val="36"/>
    </w:rPr>
  </w:style>
  <w:style w:type="paragraph" w:styleId="Heading2">
    <w:name w:val="Heading 2"/>
    <w:basedOn w:val="Normal"/>
    <w:next w:val="Normal"/>
    <w:qFormat/>
    <w:pPr>
      <w:spacing w:before="400" w:after="200"/>
      <w:outlineLvl w:val="1"/>
    </w:pPr>
    <w:rPr>
      <w:rFonts w:ascii="Georgia" w:cs="Georgia" w:eastAsia="Georgia" w:hAnsi="Georgia"/>
      <w:b/>
      <w:bCs/>
      <w:color w:val="2E7D32"/>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2026-03-16T16:30:29.150Z</dcterms:created>
  <dcterms:modified xsi:type="dcterms:W3CDTF">2026-03-16T16:30:29.151Z</dcterms:modified>
</cp:coreProperties>
</file>

<file path=docProps/custom.xml><?xml version="1.0" encoding="utf-8"?>
<Properties xmlns="http://schemas.openxmlformats.org/officeDocument/2006/custom-properties" xmlns:vt="http://schemas.openxmlformats.org/officeDocument/2006/docPropsVTypes"/>
</file>