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Will</w:t>
      </w:r>
      <w:r>
        <w:t xml:space="preserve"> </w:t>
      </w:r>
      <w:r>
        <w:t xml:space="preserve">It</w:t>
      </w:r>
      <w:r>
        <w:t xml:space="preserve"> </w:t>
      </w:r>
      <w:r>
        <w:t xml:space="preserve">Kill</w:t>
      </w:r>
      <w:r>
        <w:t xml:space="preserve"> </w:t>
      </w:r>
      <w:r>
        <w:t xml:space="preserve">Innovation?</w:t>
      </w:r>
    </w:p>
    <w:p>
      <w:pPr>
        <w:pStyle w:val="Subtitle"/>
      </w:pPr>
      <w:r>
        <w:t xml:space="preserve">The</w:t>
      </w:r>
      <w:r>
        <w:t xml:space="preserve"> </w:t>
      </w:r>
      <w:r>
        <w:t xml:space="preserve">Hardest</w:t>
      </w:r>
      <w:r>
        <w:t xml:space="preserve"> </w:t>
      </w:r>
      <w:r>
        <w:t xml:space="preserve">Question</w:t>
      </w:r>
      <w:r>
        <w:t xml:space="preserve"> </w:t>
      </w:r>
      <w:r>
        <w:t xml:space="preserve">About</w:t>
      </w:r>
      <w:r>
        <w:t xml:space="preserve"> </w:t>
      </w:r>
      <w:r>
        <w:t xml:space="preserve">Uganda’s</w:t>
      </w:r>
      <w:r>
        <w:t xml:space="preserve"> </w:t>
      </w:r>
      <w:r>
        <w:t xml:space="preserve">Clan</w:t>
      </w:r>
      <w:r>
        <w:t xml:space="preserve"> </w:t>
      </w:r>
      <w:r>
        <w:t xml:space="preserve">Economy</w:t>
      </w:r>
      <w:r>
        <w:t xml:space="preserve"> </w:t>
      </w:r>
      <w:r>
        <w:t xml:space="preserve">—</w:t>
      </w:r>
      <w:r>
        <w:t xml:space="preserve"> </w:t>
      </w:r>
      <w:r>
        <w:t xml:space="preserve">And</w:t>
      </w:r>
      <w:r>
        <w:t xml:space="preserve"> </w:t>
      </w:r>
      <w:r>
        <w:t xml:space="preserve">Why</w:t>
      </w:r>
      <w:r>
        <w:t xml:space="preserve"> </w:t>
      </w:r>
      <w:r>
        <w:t xml:space="preserve">the</w:t>
      </w:r>
      <w:r>
        <w:t xml:space="preserve"> </w:t>
      </w:r>
      <w:r>
        <w:t xml:space="preserve">Evidence</w:t>
      </w:r>
      <w:r>
        <w:t xml:space="preserve"> </w:t>
      </w:r>
      <w:r>
        <w:t xml:space="preserve">Says</w:t>
      </w:r>
      <w:r>
        <w:t xml:space="preserve"> </w:t>
      </w:r>
      <w:r>
        <w:t xml:space="preserve">No</w:t>
      </w:r>
    </w:p>
    <w:p>
      <w:pPr>
        <w:pStyle w:val="Author"/>
      </w:pPr>
      <w:r>
        <w:t xml:space="preserve">The</w:t>
      </w:r>
      <w:r>
        <w:t xml:space="preserve"> </w:t>
      </w:r>
      <w:r>
        <w:t xml:space="preserve">African</w:t>
      </w:r>
      <w:r>
        <w:t xml:space="preserve"> </w:t>
      </w:r>
      <w:r>
        <w:t xml:space="preserve">Renaissance</w:t>
      </w:r>
      <w:r>
        <w:t xml:space="preserve"> </w:t>
      </w:r>
      <w:r>
        <w:t xml:space="preserve">Foundation</w:t>
      </w:r>
    </w:p>
    <w:p>
      <w:pPr>
        <w:pStyle w:val="Date"/>
      </w:pPr>
      <w:r>
        <w:t xml:space="preserve">March</w:t>
      </w:r>
      <w:r>
        <w:t xml:space="preserve"> </w:t>
      </w:r>
      <w:r>
        <w:t xml:space="preserve">2026</w:t>
      </w:r>
    </w:p>
    <w:p>
      <w:pPr>
        <w:pStyle w:val="FirstParagraph"/>
      </w:pPr>
      <w:r>
        <w:t xml:space="preserve">There is a question that comes up every single time the Uganda Alliance Fund is presented to anyone with an economics background, a finance career, or even a healthy dose of scepticism. It usually arrives about ten minutes into the conversation, right after the listener has nodded along to the philosophy, admired the architecture, and acknowledged that the idea of every Ugandan citizen receiving a quarterly dividend is genuinely compelling.</w:t>
      </w:r>
    </w:p>
    <w:p>
      <w:pPr>
        <w:pStyle w:val="BodyText"/>
      </w:pPr>
      <w:r>
        <w:t xml:space="preserve">Then it lands.</w:t>
      </w:r>
    </w:p>
    <w:p>
      <w:pPr>
        <w:pStyle w:val="BodyText"/>
      </w:pPr>
      <w:r>
        <w:rPr>
          <w:iCs/>
          <w:i/>
        </w:rPr>
        <w:t xml:space="preserve">“</w:t>
      </w:r>
      <w:r>
        <w:rPr>
          <w:iCs/>
          <w:i/>
        </w:rPr>
        <w:t xml:space="preserve">But will anyone actually innovate?</w:t>
      </w:r>
      <w:r>
        <w:rPr>
          <w:iCs/>
          <w:i/>
        </w:rPr>
        <w:t xml:space="preserve">”</w:t>
      </w:r>
    </w:p>
    <w:p>
      <w:pPr>
        <w:pStyle w:val="BodyText"/>
      </w:pPr>
      <w:r>
        <w:t xml:space="preserve">It is a fair question. Maybe the most important one. Because underneath the philosophy and the legal structures and the dividend projections, the UAF is asking hundreds of clan enterprises to compete in real markets, against real competitors, while giving up a significant share of their profits to a federation, hiring primarily from their own communities, and operating under governance rules set by a covenant they did not individually write.</w:t>
      </w:r>
    </w:p>
    <w:p>
      <w:pPr>
        <w:pStyle w:val="BodyText"/>
      </w:pPr>
      <w:r>
        <w:t xml:space="preserve">That sounds, to the conventionally trained ear, like a recipe for stagnation. Like building a machine designed for fairness that accidentally kills the engine of growth. Like choosing equality and getting mediocrity in return.</w:t>
      </w:r>
    </w:p>
    <w:p>
      <w:pPr>
        <w:pStyle w:val="BodyText"/>
      </w:pPr>
      <w:r>
        <w:t xml:space="preserve">We have spent a long time building this framework. We believe in it. And precisely because we believe in it, we owe it the hardest possible stress test. So this essay does something that advocates for new economic models rarely do: it starts with the opposition. It gives the critics their best arguments, in their strongest form, without softening them. And then it asks whether the evidence, the actual empirical record from real economies and real cooperative systems, supports their fears.</w:t>
      </w:r>
    </w:p>
    <w:p>
      <w:pPr>
        <w:pStyle w:val="BodyText"/>
      </w:pPr>
      <w:r>
        <w:t xml:space="preserve">The answer, as you will see, is more interesting than a simple yes or no.</w:t>
      </w:r>
    </w:p>
    <w:bookmarkStart w:id="23" w:name="lets-give-the-critics-their-best-shot"/>
    <w:p>
      <w:pPr>
        <w:pStyle w:val="Heading1"/>
      </w:pPr>
      <w:r>
        <w:t xml:space="preserve">Let’s Give the Critics Their Best Shot</w:t>
      </w:r>
    </w:p>
    <w:p>
      <w:pPr>
        <w:pStyle w:val="FirstParagraph"/>
      </w:pPr>
      <w:r>
        <w:t xml:space="preserve">The strongest objections to the UAF’s ability to foster innovation cluster around three problems. Each one is serious. Each one has historical precedent. And each one deserves to be heard before we respond.</w:t>
      </w:r>
    </w:p>
    <w:bookmarkStart w:id="20" w:name="the-money-problem"/>
    <w:p>
      <w:pPr>
        <w:pStyle w:val="Heading2"/>
      </w:pPr>
      <w:r>
        <w:t xml:space="preserve">The money problem</w:t>
      </w:r>
    </w:p>
    <w:p>
      <w:pPr>
        <w:pStyle w:val="FirstParagraph"/>
      </w:pPr>
      <w:r>
        <w:t xml:space="preserve">Under the UAF framework, a Clan Operating Company’s profits pass through a gauntlet of obligations before anything is left over for reinvestment. First, 30% goes to the Ugandan government in corporate income tax, same as any other business. Then 18 to 22% of what remains goes to the federation as a levy. Then 30 to 40% goes into the clan’s social fund for housing, education, and healthcare. Then another 5 to 10% goes to the Kingdom Cultural Trust. Then another 5 to 10% goes to clan members as a direct bonus.</w:t>
      </w:r>
    </w:p>
    <w:p>
      <w:pPr>
        <w:pStyle w:val="BodyText"/>
      </w:pPr>
      <w:r>
        <w:t xml:space="preserve">Add it all up in the worst case, and a clan enterprise keeps about 13 cents of every shilling it earns in profit. Thirteen percent. For reinvestment, for R&amp;D, for trying something new, for surviving a bad quarter. A conventional private company in Uganda, by contrast, keeps 70% after tax and can deploy every bit of it however it chooses.</w:t>
      </w:r>
    </w:p>
    <w:p>
      <w:pPr>
        <w:pStyle w:val="BodyText"/>
      </w:pPr>
      <w:r>
        <w:t xml:space="preserve">Innovation costs money. Developing a new product, testing a new market, hiring a specialist, upgrading equipment, tolerating a year of losses while you figure out whether your idea works. All of that requires capital. And a system that structurally limits reinvestment to as little as 13% of net profit might produce businesses that survive but never take the kind of bold bets that create breakthroughs.</w:t>
      </w:r>
    </w:p>
    <w:bookmarkEnd w:id="20"/>
    <w:bookmarkStart w:id="21" w:name="the-talent-problem"/>
    <w:p>
      <w:pPr>
        <w:pStyle w:val="Heading2"/>
      </w:pPr>
      <w:r>
        <w:t xml:space="preserve">The talent problem</w:t>
      </w:r>
    </w:p>
    <w:p>
      <w:pPr>
        <w:pStyle w:val="FirstParagraph"/>
      </w:pPr>
      <w:r>
        <w:t xml:space="preserve">The UAF requires that 80% of each enterprise’s workforce and 60% of its leadership come from the parent clan. The intent is sound: make sure the economic benefits of the enterprise actually flow to the community it belongs to, rather than being captured by outsiders. But in practice, this means every clan enterprise is hiring from a restricted pool.</w:t>
      </w:r>
    </w:p>
    <w:p>
      <w:pPr>
        <w:pStyle w:val="BodyText"/>
      </w:pPr>
      <w:r>
        <w:t xml:space="preserve">If you are running a software company and you need a database architect, but your clan does not have one, you face an uncomfortable choice. Hire someone less qualified from within the clan, or leave the role empty. If you are building a financial services platform and need a compliance specialist with experience in Ugandan banking regulation, but the best candidate is from a different clan, you cannot hire them for 80% of your positions.</w:t>
      </w:r>
    </w:p>
    <w:p>
      <w:pPr>
        <w:pStyle w:val="BodyText"/>
      </w:pPr>
      <w:r>
        <w:t xml:space="preserve">Uganda’s supply of specialised professionals is limited nationally. Within any single clan, it is far more limited. A staffing mandate that works well for a farming cooperative or a construction company becomes a serious constraint for a technology startup or a pharmaceutical manufacturer.</w:t>
      </w:r>
    </w:p>
    <w:p>
      <w:pPr>
        <w:pStyle w:val="BodyText"/>
      </w:pPr>
      <w:r>
        <w:t xml:space="preserve">Other countries have tried similar approaches. Uganda’s own oil and gas sector has local content requirements mandating the use of Ugandan workers and suppliers. Research on how these policies have played out across Africa shows a consistent pattern: when quotas are introduced without adequate investment in the skills pipeline, costs escalate, productivity suffers, and the intended beneficiaries end up as middlemen rather than genuine participants. Nigeria saw costs on specialised oil operations rise by 60% due to local content rules. Angola experienced significant labour market distortions when nationality quotas were imposed before the education system was ready. The ambition is always right. The execution determines whether it helps or hurts.</w:t>
      </w:r>
    </w:p>
    <w:bookmarkEnd w:id="21"/>
    <w:bookmarkStart w:id="22" w:name="the-ambition-problem"/>
    <w:p>
      <w:pPr>
        <w:pStyle w:val="Heading2"/>
      </w:pPr>
      <w:r>
        <w:t xml:space="preserve">The ambition problem</w:t>
      </w:r>
    </w:p>
    <w:p>
      <w:pPr>
        <w:pStyle w:val="FirstParagraph"/>
      </w:pPr>
      <w:r>
        <w:t xml:space="preserve">This is the subtlest of the three, but perhaps the most important. The UAF’s equalisation mechanism takes money from clans that are performing above the national average and transfers it to clans that are performing below. The goal is to bring every clan to at least 85% of the federation-wide mean. There are safeguards against dependency, and we will discuss them later. But the basic structure creates a question that any honest advocate must confront.</w:t>
      </w:r>
    </w:p>
    <w:p>
      <w:pPr>
        <w:pStyle w:val="BodyText"/>
      </w:pPr>
      <w:r>
        <w:t xml:space="preserve">If your clan invests heavily, takes risks, innovates brilliantly, and builds an exceptional enterprise, a meaningful share of your success gets redistributed to clans that did not take those risks. The upside of exceptional performance is partially shared. The downside of failure, if your bold bet does not pay off, is yours alone. Gains are socialised. Losses are private. Economists have a technical term for this kind of asymmetry: moral hazard. And the history of economic systems that socialise gains while privatising losses is not encouraging.</w:t>
      </w:r>
    </w:p>
    <w:p>
      <w:pPr>
        <w:pStyle w:val="BodyText"/>
      </w:pPr>
      <w:r>
        <w:t xml:space="preserve">Add the</w:t>
      </w:r>
      <w:r>
        <w:t xml:space="preserve"> </w:t>
      </w:r>
      <w:r>
        <w:t xml:space="preserve">“</w:t>
      </w:r>
      <w:r>
        <w:t xml:space="preserve">purpose precedes profit</w:t>
      </w:r>
      <w:r>
        <w:t xml:space="preserve">”</w:t>
      </w:r>
      <w:r>
        <w:t xml:space="preserve"> </w:t>
      </w:r>
      <w:r>
        <w:t xml:space="preserve">principle on top of this, and the concern deepens. The UAF explicitly states that clan enterprises exist first to meet basic needs and second to generate returns. When a COC must choose between investing in a risky new product line and funding the clan’s housing programme, the framework’s own philosophy says housing wins. Multiply that choice across hundreds of enterprises and dozens of years, and you might end up with a federation of responsible, stable, risk-averse organisations that meet needs reliably but never push boundaries.</w:t>
      </w:r>
    </w:p>
    <w:p>
      <w:pPr>
        <w:pStyle w:val="BodyText"/>
      </w:pPr>
      <w:r>
        <w:t xml:space="preserve">These three problems, taken together, paint a picture of a system that could produce adequacy without excellence. Employment without dynamism. Fairness without ambition. A federation of enterprises that do enough but never do anything remarkable.</w:t>
      </w:r>
    </w:p>
    <w:p>
      <w:pPr>
        <w:pStyle w:val="BodyText"/>
      </w:pPr>
      <w:r>
        <w:t xml:space="preserve">That is the case against. And it is strong enough that we cannot simply wave it away with philosophy. We need evidence. So let us look at what actually happens in the real world when cooperative, federated, and redistributive economic models are put to the test.</w:t>
      </w:r>
    </w:p>
    <w:bookmarkEnd w:id="22"/>
    <w:bookmarkEnd w:id="23"/>
    <w:bookmarkStart w:id="28" w:name="X338e5df87a10b49c02eaf03233694bd206cac34"/>
    <w:p>
      <w:pPr>
        <w:pStyle w:val="Heading1"/>
      </w:pPr>
      <w:r>
        <w:t xml:space="preserve">Now Let’s Look at What Actually Happens in the Real World</w:t>
      </w:r>
    </w:p>
    <w:p>
      <w:pPr>
        <w:pStyle w:val="FirstParagraph"/>
      </w:pPr>
      <w:r>
        <w:t xml:space="preserve">The objections in the previous section are not hypothetical. They are drawn from real economic theory and real historical failures. But the question of whether cooperative, redistributive economic models can support innovation is also not hypothetical. It has been tested. Repeatedly. Over decades. In multiple countries. And the results are not what the critics predict.</w:t>
      </w:r>
    </w:p>
    <w:bookmarkStart w:id="24" w:name="the-mondragon-story"/>
    <w:p>
      <w:pPr>
        <w:pStyle w:val="Heading2"/>
      </w:pPr>
      <w:r>
        <w:t xml:space="preserve">The Mondragon story</w:t>
      </w:r>
    </w:p>
    <w:p>
      <w:pPr>
        <w:pStyle w:val="FirstParagraph"/>
      </w:pPr>
      <w:r>
        <w:t xml:space="preserve">In 1956, a Catholic priest named José María Arizmendiarrieta and five of his students started a small workshop in the Basque Country of Spain. They made paraffin heaters. Seventy years later, their creation, the Mondragon Corporation, is the largest business group in the Basque Country, the fifth-largest private employer in Spain, and the world’s biggest federation of worker cooperatives. It posted sales of €11.2 billion in 2024. It employs over 70,000 people across 81 self-governing cooperatives spanning industry, retail, finance, and education.</w:t>
      </w:r>
    </w:p>
    <w:p>
      <w:pPr>
        <w:pStyle w:val="BodyText"/>
      </w:pPr>
      <w:r>
        <w:t xml:space="preserve">Those numbers alone should give the critics pause. But the innovation data is what matters most for our question.</w:t>
      </w:r>
    </w:p>
    <w:p>
      <w:pPr>
        <w:pStyle w:val="BodyText"/>
      </w:pPr>
      <w:r>
        <w:t xml:space="preserve">Mondragon invests €201 million per year in research and development. It employs over 2,000 full-time R&amp;D professionals across 12 dedicated research centres. It holds approximately 380 active patent families and recently submitted over 100 proposals to European R&amp;D programmes in a single year. Its innovation model, called M4Future, integrates a cooperative university, an innovation park, and industry-specific technology centres into a pipeline that moves ideas from basic research through to commercial products.</w:t>
      </w:r>
    </w:p>
    <w:p>
      <w:pPr>
        <w:pStyle w:val="BodyText"/>
      </w:pPr>
      <w:r>
        <w:t xml:space="preserve">And here is the part that directly challenges the critics’ assumptions. Comparative research on Basque industrial firms has found that Mondragon’s cooperatives operate at competitive parity with conventional investor-owned companies in the same region on both management capability and innovation performance. They do not lag behind. They match. Despite the cooperative ownership structure that critics predict should hobble them, despite the wage solidarity that caps the ratio between highest and lowest paid workers at 9 to 1, despite the democratic governance that gives every worker-member a vote on strategic decisions.</w:t>
      </w:r>
    </w:p>
    <w:p>
      <w:pPr>
        <w:pStyle w:val="BodyText"/>
      </w:pPr>
      <w:r>
        <w:t xml:space="preserve">How? Researchers point to several mechanisms. Workers who own a stake in the enterprise show higher commitment, lower turnover, and greater willingness to share knowledge with colleagues. Democratic participation creates a sense of ownership that translates into discretionary effort. And the federation’s shared infrastructure, the technology centres, the cooperative bank, the university, the inter-cooperative profit pooling, provides individual cooperatives with resources and resilience that standalone businesses cannot access.</w:t>
      </w:r>
    </w:p>
    <w:p>
      <w:pPr>
        <w:pStyle w:val="BodyText"/>
      </w:pPr>
      <w:r>
        <w:t xml:space="preserve">Mondragon is not perfect. In 2013, its flagship cooperative, Fagor Electrodomésticos, went bankrupt after Spain’s financial crisis wiped out the home appliance market. The cooperative had expanded aggressively through debt-financed acquisitions across Europe and could not restructure its Basque workforce fast enough when sales collapsed. It was a real failure, and a painful one.</w:t>
      </w:r>
    </w:p>
    <w:p>
      <w:pPr>
        <w:pStyle w:val="BodyText"/>
      </w:pPr>
      <w:r>
        <w:t xml:space="preserve">But watch what happened next. Mondragon’s internal insurance system paid 80% of members’ salaries for two years. The federation relocated as many workers as possible to other cooperatives in the network. One enterprise failed. The system absorbed the shock and continued. Over 70 years, fewer than 5% of Mondragon’s member cooperatives have faced bankruptcy. In Spain, a country that has endured some of Europe’s worst economic crises during that period, that resilience record is remarkable.</w:t>
      </w:r>
    </w:p>
    <w:bookmarkEnd w:id="24"/>
    <w:bookmarkStart w:id="25" w:name="the-emilia-romagna-story"/>
    <w:p>
      <w:pPr>
        <w:pStyle w:val="Heading2"/>
      </w:pPr>
      <w:r>
        <w:t xml:space="preserve">The Emilia-Romagna story</w:t>
      </w:r>
    </w:p>
    <w:p>
      <w:pPr>
        <w:pStyle w:val="FirstParagraph"/>
      </w:pPr>
      <w:r>
        <w:t xml:space="preserve">If Mondragon proves that a cooperative federation can innovate, the Emilia-Romagna region of northern Italy proves that cooperative enterprise can transform an entire territory.</w:t>
      </w:r>
    </w:p>
    <w:p>
      <w:pPr>
        <w:pStyle w:val="BodyText"/>
      </w:pPr>
      <w:r>
        <w:t xml:space="preserve">After World War II, Emilia-Romagna was one of Italy’s poorest regions. Its economy was agricultural, its infrastructure destroyed, its people impoverished. What emerged in the decades that followed became one of the most studied economic transformations in European history. Dense networks of small and medium-sized cooperative enterprises, supported by shared service centres, federated financial institutions, and close partnerships between business, government, and universities, built an economy that is now among the wealthiest in Europe.</w:t>
      </w:r>
    </w:p>
    <w:p>
      <w:pPr>
        <w:pStyle w:val="BodyText"/>
      </w:pPr>
      <w:r>
        <w:t xml:space="preserve">Today, Emilia-Romagna ranks among Italy’s top regions by GDP per capita, with income levels approximately 50% above the national average. Cooperatives account for roughly 30% of the region’s GDP. In Bologna, the capital, two out of three citizens are members of a cooperative. The European Commission classifies the region as a</w:t>
      </w:r>
      <w:r>
        <w:t xml:space="preserve"> </w:t>
      </w:r>
      <w:r>
        <w:t xml:space="preserve">“</w:t>
      </w:r>
      <w:r>
        <w:t xml:space="preserve">strong innovator,</w:t>
      </w:r>
      <w:r>
        <w:t xml:space="preserve">”</w:t>
      </w:r>
      <w:r>
        <w:t xml:space="preserve"> </w:t>
      </w:r>
      <w:r>
        <w:t xml:space="preserve">scoring above the EU average, with first place in the entire EU for design applications. It hosts 11 Technopoles for industrial research and technology transfer, and its Clust-ER Associations coordinate innovation across key sectors by linking research centres, companies, and training institutions.</w:t>
      </w:r>
    </w:p>
    <w:p>
      <w:pPr>
        <w:pStyle w:val="BodyText"/>
      </w:pPr>
      <w:r>
        <w:t xml:space="preserve">The transformation happened not despite the cooperative model but through it. Researchers at the University of Bologna have found that Italian regions with greater cooperative density tend to be more prosperous, more equitable, and more economically resilient than those without.</w:t>
      </w:r>
    </w:p>
    <w:bookmarkEnd w:id="25"/>
    <w:bookmarkStart w:id="26" w:name="Xda969dd116ca894c9935ce3dad12fdad40bf6eb"/>
    <w:p>
      <w:pPr>
        <w:pStyle w:val="Heading2"/>
      </w:pPr>
      <w:r>
        <w:t xml:space="preserve">The redistribution question, answered directly</w:t>
      </w:r>
    </w:p>
    <w:p>
      <w:pPr>
        <w:pStyle w:val="FirstParagraph"/>
      </w:pPr>
      <w:r>
        <w:t xml:space="preserve">Both Mondragon and Emilia-Romagna are powerful stories, but a sceptic could argue they are special cases, unique cultural contexts that do not generalise. So let us look at what happens when researchers test the redistribution question directly, across dozens of countries, over decades of data.</w:t>
      </w:r>
    </w:p>
    <w:p>
      <w:pPr>
        <w:pStyle w:val="BodyText"/>
      </w:pPr>
      <w:r>
        <w:t xml:space="preserve">In 2022, a team of economists (Hu et al.) published a study in</w:t>
      </w:r>
      <w:r>
        <w:t xml:space="preserve"> </w:t>
      </w:r>
      <w:r>
        <w:rPr>
          <w:iCs/>
          <w:i/>
        </w:rPr>
        <w:t xml:space="preserve">Research Policy</w:t>
      </w:r>
      <w:r>
        <w:t xml:space="preserve">, one of the top journals in innovation studies. They analysed 34 advanced and emerging economies over the period 1980 to 2010, testing whether countries that redistribute more income show less innovation, as measured by patents, patent citations, and patent originality scores.</w:t>
      </w:r>
    </w:p>
    <w:p>
      <w:pPr>
        <w:pStyle w:val="BodyText"/>
      </w:pPr>
      <w:r>
        <w:t xml:space="preserve">The result: no negative effect. None. Across every specification they tested, across every measure of redistribution, across every innovation indicator, redistribution did not reduce innovative activity. The finding survived extensive robustness checks. The researchers also noted a plausible channel running in the opposite direction: redistribution that funds education and expands access to technical training can actually increase innovation by bringing talented people from disadvantaged backgrounds into the pool of potential inventors.</w:t>
      </w:r>
    </w:p>
    <w:p>
      <w:pPr>
        <w:pStyle w:val="BodyText"/>
      </w:pPr>
      <w:r>
        <w:t xml:space="preserve">Separately, the Alaska Permanent Fund Dividend offers the closest real-world parallel to the UAF’s universal citizen payment. Since 1982, every resident of Alaska has received an annual cash dividend from the state’s oil wealth, typically ranging between $1,000 and $2,000, with peaks above $3,000. Economists Damon Jones and Ioana Marinescu studied four decades of data and found that the dividend had no effect on overall employment. Part-time work increased modestly, consistent with the cash stimulating local consumer spending rather than discouraging productive activity.</w:t>
      </w:r>
    </w:p>
    <w:p>
      <w:pPr>
        <w:pStyle w:val="BodyText"/>
      </w:pPr>
      <w:r>
        <w:t xml:space="preserve">The fear that giving everyone a share of collective prosperity will make people stop working and stop innovating is, based on the available evidence, unfounded.</w:t>
      </w:r>
    </w:p>
    <w:bookmarkEnd w:id="26"/>
    <w:bookmarkStart w:id="27" w:name="the-trust-advantage"/>
    <w:p>
      <w:pPr>
        <w:pStyle w:val="Heading2"/>
      </w:pPr>
      <w:r>
        <w:t xml:space="preserve">The trust advantage</w:t>
      </w:r>
    </w:p>
    <w:p>
      <w:pPr>
        <w:pStyle w:val="FirstParagraph"/>
      </w:pPr>
      <w:r>
        <w:t xml:space="preserve">There is one more body of evidence that matters, and it goes to the heart of what makes the UAF distinctive. Research on social capital and economic performance has consistently found that high-trust environments produce better innovation outcomes. The mechanism is intuitive once you see it. Entrepreneurs in high-trust communities spend less time and money monitoring employees, verifying suppliers, and protecting against opportunistic behaviour. That frees up time and resources for actual innovation. Workers in high-trust organisations share knowledge more freely, collaborate more readily, and take collective risks more willingly. Technologies spread faster in high-trust societies because adoption requires less persuasion and less contractual protection.</w:t>
      </w:r>
    </w:p>
    <w:p>
      <w:pPr>
        <w:pStyle w:val="BodyText"/>
      </w:pPr>
      <w:r>
        <w:t xml:space="preserve">Uganda’s clan structures are, by their nature, high-trust environments. Clan membership provides shared identity, mutual obligation, elder-mediated dispute resolution, and intergenerational relationships built over lifetimes. These are precisely the conditions that the social capital literature identifies as fertile ground for collaborative innovation. Most startup ecosystems and innovation hubs around the world spend years and millions of dollars trying to artificially create the kind of trust networks that Uganda’s clans already have. The UAF’s insight is that this existing social infrastructure has economic value, and that channelling it into modern corporate structures could produce enterprises with a built-in innovation advantage that purely market-assembled teams cannot replicate.</w:t>
      </w:r>
    </w:p>
    <w:bookmarkEnd w:id="27"/>
    <w:bookmarkEnd w:id="28"/>
    <w:bookmarkStart w:id="32" w:name="Xc16f31abff6cfd59f793a3acdc645a96a3dd612"/>
    <w:p>
      <w:pPr>
        <w:pStyle w:val="Heading1"/>
      </w:pPr>
      <w:r>
        <w:t xml:space="preserve">What the UAF Actually Does About Each Problem</w:t>
      </w:r>
    </w:p>
    <w:p>
      <w:pPr>
        <w:pStyle w:val="FirstParagraph"/>
      </w:pPr>
      <w:r>
        <w:t xml:space="preserve">The evidence from Mondragon, Emilia-Romagna, the 34-country redistribution study, and the social capital literature tells us that cooperative, federated, and redistributive models can support innovation. But</w:t>
      </w:r>
      <w:r>
        <w:t xml:space="preserve"> </w:t>
      </w:r>
      <w:r>
        <w:t xml:space="preserve">“</w:t>
      </w:r>
      <w:r>
        <w:t xml:space="preserve">can</w:t>
      </w:r>
      <w:r>
        <w:t xml:space="preserve">”</w:t>
      </w:r>
      <w:r>
        <w:t xml:space="preserve"> </w:t>
      </w:r>
      <w:r>
        <w:t xml:space="preserve">is not</w:t>
      </w:r>
      <w:r>
        <w:t xml:space="preserve"> </w:t>
      </w:r>
      <w:r>
        <w:t xml:space="preserve">“</w:t>
      </w:r>
      <w:r>
        <w:t xml:space="preserve">will.</w:t>
      </w:r>
      <w:r>
        <w:t xml:space="preserve">”</w:t>
      </w:r>
      <w:r>
        <w:t xml:space="preserve"> </w:t>
      </w:r>
      <w:r>
        <w:t xml:space="preserve">The UAF needs specific design features that address each of the three problems raised earlier. The good news is that the original architecture already incorporates most of them.</w:t>
      </w:r>
    </w:p>
    <w:bookmarkStart w:id="29" w:name="answering-the-money-problem"/>
    <w:p>
      <w:pPr>
        <w:pStyle w:val="Heading2"/>
      </w:pPr>
      <w:r>
        <w:t xml:space="preserve">Answering the money problem</w:t>
      </w:r>
    </w:p>
    <w:p>
      <w:pPr>
        <w:pStyle w:val="FirstParagraph"/>
      </w:pPr>
      <w:r>
        <w:t xml:space="preserve">The 13% worst-case reinvestment figure from the critics’ case assumes every obligation is applied at its maximum rate from day one. The framework does not actually work that way.</w:t>
      </w:r>
    </w:p>
    <w:p>
      <w:pPr>
        <w:pStyle w:val="BodyText"/>
      </w:pPr>
      <w:r>
        <w:t xml:space="preserve">New clan enterprises operate under a</w:t>
      </w:r>
      <w:r>
        <w:t xml:space="preserve"> </w:t>
      </w:r>
      <w:r>
        <w:t xml:space="preserve">“</w:t>
      </w:r>
      <w:r>
        <w:t xml:space="preserve">nursery rate</w:t>
      </w:r>
      <w:r>
        <w:t xml:space="preserve">”</w:t>
      </w:r>
      <w:r>
        <w:t xml:space="preserve"> </w:t>
      </w:r>
      <w:r>
        <w:t xml:space="preserve">for their first three years: a reduced federation levy of just 5% and a social fund allocation of 15%, leaving roughly half of post-tax profits available for reinvestment during the period when enterprises most need capital to experiment, build capacity, and find their footing. In years four through seven, the rates increase gradually but remain below the mature level. The full extraction architecture only kicks in from year eight onward, by which point an enterprise has had nearly a decade to establish itself.</w:t>
      </w:r>
    </w:p>
    <w:p>
      <w:pPr>
        <w:pStyle w:val="BodyText"/>
      </w:pPr>
      <w:r>
        <w:t xml:space="preserve">On top of this, the Federation Covenant includes a reinvestment floor: no combination of levies, social funds, and distributions can reduce the amount available for reinvestment below 20% of post-tax net profit. This is not a guideline. It is a binding rule embedded in the federation’s governing document.</w:t>
      </w:r>
    </w:p>
    <w:p>
      <w:pPr>
        <w:pStyle w:val="BodyText"/>
      </w:pPr>
      <w:r>
        <w:t xml:space="preserve">The logic here is borrowed directly from mainstream development economics. Tax holidays and concessional rates for new enterprises are standard tools used by investment promotion agencies across Africa and Asia. Uganda’s own investment framework offers comparable concessions to businesses in free zones and priority sectors. The UAF applies the same principle internally.</w:t>
      </w:r>
    </w:p>
    <w:p>
      <w:pPr>
        <w:pStyle w:val="BodyText"/>
      </w:pPr>
      <w:r>
        <w:t xml:space="preserve">And the comparison to conventional private enterprise misses something important. A standalone company that keeps 70% of its post-tax profit also pays for everything itself: its own market research, its own legal counsel, its own financial infrastructure, its own credibility with investors. A UAF enterprise that contributes to the federation gets something back: access to the UAF Investment Vehicle, bond guarantee facilities that dramatically lower borrowing costs, shared services in accounting, legal, HR, and IT, market linkages negotiated at the federation level, and the reputational weight of belonging to a nationally recognised institution. The levy is not a pure extraction. It is a contribution to shared infrastructure that generates returns.</w:t>
      </w:r>
    </w:p>
    <w:p>
      <w:pPr>
        <w:pStyle w:val="BodyText"/>
      </w:pPr>
      <w:r>
        <w:t xml:space="preserve">The parallel to Emilia-Romagna is direct. Under Italian cooperative law, every cooperative contributes 3% of its annual surplus to a mutual fund for cooperative development. That mandatory contribution funds the shared service centres, research infrastructure, and financial institutions that have helped Emilia-Romagna’s cooperatives compete at the highest levels for decades. The UAF’s levy structure is higher, but the principle is the same: collective investment in collective capability.</w:t>
      </w:r>
    </w:p>
    <w:bookmarkEnd w:id="29"/>
    <w:bookmarkStart w:id="30" w:name="answering-the-talent-problem"/>
    <w:p>
      <w:pPr>
        <w:pStyle w:val="Heading2"/>
      </w:pPr>
      <w:r>
        <w:t xml:space="preserve">Answering the talent problem</w:t>
      </w:r>
    </w:p>
    <w:p>
      <w:pPr>
        <w:pStyle w:val="FirstParagraph"/>
      </w:pPr>
      <w:r>
        <w:t xml:space="preserve">The 80% staffing mandate is not a fixed quota imposed overnight. The framework proposes a phased trajectory. New enterprises start with a minimum of 50% clan workforce, with a binding plan to reach 80% within five years through targeted investment in training and recruitment. For every non-clan position, the enterprise must fund a training programme for a clan member to eventually fill that role. This reframes the mandate from exclusion of outsiders to investment in clan capability, a distinction that matters both economically and legally.</w:t>
      </w:r>
    </w:p>
    <w:p>
      <w:pPr>
        <w:pStyle w:val="BodyText"/>
      </w:pPr>
      <w:r>
        <w:t xml:space="preserve">For highly specialised industries where the 80% threshold is unrealistic in the medium term, the UAF Board can grant sector-specific exemptions, reviewed annually, reducing the threshold to 60% provided the enterprise demonstrates active recruitment and training of clan members in specialised roles.</w:t>
      </w:r>
    </w:p>
    <w:p>
      <w:pPr>
        <w:pStyle w:val="BodyText"/>
      </w:pPr>
      <w:r>
        <w:t xml:space="preserve">The legal architecture supports this approach. Uganda’s own petroleum sector local content regulations set targets for national participation but allow for phased implementation tied to skills development timelines. As of 2024, approximately 90% of workers in the oil and gas sector are Ugandan, a figure achieved through a combination of mandates, training investment, and pragmatic flexibility about timelines. The UAF’s staffing trajectory follows the same logic.</w:t>
      </w:r>
    </w:p>
    <w:p>
      <w:pPr>
        <w:pStyle w:val="BodyText"/>
      </w:pPr>
      <w:r>
        <w:t xml:space="preserve">The Mondragon experience adds another dimension. Mondragon cooperatives have historically created categories of temporary and associate membership to accommodate specialised talent. A skilled professional who is not yet a full cooperative member can contribute to the enterprise while the cooperative invests in developing equivalent capability among its members. The UAF could adopt a similar mechanism, creating an associate category within the clan workforce framework that allows skilled non-clan professionals to contribute while clan members are trained to assume those roles over time.</w:t>
      </w:r>
    </w:p>
    <w:bookmarkEnd w:id="30"/>
    <w:bookmarkStart w:id="31" w:name="answering-the-ambition-problem"/>
    <w:p>
      <w:pPr>
        <w:pStyle w:val="Heading2"/>
      </w:pPr>
      <w:r>
        <w:t xml:space="preserve">Answering the ambition problem</w:t>
      </w:r>
    </w:p>
    <w:p>
      <w:pPr>
        <w:pStyle w:val="FirstParagraph"/>
      </w:pPr>
      <w:r>
        <w:t xml:space="preserve">The equalisation mechanism includes three safeguards that are specifically designed to prevent the moral hazard the critics describe.</w:t>
      </w:r>
    </w:p>
    <w:p>
      <w:pPr>
        <w:pStyle w:val="BodyText"/>
      </w:pPr>
      <w:r>
        <w:t xml:space="preserve">First, equalisation payments decrease proportionally as a recipient clan’s own fiscal capacity increases. The system rewards improvement. A clan that grows its enterprises and raises its per-capita revenue sees its equalisation receipts decline correspondingly, which means the net benefit of better performance is always positive.</w:t>
      </w:r>
    </w:p>
    <w:p>
      <w:pPr>
        <w:pStyle w:val="BodyText"/>
      </w:pPr>
      <w:r>
        <w:t xml:space="preserve">Second, a minimum of 30% of equalisation funds must be invested in revenue-generating projects rather than consumed. Equalisation is structured as investment capital, not welfare. Recipient clans are required to build productive capacity, not just spend transfers.</w:t>
      </w:r>
    </w:p>
    <w:p>
      <w:pPr>
        <w:pStyle w:val="BodyText"/>
      </w:pPr>
      <w:r>
        <w:t xml:space="preserve">Third, any clan receiving equalisation for more than ten consecutive years undergoes a comprehensive review with a mandatory capacity-building plan. This creates institutional pressure against permanent dependency and ensures that long-term recipients are held accountable for progress.</w:t>
      </w:r>
    </w:p>
    <w:p>
      <w:pPr>
        <w:pStyle w:val="BodyText"/>
      </w:pPr>
      <w:r>
        <w:t xml:space="preserve">The differential reward question is worth addressing directly. A clan performing at twice the national average retains all of the benefits of its above-average performance, minus only the contribution needed to bring below-average clans to 85% of the mean. The incentive gradient is shallower than in a system with zero redistribution, but it remains meaningfully positive. A high-performing clan’s members still receive larger social fund benefits, larger member bonuses, better-funded services, and greater access to reinvestment capital than members of an average clan.</w:t>
      </w:r>
    </w:p>
    <w:p>
      <w:pPr>
        <w:pStyle w:val="BodyText"/>
      </w:pPr>
      <w:r>
        <w:t xml:space="preserve">And the 34-country redistribution study offers the most direct empirical response: across three decades of data, researchers found no evidence that redistribution reduces innovative activity. The moral hazard concern is theoretically coherent. It is empirically unsupported.</w:t>
      </w:r>
    </w:p>
    <w:p>
      <w:pPr>
        <w:pStyle w:val="BodyText"/>
      </w:pPr>
      <w:r>
        <w:t xml:space="preserve">On the dual mandate tension, the UAF’s governance design addresses the concern through structural separation. Clan Operating Companies enjoy full operational autonomy in day-to-day business decisions. The Clan Institution sets strategic direction and appoints the board but does not manage operations. This means the commercial team can focus on competitiveness, product development, and market strategy, while the CI board ensures that the social mandate is reflected in strategic priorities and profit distribution. The dual mandate is distributed across two layers rather than concentrated in one, which is exactly the governance design that researchers at Harvard and HEC Paris have identified as most effective for organisations pursuing simultaneous financial and social objectives.</w:t>
      </w:r>
    </w:p>
    <w:bookmarkEnd w:id="31"/>
    <w:bookmarkEnd w:id="32"/>
    <w:bookmarkStart w:id="37" w:name="what-we-are-still-building"/>
    <w:p>
      <w:pPr>
        <w:pStyle w:val="Heading1"/>
      </w:pPr>
      <w:r>
        <w:t xml:space="preserve">What We Are Still Building</w:t>
      </w:r>
    </w:p>
    <w:p>
      <w:pPr>
        <w:pStyle w:val="FirstParagraph"/>
      </w:pPr>
      <w:r>
        <w:t xml:space="preserve">The UAF’s original architecture addresses the major innovation risks with considerable rigour. But our own stress-testing of the framework has identified four areas where additional design work is needed, and we want to be transparent about what those are and where that work currently stands.</w:t>
      </w:r>
    </w:p>
    <w:bookmarkStart w:id="33" w:name="a-competition-policy-for-the-federation"/>
    <w:p>
      <w:pPr>
        <w:pStyle w:val="Heading2"/>
      </w:pPr>
      <w:r>
        <w:t xml:space="preserve">A competition policy for the federation</w:t>
      </w:r>
    </w:p>
    <w:p>
      <w:pPr>
        <w:pStyle w:val="FirstParagraph"/>
      </w:pPr>
      <w:r>
        <w:t xml:space="preserve">The current framework does not include formal rules governing commercial conduct between clan enterprises. As the number of COCs grows and multiple clans begin operating in the same sectors, the federation will need clear principles of fair competition, prohibitions on predatory behaviour, and a dispute resolution mechanism for commercial conflicts between members.</w:t>
      </w:r>
    </w:p>
    <w:p>
      <w:pPr>
        <w:pStyle w:val="BodyText"/>
      </w:pPr>
      <w:r>
        <w:t xml:space="preserve">We have identified this as a priority addition and are developing a UAF Competition and Fair Dealing Charter to be incorporated into the Federation Covenant. The Charter will establish an independent Competition Panel with the authority to hear complaints, issue binding rulings, and impose sanctions where necessary.</w:t>
      </w:r>
    </w:p>
    <w:bookmarkEnd w:id="33"/>
    <w:bookmarkStart w:id="34" w:name="a-dedicated-innovation-fund"/>
    <w:p>
      <w:pPr>
        <w:pStyle w:val="Heading2"/>
      </w:pPr>
      <w:r>
        <w:t xml:space="preserve">A dedicated innovation fund</w:t>
      </w:r>
    </w:p>
    <w:p>
      <w:pPr>
        <w:pStyle w:val="FirstParagraph"/>
      </w:pPr>
      <w:r>
        <w:t xml:space="preserve">The UAF’s current revenue allocation does not specifically designate resources for research, development, or innovation support. Mondragon’s innovation performance rests heavily on its federation-level R&amp;D infrastructure. Emilia-Romagna’s success depends on its network of Technopoles and research associations.</w:t>
      </w:r>
    </w:p>
    <w:p>
      <w:pPr>
        <w:pStyle w:val="BodyText"/>
      </w:pPr>
      <w:r>
        <w:t xml:space="preserve">We are designing a UAF Innovation and Technology Fund, resourced at 3 to 5% of total federation revenue, that will finance shared research facilities, provide competitive innovation grants to clan enterprises, and fund partnerships with Ugandan universities and international research organisations. Over time, this fund could support the creation of a UAF-affiliated technical institute, much as Mondragon University serves the Basque cooperative ecosystem.</w:t>
      </w:r>
    </w:p>
    <w:bookmarkEnd w:id="34"/>
    <w:bookmarkStart w:id="35" w:name="safeguards-against-regulatory-creep"/>
    <w:p>
      <w:pPr>
        <w:pStyle w:val="Heading2"/>
      </w:pPr>
      <w:r>
        <w:t xml:space="preserve">Safeguards against regulatory creep</w:t>
      </w:r>
    </w:p>
    <w:p>
      <w:pPr>
        <w:pStyle w:val="FirstParagraph"/>
      </w:pPr>
      <w:r>
        <w:t xml:space="preserve">The Federation Covenant and UAF Inspectorate exist for essential reasons. But compliance bodies have a well-documented tendency to expand their scope over time, and a regulatory framework that starts as a floor for governance standards can gradually become a ceiling that constrains operational experimentation.</w:t>
      </w:r>
    </w:p>
    <w:p>
      <w:pPr>
        <w:pStyle w:val="BodyText"/>
      </w:pPr>
      <w:r>
        <w:t xml:space="preserve">We are building explicit protections: a mandatory triennial review of cumulative compliance burden, an Innovation Protection Clause affirming that compliance standards do not authorise interference with commercial strategy, and a right of appeal for any enterprise that believes a requirement has unreasonably constrained its commercial freedom.</w:t>
      </w:r>
    </w:p>
    <w:bookmarkEnd w:id="35"/>
    <w:bookmarkStart w:id="36" w:name="an-explicit-innovation-culture"/>
    <w:p>
      <w:pPr>
        <w:pStyle w:val="Heading2"/>
      </w:pPr>
      <w:r>
        <w:t xml:space="preserve">An explicit innovation culture</w:t>
      </w:r>
    </w:p>
    <w:p>
      <w:pPr>
        <w:pStyle w:val="FirstParagraph"/>
      </w:pPr>
      <w:r>
        <w:t xml:space="preserve">The UAF’s founding philosophy provides extraordinary social cohesion. But values of collective responsibility, if they are not deliberately paired with values of enterprise ambition and creative risk-taking, can over time produce a culture that prizes stability over dynamism.</w:t>
      </w:r>
    </w:p>
    <w:p>
      <w:pPr>
        <w:pStyle w:val="BodyText"/>
      </w:pPr>
      <w:r>
        <w:t xml:space="preserve">We are addressing this through several channels: including innovation as a stated objective in the Federation Covenant, establishing an annual Federation Innovation Prize, building dedicated innovation programming into the Clan Enterprise Accelerator, and deliberately elevating stories of clan enterprises that have taken bold risks and achieved commercial breakthroughs alongside stories of social impact and community development.</w:t>
      </w:r>
    </w:p>
    <w:bookmarkEnd w:id="36"/>
    <w:bookmarkEnd w:id="37"/>
    <w:bookmarkStart w:id="38" w:name="the-deeper-point"/>
    <w:p>
      <w:pPr>
        <w:pStyle w:val="Heading1"/>
      </w:pPr>
      <w:r>
        <w:t xml:space="preserve">The Deeper Point</w:t>
      </w:r>
    </w:p>
    <w:p>
      <w:pPr>
        <w:pStyle w:val="FirstParagraph"/>
      </w:pPr>
      <w:r>
        <w:t xml:space="preserve">We have spent most of this essay engaging with the innovation question on the critics’ terms. We accepted their framing, tested the UAF against their benchmarks, and demonstrated that the evidence supports the model’s capacity to compete. That was necessary work. The critics deserve serious engagement, and the UAF deserves to be stress-tested.</w:t>
      </w:r>
    </w:p>
    <w:p>
      <w:pPr>
        <w:pStyle w:val="BodyText"/>
      </w:pPr>
      <w:r>
        <w:t xml:space="preserve">But the critics’ framing, while useful, is also incomplete. It assumes a specific definition of innovation: individual genius, disruptive breakthroughs, venture-backed startups, winner-take-all markets, and wealth concentration as the price of progress. By that definition, the most innovative economy on earth is one that produces a handful of extraordinarily wealthy founders and a vast population that consumes their products. The smartphone in a Kampala teenager’s pocket is a marvel of that kind of innovation. The absence of reliable electricity in her grandmother’s village is a testament to its selective attention.</w:t>
      </w:r>
    </w:p>
    <w:p>
      <w:pPr>
        <w:pStyle w:val="BodyText"/>
      </w:pPr>
      <w:r>
        <w:t xml:space="preserve">The UAF proposes something different. Hundreds of clan enterprises, each owned by its community, competing across diverse sectors, anchored in trust networks built over generations. Innovation emerging from hundreds of independent experiments rather than a handful of dominant firms. Each innovation locally responsive, because enterprises owned and staffed by community members are structurally attuned to the needs of the people they serve. The cumulative effect significant, because the aggregation of incremental improvements across hundreds of enterprises in dozens of sectors produces economic transformation even without a single headline-grabbing disruption. And the benefits distributed by design, flowing through the federation’s architecture to every citizen rather than concentrating at the top.</w:t>
      </w:r>
    </w:p>
    <w:p>
      <w:pPr>
        <w:pStyle w:val="BodyText"/>
      </w:pPr>
      <w:r>
        <w:t xml:space="preserve">This is distributed innovation. And there is strong historical precedent for it. Emilia-Romagna did not transform from one of Italy’s poorest regions to one of Europe’s wealthiest through a single anchor company or a dominant tech sector. It did it through thousands of cooperative enterprises, each improving incrementally, each sharing knowledge through federated networks, each competing within a framework designed to prevent the gains from concentrating in a few hands. Mondragon did not build a 70-year track record of competitive parity with conventional firms by producing a single breakthrough product. It did it through sustained, federation-wide investment in research, education, and inter-cooperative collaboration.</w:t>
      </w:r>
    </w:p>
    <w:p>
      <w:pPr>
        <w:pStyle w:val="BodyText"/>
      </w:pPr>
      <w:r>
        <w:t xml:space="preserve">The question was never really</w:t>
      </w:r>
      <w:r>
        <w:t xml:space="preserve"> </w:t>
      </w:r>
      <w:r>
        <w:t xml:space="preserve">“</w:t>
      </w:r>
      <w:r>
        <w:t xml:space="preserve">will there be innovation?</w:t>
      </w:r>
      <w:r>
        <w:t xml:space="preserve">”</w:t>
      </w:r>
      <w:r>
        <w:t xml:space="preserve"> </w:t>
      </w:r>
      <w:r>
        <w:t xml:space="preserve">The question is: innovation for whom? Innovation toward what end? If the answer is innovation that serves communities, builds shared prosperity, preserves cultural heritage, and ensures that every citizen of a nation benefits from the collective enterprise of their society, then the UAF does not merely tolerate innovation.</w:t>
      </w:r>
    </w:p>
    <w:p>
      <w:pPr>
        <w:pStyle w:val="BodyText"/>
      </w:pPr>
      <w:r>
        <w:t xml:space="preserve">It redefines the purpose that innovation is meant to serve.</w:t>
      </w:r>
    </w:p>
    <w:p>
      <w:pPr>
        <w:pStyle w:val="BodyText"/>
      </w:pPr>
      <w:r>
        <w:t xml:space="preserve">And there is an African word for the philosophy behind that redefinition. A word that says individual ambition and collective responsibility are not in conflict but are two expressions of the same truth. A word that has anchored communities across this continent for longer than any economic textbook has existed.</w:t>
      </w:r>
    </w:p>
    <w:p>
      <w:pPr>
        <w:pStyle w:val="BodyText"/>
      </w:pPr>
      <w:r>
        <w:t xml:space="preserve">Ubuntu.</w:t>
      </w:r>
    </w:p>
    <w:p>
      <w:pPr>
        <w:pStyle w:val="BodyText"/>
      </w:pPr>
      <w:r>
        <w:rPr>
          <w:iCs/>
          <w:i/>
        </w:rPr>
        <w:t xml:space="preserve">“</w:t>
      </w:r>
      <w:r>
        <w:rPr>
          <w:iCs/>
          <w:i/>
        </w:rPr>
        <w:t xml:space="preserve">I am because we are. We are because I am.</w:t>
      </w:r>
      <w:r>
        <w:rPr>
          <w:iCs/>
          <w:i/>
        </w:rPr>
        <w:t xml:space="preserve">”</w:t>
      </w:r>
    </w:p>
    <w:p>
      <w:r>
        <w:pict>
          <v:rect style="width:0;height:1.5pt" o:hralign="center" o:hrstd="t" o:hr="t"/>
        </w:pict>
      </w:r>
    </w:p>
    <w:p>
      <w:pPr>
        <w:pStyle w:val="FirstParagraph"/>
      </w:pPr>
      <w:r>
        <w:rPr>
          <w:iCs/>
          <w:i/>
        </w:rPr>
        <w:t xml:space="preserve">This essay draws on research published in the African Renaissance Foundation’s policy paper</w:t>
      </w:r>
      <w:r>
        <w:rPr>
          <w:iCs/>
          <w:i/>
        </w:rPr>
        <w:t xml:space="preserve"> </w:t>
      </w:r>
      <w:r>
        <w:rPr>
          <w:iCs/>
          <w:i/>
        </w:rPr>
        <w:t xml:space="preserve">“</w:t>
      </w:r>
      <w:r>
        <w:rPr>
          <w:iCs/>
          <w:i/>
        </w:rPr>
        <w:t xml:space="preserve">Ubuntu and the Innovation Question: How a Federated Clan-Based Economic Model Supports Competition, Creativity, and Collective Advancement</w:t>
      </w:r>
      <w:r>
        <w:rPr>
          <w:iCs/>
          <w:i/>
        </w:rPr>
        <w:t xml:space="preserve">”</w:t>
      </w:r>
      <w:r>
        <w:rPr>
          <w:iCs/>
          <w:i/>
        </w:rPr>
        <w:t xml:space="preserve"> </w:t>
      </w:r>
      <w:r>
        <w:rPr>
          <w:iCs/>
          <w:i/>
        </w:rPr>
        <w:t xml:space="preserve">(March 2026). For the full academic treatment with complete citations, see the Foundation’s publications page.</w:t>
      </w:r>
    </w:p>
    <w:p>
      <w:r>
        <w:pict>
          <v:rect style="width:0;height:1.5pt" o:hralign="center" o:hrstd="t" o:hr="t"/>
        </w:pict>
      </w:r>
    </w:p>
    <w:p>
      <w:pPr>
        <w:pStyle w:val="FirstParagraph"/>
      </w:pPr>
      <w:r>
        <w:rPr>
          <w:bCs/>
          <w:b/>
        </w:rPr>
        <w:t xml:space="preserve">Key Sources Referenced</w:t>
      </w:r>
    </w:p>
    <w:p>
      <w:pPr>
        <w:numPr>
          <w:ilvl w:val="0"/>
          <w:numId w:val="1001"/>
        </w:numPr>
        <w:pStyle w:val="Compact"/>
      </w:pPr>
      <w:r>
        <w:t xml:space="preserve">Hu et al. (2022).</w:t>
      </w:r>
      <w:r>
        <w:t xml:space="preserve"> </w:t>
      </w:r>
      <w:r>
        <w:t xml:space="preserve">“</w:t>
      </w:r>
      <w:r>
        <w:t xml:space="preserve">Does Income Redistribution Impede Innovation?</w:t>
      </w:r>
      <w:r>
        <w:t xml:space="preserve">”</w:t>
      </w:r>
      <w:r>
        <w:t xml:space="preserve"> </w:t>
      </w:r>
      <w:r>
        <w:rPr>
          <w:iCs/>
          <w:i/>
        </w:rPr>
        <w:t xml:space="preserve">Research Policy</w:t>
      </w:r>
      <w:r>
        <w:t xml:space="preserve">.</w:t>
      </w:r>
    </w:p>
    <w:p>
      <w:pPr>
        <w:numPr>
          <w:ilvl w:val="0"/>
          <w:numId w:val="1001"/>
        </w:numPr>
        <w:pStyle w:val="Compact"/>
      </w:pPr>
      <w:r>
        <w:t xml:space="preserve">Jones, D. &amp; Marinescu, I. (2022).</w:t>
      </w:r>
      <w:r>
        <w:t xml:space="preserve"> </w:t>
      </w:r>
      <w:r>
        <w:t xml:space="preserve">“</w:t>
      </w:r>
      <w:r>
        <w:t xml:space="preserve">The Labor Market Impacts of Universal and Permanent Cash Transfers: Evidence from the Alaska Permanent Fund.</w:t>
      </w:r>
      <w:r>
        <w:t xml:space="preserve">”</w:t>
      </w:r>
      <w:r>
        <w:t xml:space="preserve"> </w:t>
      </w:r>
      <w:r>
        <w:rPr>
          <w:iCs/>
          <w:i/>
        </w:rPr>
        <w:t xml:space="preserve">American Economic Journal: Economic Policy</w:t>
      </w:r>
      <w:r>
        <w:t xml:space="preserve">.</w:t>
      </w:r>
    </w:p>
    <w:p>
      <w:pPr>
        <w:numPr>
          <w:ilvl w:val="0"/>
          <w:numId w:val="1001"/>
        </w:numPr>
        <w:pStyle w:val="Compact"/>
      </w:pPr>
      <w:r>
        <w:t xml:space="preserve">Battilana, J., Pache, A., &amp; Lemmel Hay, C. (2024).</w:t>
      </w:r>
      <w:r>
        <w:t xml:space="preserve"> </w:t>
      </w:r>
      <w:r>
        <w:t xml:space="preserve">“</w:t>
      </w:r>
      <w:r>
        <w:t xml:space="preserve">Strengthening Boards to Navigate the Intersection of Profit and Purpose.</w:t>
      </w:r>
      <w:r>
        <w:t xml:space="preserve">”</w:t>
      </w:r>
      <w:r>
        <w:t xml:space="preserve"> </w:t>
      </w:r>
      <w:r>
        <w:rPr>
          <w:iCs/>
          <w:i/>
        </w:rPr>
        <w:t xml:space="preserve">Stanford Social Innovation Review</w:t>
      </w:r>
      <w:r>
        <w:t xml:space="preserve">.</w:t>
      </w:r>
    </w:p>
    <w:p>
      <w:pPr>
        <w:numPr>
          <w:ilvl w:val="0"/>
          <w:numId w:val="1001"/>
        </w:numPr>
        <w:pStyle w:val="Compact"/>
      </w:pPr>
      <w:r>
        <w:t xml:space="preserve">Errasti, A., Bretos, I., &amp; Nunez, A. (2017).</w:t>
      </w:r>
      <w:r>
        <w:t xml:space="preserve"> </w:t>
      </w:r>
      <w:r>
        <w:t xml:space="preserve">“</w:t>
      </w:r>
      <w:r>
        <w:t xml:space="preserve">The Viability of Cooperatives: The Fall of the Mondragon Cooperative Fagor.</w:t>
      </w:r>
      <w:r>
        <w:t xml:space="preserve">”</w:t>
      </w:r>
      <w:r>
        <w:t xml:space="preserve"> </w:t>
      </w:r>
      <w:r>
        <w:rPr>
          <w:iCs/>
          <w:i/>
        </w:rPr>
        <w:t xml:space="preserve">Review of Radical Political Economics</w:t>
      </w:r>
      <w:r>
        <w:t xml:space="preserve">.</w:t>
      </w:r>
    </w:p>
    <w:p>
      <w:pPr>
        <w:numPr>
          <w:ilvl w:val="0"/>
          <w:numId w:val="1001"/>
        </w:numPr>
        <w:pStyle w:val="Compact"/>
      </w:pPr>
      <w:r>
        <w:t xml:space="preserve">Caselli, G., Costa, M., &amp; Delbono, F. (2022).</w:t>
      </w:r>
      <w:r>
        <w:t xml:space="preserve"> </w:t>
      </w:r>
      <w:r>
        <w:t xml:space="preserve">“</w:t>
      </w:r>
      <w:r>
        <w:t xml:space="preserve">What Do Cooperative Firms Maximize, if at All?</w:t>
      </w:r>
      <w:r>
        <w:t xml:space="preserve">”</w:t>
      </w:r>
      <w:r>
        <w:t xml:space="preserve"> </w:t>
      </w:r>
      <w:r>
        <w:rPr>
          <w:iCs/>
          <w:i/>
        </w:rPr>
        <w:t xml:space="preserve">Annals of Public and Cooperative Economics</w:t>
      </w:r>
      <w:r>
        <w:t xml:space="preserve">.</w:t>
      </w:r>
    </w:p>
    <w:p>
      <w:pPr>
        <w:numPr>
          <w:ilvl w:val="0"/>
          <w:numId w:val="1001"/>
        </w:numPr>
        <w:pStyle w:val="Compact"/>
      </w:pPr>
      <w:r>
        <w:t xml:space="preserve">Mondragon Corporation. 2024 Annual Report.</w:t>
      </w:r>
    </w:p>
    <w:p>
      <w:pPr>
        <w:numPr>
          <w:ilvl w:val="0"/>
          <w:numId w:val="1001"/>
        </w:numPr>
        <w:pStyle w:val="Compact"/>
      </w:pPr>
      <w:r>
        <w:t xml:space="preserve">Sen, G. (2018).</w:t>
      </w:r>
      <w:r>
        <w:t xml:space="preserve"> </w:t>
      </w:r>
      <w:r>
        <w:t xml:space="preserve">“</w:t>
      </w:r>
      <w:r>
        <w:t xml:space="preserve">Enhancing Local Content in Uganda’s Oil and Gas Industry.</w:t>
      </w:r>
      <w:r>
        <w:t xml:space="preserve">”</w:t>
      </w:r>
      <w:r>
        <w:t xml:space="preserve"> </w:t>
      </w:r>
      <w:r>
        <w:t xml:space="preserve">UNU-WIDER Working Paper.</w:t>
      </w:r>
    </w:p>
    <w:p>
      <w:pPr>
        <w:numPr>
          <w:ilvl w:val="0"/>
          <w:numId w:val="1001"/>
        </w:numPr>
        <w:pStyle w:val="Compact"/>
      </w:pPr>
      <w:r>
        <w:t xml:space="preserve">The Young Foundation.</w:t>
      </w:r>
      <w:r>
        <w:t xml:space="preserve"> </w:t>
      </w:r>
      <w:r>
        <w:t xml:space="preserve">“</w:t>
      </w:r>
      <w:r>
        <w:t xml:space="preserve">Humanity at Work: Mondragon, A Social Innovation Ecosystem Case Study.</w:t>
      </w:r>
      <w:r>
        <w:t xml:space="preserve">”</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 It Kill Innovation?</dc:title>
  <dc:creator>The African Renaissance Foundation</dc:creator>
  <cp:keywords/>
  <dcterms:created xsi:type="dcterms:W3CDTF">2026-03-12T17:18:12Z</dcterms:created>
  <dcterms:modified xsi:type="dcterms:W3CDTF">2026-03-12T17:18:12Z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March 2026</vt:lpwstr>
  </property>
  <property fmtid="{D5CDD505-2E9C-101B-9397-08002B2CF9AE}" pid="3" name="subtitle">
    <vt:lpwstr>The Hardest Question About Uganda’s Clan Economy — And Why the Evidence Says No</vt:lpwstr>
  </property>
</Properties>
</file>