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Tatzliach Initiative — Crisis &amp; Emergency Response Protocol</w:t>
      </w:r>
    </w:p>
    <w:p>
      <w:pPr>
        <w:spacing w:after="200"/>
      </w:pPr>
      <w:r>
        <w:rPr>
          <w:i/>
          <w:iCs/>
          <w:sz w:val="20"/>
          <w:szCs w:val="20"/>
        </w:rPr>
        <w:t xml:space="preserve">Last Updated: June 21, 2026</w:t>
      </w:r>
    </w:p>
    <w:p>
      <w:pPr>
        <w:pStyle w:val="Heading2"/>
      </w:pPr>
      <w:r>
        <w:t xml:space="preserve">About the Platform</w:t>
      </w:r>
    </w:p>
    <w:p>
      <w:pPr>
        <w:spacing w:after="160"/>
      </w:pPr>
      <w:r>
        <w:rPr>
          <w:i/>
          <w:iCs/>
        </w:rPr>
        <w:t xml:space="preserve">This Crisis &amp; Emergency Response Protocol (“Protocol”) applies to all Mentors, staff, and volunteers of Tatzliach Initiative. It governs how to respond if a mentee or any other individual you encounter through the Program appears to be in danger. All Mentors must review and acknowledge this Protocol before being matched with a mentee.</w:t>
      </w:r>
    </w:p>
    <w:p>
      <w:pPr>
        <w:pBdr>
          <w:bottom w:val="single" w:color="999999" w:sz="6" w:space="1"/>
        </w:pBdr>
        <w:spacing w:after="200"/>
      </w:pPr>
    </w:p>
    <w:p>
      <w:pPr>
        <w:pStyle w:val="Heading2"/>
      </w:pPr>
      <w:r>
        <w:t xml:space="preserve">1. Purpose and Scope</w:t>
      </w:r>
    </w:p>
    <w:p>
      <w:pPr>
        <w:spacing w:after="160"/>
      </w:pPr>
      <w:r>
        <w:rPr>
          <w:b w:val="false"/>
          <w:bCs w:val="false"/>
        </w:rPr>
        <w:t xml:space="preserve">Tatzliach Initiative is a peer mentorship and community support program. It is not a crisis service, emergency service, or mental health provider, and Mentors are not trained crisis counselors. This Protocol exists so that everyone in the Program responds the same, safe way when a serious concern arises — by referring immediately to people who are trained and equipped to help.</w:t>
      </w:r>
    </w:p>
    <w:p>
      <w:pPr>
        <w:pStyle w:val="Heading2"/>
      </w:pPr>
      <w:r>
        <w:t xml:space="preserve">2. Important Distinction: Mental Health Condition vs. Acute Crisis</w:t>
      </w:r>
    </w:p>
    <w:p>
      <w:pPr>
        <w:spacing w:after="160"/>
      </w:pPr>
      <w:r>
        <w:rPr>
          <w:b/>
          <w:bCs/>
        </w:rPr>
        <w:t xml:space="preserve">Having a mental health condition or history is NOT the same as being in crisis. These require different responses.</w:t>
      </w:r>
    </w:p>
    <w:p>
      <w:pPr>
        <w:pStyle w:val="ListParagraph"/>
        <w:numPr>
          <w:ilvl w:val="0"/>
          <w:numId w:val="2"/>
        </w:numPr>
        <w:spacing w:after="80"/>
      </w:pPr>
      <w:r>
        <w:rPr>
          <w:b w:val="false"/>
          <w:bCs w:val="false"/>
        </w:rPr>
        <w:t xml:space="preserve">MENTAL HEALTH CONDITION (member may participate): A member who has a history of anxiety, depression, or other mental health conditions, is in ongoing therapy or psychiatric care, or self-identifies as managing a mental health challenge, is generally welcome in the Program. Mentors support these individuals the same way they support any member — through encouragement, accountability, and general guidance. A mentor does NOT need to escalate simply because a member has shared a mental health history or diagnosis.</w:t>
      </w:r>
    </w:p>
    <w:p>
      <w:pPr>
        <w:pStyle w:val="ListParagraph"/>
        <w:numPr>
          <w:ilvl w:val="0"/>
          <w:numId w:val="2"/>
        </w:numPr>
        <w:spacing w:after="80"/>
      </w:pPr>
      <w:r>
        <w:rPr>
          <w:b w:val="false"/>
          <w:bCs w:val="false"/>
        </w:rPr>
        <w:t xml:space="preserve">ACUTE MENTAL HEALTH CRISIS (refer immediately): A member who is expressing active suicidal ideation or intent, actively threatening harm to themselves or another person, appearing to be in a psychiatric emergency or experiencing a break from reality, or otherwise in a state where their immediate safety is in question — is in crisis. This is NOT within the scope of peer mentorship. Refer immediately using the steps in Section 4.</w:t>
      </w:r>
    </w:p>
    <w:p>
      <w:pPr>
        <w:pStyle w:val="ListParagraph"/>
        <w:numPr>
          <w:ilvl w:val="0"/>
          <w:numId w:val="2"/>
        </w:numPr>
        <w:spacing w:after="80"/>
      </w:pPr>
      <w:r>
        <w:rPr>
          <w:b w:val="false"/>
          <w:bCs w:val="false"/>
        </w:rPr>
        <w:t xml:space="preserve">WHEN IN DOUBT: If a mentor is uncertain whether a situation is a mental health history or an acute crisis, treat it as a crisis and refer. Over-referring is always safer than under-referring. The mentor is never the right person to make a clinical determination.</w:t>
      </w:r>
    </w:p>
    <w:p>
      <w:pPr>
        <w:pStyle w:val="Heading2"/>
      </w:pPr>
      <w:r>
        <w:t xml:space="preserve">3. Core Rule: Always Refer, Never Manage</w:t>
      </w:r>
    </w:p>
    <w:p>
      <w:pPr>
        <w:spacing w:after="160"/>
      </w:pPr>
      <w:r>
        <w:rPr>
          <w:b/>
          <w:bCs/>
        </w:rPr>
        <w:t xml:space="preserve">If you believe a mentee or anyone else may be in danger of harming themselves or another person, your job is to connect them to emergency help immediately — not to assess, counsel, or resolve the situation yourself.</w:t>
      </w:r>
    </w:p>
    <w:p>
      <w:pPr>
        <w:spacing w:after="160"/>
      </w:pPr>
      <w:r>
        <w:rPr>
          <w:b w:val="false"/>
          <w:bCs w:val="false"/>
        </w:rPr>
        <w:t xml:space="preserve">This applies regardless of how serious or minor you personally believe the situation to be. When in doubt, treat it as serious and refer immediately.</w:t>
      </w:r>
    </w:p>
    <w:p>
      <w:pPr>
        <w:pStyle w:val="Heading2"/>
      </w:pPr>
      <w:r>
        <w:t xml:space="preserve">4. Immediate Action Steps</w:t>
      </w:r>
    </w:p>
    <w:p>
      <w:pPr>
        <w:pStyle w:val="ListParagraph"/>
        <w:numPr>
          <w:ilvl w:val="0"/>
          <w:numId w:val="2"/>
        </w:numPr>
        <w:spacing w:after="80"/>
      </w:pPr>
      <w:r>
        <w:rPr>
          <w:b w:val="false"/>
          <w:bCs w:val="false"/>
        </w:rPr>
        <w:t xml:space="preserve">If there is any immediate danger to life: call 911, or direct the individual to call 911, right away.</w:t>
      </w:r>
    </w:p>
    <w:p>
      <w:pPr>
        <w:pStyle w:val="ListParagraph"/>
        <w:numPr>
          <w:ilvl w:val="0"/>
          <w:numId w:val="2"/>
        </w:numPr>
        <w:spacing w:after="80"/>
      </w:pPr>
      <w:r>
        <w:rPr>
          <w:b w:val="false"/>
          <w:bCs w:val="false"/>
        </w:rPr>
        <w:t xml:space="preserve">For thoughts of suicide or self-harm, whether or not danger seems immediate: direct the individual to call or text 988 (the 988 Suicide &amp; Crisis Lifeline), available 24/7.</w:t>
      </w:r>
    </w:p>
    <w:p>
      <w:pPr>
        <w:pStyle w:val="ListParagraph"/>
        <w:numPr>
          <w:ilvl w:val="0"/>
          <w:numId w:val="2"/>
        </w:numPr>
        <w:spacing w:after="80"/>
      </w:pPr>
      <w:r>
        <w:rPr>
          <w:b w:val="false"/>
          <w:bCs w:val="false"/>
        </w:rPr>
        <w:t xml:space="preserve">For other urgent emotional distress: the Crisis Text Line is available by texting HOME to 741741.</w:t>
      </w:r>
    </w:p>
    <w:p>
      <w:pPr>
        <w:pStyle w:val="ListParagraph"/>
        <w:numPr>
          <w:ilvl w:val="0"/>
          <w:numId w:val="2"/>
        </w:numPr>
        <w:spacing w:after="80"/>
      </w:pPr>
      <w:r>
        <w:rPr>
          <w:b w:val="false"/>
          <w:bCs w:val="false"/>
        </w:rPr>
        <w:t xml:space="preserve">As soon as possible after taking the steps above, notify Tatzliach's designated safety contact so the Initiative can follow up and provide further support.</w:t>
      </w:r>
    </w:p>
    <w:p>
      <w:pPr>
        <w:pStyle w:val="Heading2"/>
      </w:pPr>
      <w:r>
        <w:t xml:space="preserve">5. What Mentors Must NOT Do</w:t>
      </w:r>
    </w:p>
    <w:p>
      <w:pPr>
        <w:pStyle w:val="ListParagraph"/>
        <w:numPr>
          <w:ilvl w:val="0"/>
          <w:numId w:val="2"/>
        </w:numPr>
        <w:spacing w:after="80"/>
      </w:pPr>
      <w:r>
        <w:rPr>
          <w:b w:val="false"/>
          <w:bCs w:val="false"/>
        </w:rPr>
        <w:t xml:space="preserve">Do not promise unconditional confidentiality (“I won't tell anyone no matter what”) — safety always comes before confidentiality.</w:t>
      </w:r>
    </w:p>
    <w:p>
      <w:pPr>
        <w:pStyle w:val="ListParagraph"/>
        <w:numPr>
          <w:ilvl w:val="0"/>
          <w:numId w:val="2"/>
        </w:numPr>
        <w:spacing w:after="80"/>
      </w:pPr>
      <w:r>
        <w:rPr>
          <w:b w:val="false"/>
          <w:bCs w:val="false"/>
        </w:rPr>
        <w:t xml:space="preserve">Do not attempt to talk someone through a crisis in place of professional or emergency intervention.</w:t>
      </w:r>
    </w:p>
    <w:p>
      <w:pPr>
        <w:pStyle w:val="ListParagraph"/>
        <w:numPr>
          <w:ilvl w:val="0"/>
          <w:numId w:val="2"/>
        </w:numPr>
        <w:spacing w:after="80"/>
      </w:pPr>
      <w:r>
        <w:rPr>
          <w:b w:val="false"/>
          <w:bCs w:val="false"/>
        </w:rPr>
        <w:t xml:space="preserve">Do not delay referral to “see how things go” or to avoid “overreacting.”</w:t>
      </w:r>
    </w:p>
    <w:p>
      <w:pPr>
        <w:pStyle w:val="ListParagraph"/>
        <w:numPr>
          <w:ilvl w:val="0"/>
          <w:numId w:val="2"/>
        </w:numPr>
        <w:spacing w:after="80"/>
      </w:pPr>
      <w:r>
        <w:rPr>
          <w:b w:val="false"/>
          <w:bCs w:val="false"/>
        </w:rPr>
        <w:t xml:space="preserve">Do not take on sole personal responsibility for keeping a mentee safe. Your responsibility is to refer and to notify Tatzliach — not to be the solution.</w:t>
      </w:r>
    </w:p>
    <w:p>
      <w:pPr>
        <w:pStyle w:val="ListParagraph"/>
        <w:numPr>
          <w:ilvl w:val="0"/>
          <w:numId w:val="2"/>
        </w:numPr>
        <w:spacing w:after="80"/>
      </w:pPr>
      <w:r>
        <w:rPr>
          <w:b w:val="false"/>
          <w:bCs w:val="false"/>
        </w:rPr>
        <w:t xml:space="preserve">Do not attempt to diagnose, assess, or clinically evaluate a member's mental health status. That is never your role, regardless of any professional credentials you may personally hold.</w:t>
      </w:r>
    </w:p>
    <w:p>
      <w:pPr>
        <w:pStyle w:val="Heading2"/>
      </w:pPr>
      <w:r>
        <w:t xml:space="preserve">6. Members with Physical Disabilities</w:t>
      </w:r>
    </w:p>
    <w:p>
      <w:pPr>
        <w:pStyle w:val="ListParagraph"/>
        <w:numPr>
          <w:ilvl w:val="0"/>
          <w:numId w:val="2"/>
        </w:numPr>
        <w:spacing w:after="80"/>
      </w:pPr>
      <w:r>
        <w:rPr>
          <w:b w:val="false"/>
          <w:bCs w:val="false"/>
        </w:rPr>
        <w:t xml:space="preserve">A member with a physical disability is generally fully able to participate in the Program. Mentors are expected to treat all members with equal dignity and respect, regardless of any physical disability.</w:t>
      </w:r>
    </w:p>
    <w:p>
      <w:pPr>
        <w:pStyle w:val="ListParagraph"/>
        <w:numPr>
          <w:ilvl w:val="0"/>
          <w:numId w:val="2"/>
        </w:numPr>
        <w:spacing w:after="80"/>
      </w:pPr>
      <w:r>
        <w:rPr>
          <w:b w:val="false"/>
          <w:bCs w:val="false"/>
        </w:rPr>
        <w:t xml:space="preserve">If a member with a physical disability requests a simple, reasonable accommodation — such as communicating by text rather than phone, scheduling flexibility, or an adjusted meeting format — the mentor should do their best to accommodate this within their availability and the Program's volunteer structure.</w:t>
      </w:r>
    </w:p>
    <w:p>
      <w:pPr>
        <w:pStyle w:val="ListParagraph"/>
        <w:numPr>
          <w:ilvl w:val="0"/>
          <w:numId w:val="2"/>
        </w:numPr>
        <w:spacing w:after="80"/>
      </w:pPr>
      <w:r>
        <w:rPr>
          <w:b w:val="false"/>
          <w:bCs w:val="false"/>
        </w:rPr>
        <w:t xml:space="preserve">If a member's physical disability creates a need for clinical, medical, or specialized adaptive support that exceeds what a volunteer peer mentor can reasonably provide, the mentor should notify Tatzliach so an appropriate referral or adjustment can be made.</w:t>
      </w:r>
    </w:p>
    <w:p>
      <w:pPr>
        <w:pStyle w:val="ListParagraph"/>
        <w:numPr>
          <w:ilvl w:val="0"/>
          <w:numId w:val="2"/>
        </w:numPr>
        <w:spacing w:after="80"/>
      </w:pPr>
      <w:r>
        <w:rPr>
          <w:b w:val="false"/>
          <w:bCs w:val="false"/>
        </w:rPr>
        <w:t xml:space="preserve">Mentors should never make assumptions about what a member with a physical disability can or cannot do. Ask respectfully and follow the member's lead.</w:t>
      </w:r>
    </w:p>
    <w:p>
      <w:pPr>
        <w:pStyle w:val="Heading2"/>
      </w:pPr>
      <w:r>
        <w:t xml:space="preserve">7. Designated Safety Contact</w:t>
      </w:r>
    </w:p>
    <w:p>
      <w:pPr>
        <w:spacing w:after="160"/>
      </w:pPr>
      <w:r>
        <w:rPr>
          <w:b w:val="false"/>
          <w:bCs w:val="false"/>
        </w:rPr>
        <w:t xml:space="preserve">Tatzliach designates a staff member or program administrator as the safety contact responsible for receiving Mentor reports, following up with the individual where appropriate, documenting the incident, and determining whether further action (such as pausing a match or making additional referrals) is needed. Mentors should contact: tatzliach.initiative@gmail.com, marked urgent, and follow any additional escalation instructions provided during Mentor orientation.</w:t>
      </w:r>
    </w:p>
    <w:p>
      <w:pPr>
        <w:pStyle w:val="Heading2"/>
      </w:pPr>
      <w:r>
        <w:t xml:space="preserve">8. Documentation</w:t>
      </w:r>
    </w:p>
    <w:p>
      <w:pPr>
        <w:spacing w:after="160"/>
      </w:pPr>
      <w:r>
        <w:rPr>
          <w:b w:val="false"/>
          <w:bCs w:val="false"/>
        </w:rPr>
        <w:t xml:space="preserve">After any safety concern, the Mentor and/or safety contact should record: the date and time, a general description of what was observed or disclosed, the action taken, and who was notified. Documentation should avoid unnecessary personal detail and focus on the response taken.</w:t>
      </w:r>
    </w:p>
    <w:p>
      <w:pPr>
        <w:pStyle w:val="Heading2"/>
      </w:pPr>
      <w:r>
        <w:t xml:space="preserve">9. Follow-Up</w:t>
      </w:r>
    </w:p>
    <w:p>
      <w:pPr>
        <w:spacing w:after="160"/>
      </w:pPr>
      <w:r>
        <w:rPr>
          <w:b w:val="false"/>
          <w:bCs w:val="false"/>
        </w:rPr>
        <w:t xml:space="preserve">Following a safety incident, Tatzliach may pause, adjust, or end a mentorship match pending review, and may reach out to the individual or their emergency contact (if on file) to confirm appropriate follow-up has occurred.</w:t>
      </w:r>
    </w:p>
    <w:p>
      <w:pPr>
        <w:pStyle w:val="Heading2"/>
      </w:pPr>
      <w:r>
        <w:t xml:space="preserve">10. Mandatory Training</w:t>
      </w:r>
    </w:p>
    <w:p>
      <w:pPr>
        <w:spacing w:after="160"/>
      </w:pPr>
      <w:r>
        <w:rPr>
          <w:b w:val="false"/>
          <w:bCs w:val="false"/>
        </w:rPr>
        <w:t xml:space="preserve">All Mentors must complete orientation covering this Protocol, the Code of Conduct, and the single-gender mentorship policy before being matched with a mentee, and must re-acknowledge this Protocol periodically as Tatzliach requires.</w:t>
      </w:r>
    </w:p>
    <w:p>
      <w:pPr>
        <w:pStyle w:val="Heading2"/>
      </w:pPr>
      <w:r>
        <w:t xml:space="preserve">11. No Guarantee</w:t>
      </w:r>
    </w:p>
    <w:p>
      <w:pPr>
        <w:spacing w:after="160"/>
      </w:pPr>
      <w:r>
        <w:rPr>
          <w:b w:val="false"/>
          <w:bCs w:val="false"/>
        </w:rPr>
        <w:t xml:space="preserve">This Protocol reflects Tatzliach's good-faith effort to respond responsibly to safety concerns. It does not guarantee the prevention of harm, and it does not make Tatzliach, its Mentors, staff, or volunteers a substitute for professional medical, mental health, or emergency services. See the Terms of Use and Program Disclaimer for the applicable limitations of liability.</w:t>
      </w:r>
    </w:p>
    <w:p>
      <w:pPr>
        <w:pStyle w:val="Heading2"/>
      </w:pPr>
      <w:r>
        <w:t xml:space="preserve">12. Acknowledgment</w:t>
      </w:r>
    </w:p>
    <w:p>
      <w:pPr>
        <w:spacing w:after="160"/>
      </w:pPr>
      <w:r>
        <w:rPr>
          <w:b w:val="false"/>
          <w:bCs w:val="false"/>
        </w:rPr>
        <w:t xml:space="preserve">By signing below, I confirm that I have read, understand, and agree to follow this Crisis &amp; Emergency Response Protocol at all times while serving as a Mentor or volunteer.</w:t>
      </w:r>
    </w:p>
    <w:p>
      <w:pPr>
        <w:spacing w:after="300"/>
      </w:pPr>
    </w:p>
    <w:p>
      <w:pPr>
        <w:tabs>
          <w:tab w:val="left" w:pos="3600"/>
        </w:tabs>
        <w:spacing w:after="240"/>
      </w:pPr>
      <w:r>
        <w:t xml:space="preserve">Printed Name:</w:t>
      </w:r>
      <w:r>
        <w:t xml:space="preserve">	</w:t>
      </w:r>
      <w:r>
        <w:t xml:space="preserve">________________________________</w:t>
      </w:r>
    </w:p>
    <w:p>
      <w:pPr>
        <w:tabs>
          <w:tab w:val="left" w:pos="3600"/>
        </w:tabs>
        <w:spacing w:after="240"/>
      </w:pPr>
      <w:r>
        <w:t xml:space="preserve">Signature:</w:t>
      </w:r>
      <w:r>
        <w:t xml:space="preserve">	</w:t>
      </w:r>
      <w:r>
        <w:t xml:space="preserve">________________________________</w:t>
      </w:r>
    </w:p>
    <w:p>
      <w:pPr>
        <w:tabs>
          <w:tab w:val="left" w:pos="3600"/>
        </w:tabs>
        <w:spacing w:after="240"/>
      </w:pPr>
      <w:r>
        <w:t xml:space="preserve">Date:</w:t>
      </w:r>
      <w:r>
        <w:t xml:space="preserve">	</w:t>
      </w:r>
      <w:r>
        <w:t xml:space="preserve">________________________________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Arial" w:cs="Arial" w:eastAsia="Arial" w:hAnsi="Arial"/>
      <w:b/>
      <w:bCs/>
      <w:color w:val="1A1A2E"/>
      <w:sz w:val="32"/>
      <w:szCs w:val="32"/>
    </w:rPr>
  </w:style>
  <w:style w:type="paragraph" w:styleId="Heading2">
    <w:name w:val="Heading 2"/>
    <w:basedOn w:val="Normal"/>
    <w:next w:val="Normal"/>
    <w:qFormat/>
    <w:pPr>
      <w:spacing w:after="140" w:before="280"/>
      <w:outlineLvl w:val="1"/>
    </w:pPr>
    <w:rPr>
      <w:rFonts w:ascii="Arial" w:cs="Arial" w:eastAsia="Arial" w:hAnsi="Arial"/>
      <w:b/>
      <w:bCs/>
      <w:color w:val="1A1A2E"/>
      <w:sz w:val="25"/>
      <w:szCs w:val="25"/>
    </w:rPr>
  </w:style>
  <w:style w:type="paragraph" w:styleId="Heading3">
    <w:name w:val="Heading 3"/>
    <w:basedOn w:val="Normal"/>
    <w:next w:val="Normal"/>
    <w:qFormat/>
    <w:pPr>
      <w:spacing w:after="100" w:before="160"/>
      <w:outlineLvl w:val="2"/>
    </w:pPr>
    <w:rPr>
      <w:rFonts w:ascii="Arial" w:cs="Arial" w:eastAsia="Arial" w:hAnsi="Arial"/>
      <w:b/>
      <w:bCs/>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2026-06-30T03:04:33.804Z</dcterms:created>
  <dcterms:modified xsi:type="dcterms:W3CDTF">2026-06-30T03:04:33.804Z</dcterms:modified>
</cp:coreProperties>
</file>

<file path=docProps/custom.xml><?xml version="1.0" encoding="utf-8"?>
<Properties xmlns="http://schemas.openxmlformats.org/officeDocument/2006/custom-properties" xmlns:vt="http://schemas.openxmlformats.org/officeDocument/2006/docPropsVTypes"/>
</file>