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Arial" w:cs="Arial" w:eastAsia="Arial" w:hAnsi="Arial"/>
          <w:b/>
          <w:bCs/>
          <w:color w:val="1F4E79"/>
          <w:sz w:val="52"/>
          <w:szCs w:val="52"/>
        </w:rPr>
        <w:t xml:space="preserve">CLEANSE AESTHETICS</w:t>
      </w:r>
    </w:p>
    <w:p>
      <w:pPr>
        <w:pBdr>
          <w:bottom w:val="single" w:color="2E75B6" w:sz="12" w:space="6"/>
        </w:pBdr>
        <w:spacing w:after="160" w:before="0"/>
        <w:jc w:val="center"/>
      </w:pPr>
      <w:r>
        <w:rPr>
          <w:rFonts w:ascii="Arial" w:cs="Arial" w:eastAsia="Arial" w:hAnsi="Arial"/>
          <w:color w:val="2E75B6"/>
          <w:sz w:val="24"/>
          <w:szCs w:val="24"/>
        </w:rPr>
        <w:t xml:space="preserve">Vitashop CC  |  Registration No. 2006/016522/23</w:t>
      </w:r>
    </w:p>
    <w:p>
      <w:pPr>
        <w:spacing w:after="80" w:before="80"/>
      </w:pPr>
      <w:r>
        <w:t xml:space="preserve"/>
      </w:r>
    </w:p>
    <w:p>
      <w:pPr>
        <w:spacing w:after="200" w:before="400"/>
        <w:jc w:val="center"/>
      </w:pPr>
      <w:r>
        <w:rPr>
          <w:rFonts w:ascii="Arial" w:cs="Arial" w:eastAsia="Arial" w:hAnsi="Arial"/>
          <w:b/>
          <w:bCs/>
          <w:color w:val="1F4E79"/>
          <w:sz w:val="36"/>
          <w:szCs w:val="36"/>
        </w:rPr>
        <w:t xml:space="preserve">PROMOTION OF ACCESS TO INFORMATION ACT MANUAL</w:t>
      </w:r>
    </w:p>
    <w:p>
      <w:pPr>
        <w:spacing w:after="80" w:before="0"/>
        <w:jc w:val="center"/>
      </w:pPr>
      <w:r>
        <w:rPr>
          <w:rFonts w:ascii="Arial" w:cs="Arial" w:eastAsia="Arial" w:hAnsi="Arial"/>
          <w:i/>
          <w:iCs/>
          <w:color w:val="555555"/>
          <w:sz w:val="22"/>
          <w:szCs w:val="22"/>
        </w:rPr>
        <w:t xml:space="preserve">Compiled in terms of Section 51 of the Promotion of Access to Information Act, No. 2 of 2000</w:t>
      </w:r>
    </w:p>
    <w:p>
      <w:pPr>
        <w:spacing w:after="600" w:before="0"/>
        <w:jc w:val="center"/>
      </w:pPr>
      <w:r>
        <w:rPr>
          <w:rFonts w:ascii="Arial" w:cs="Arial" w:eastAsia="Arial" w:hAnsi="Arial"/>
          <w:i/>
          <w:iCs/>
          <w:color w:val="555555"/>
          <w:sz w:val="22"/>
          <w:szCs w:val="22"/>
        </w:rPr>
        <w:t xml:space="preserve">as amended by the Protection of Personal Information Act, No. 4 of 2013</w:t>
      </w:r>
    </w:p>
    <w:tbl>
      <w:tblPr>
        <w:tblW w:type="dxa" w:w="60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tblGrid>
      <w:tr>
        <w:tc>
          <w:tcPr>
            <w:tcW w:type="dxa" w:w="2400"/>
            <w:tcBorders>
              <w:top w:val="single" w:color="CCCCCC" w:sz="1"/>
              <w:left w:val="single" w:color="CCCCCC" w:sz="1"/>
              <w:bottom w:val="single" w:color="CCCCCC" w:sz="1"/>
              <w:right w:val="single" w:color="CCCCCC" w:sz="1"/>
            </w:tcBorders>
            <w:shd w:fill="D6E4F0" w:val="clear"/>
            <w:tcMar>
              <w:top w:type="dxa" w:w="80"/>
              <w:left w:type="dxa" w:w="140"/>
              <w:bottom w:type="dxa" w:w="80"/>
              <w:right w:type="dxa" w:w="140"/>
            </w:tcMar>
          </w:tcPr>
          <w:p>
            <w:pPr>
              <w:jc w:val="center"/>
            </w:pPr>
            <w:r>
              <w:rPr>
                <w:rFonts w:ascii="Arial" w:cs="Arial" w:eastAsia="Arial" w:hAnsi="Arial"/>
                <w:b/>
                <w:bCs/>
                <w:color w:val="1F4E79"/>
                <w:sz w:val="22"/>
                <w:szCs w:val="22"/>
              </w:rPr>
              <w:t xml:space="preserve">Version</w:t>
            </w:r>
          </w:p>
        </w:tc>
        <w:tc>
          <w:tcPr>
            <w:tcW w:type="dxa" w:w="3600"/>
            <w:tcBorders>
              <w:top w:val="single" w:color="CCCCCC" w:sz="1"/>
              <w:left w:val="single" w:color="CCCCCC" w:sz="1"/>
              <w:bottom w:val="single" w:color="CCCCCC" w:sz="1"/>
              <w:right w:val="single" w:color="CCCCCC" w:sz="1"/>
            </w:tcBorders>
            <w:tcMar>
              <w:top w:type="dxa" w:w="80"/>
              <w:left w:type="dxa" w:w="140"/>
              <w:bottom w:type="dxa" w:w="80"/>
              <w:right w:type="dxa" w:w="140"/>
            </w:tcMar>
          </w:tcPr>
          <w:p>
            <w:pPr>
              <w:jc w:val="center"/>
            </w:pPr>
            <w:r>
              <w:rPr>
                <w:rFonts w:ascii="Arial" w:cs="Arial" w:eastAsia="Arial" w:hAnsi="Arial"/>
                <w:color w:val="1A1A1A"/>
                <w:sz w:val="22"/>
                <w:szCs w:val="22"/>
              </w:rPr>
              <w:t xml:space="preserve">1.0</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40"/>
              <w:bottom w:type="dxa" w:w="80"/>
              <w:right w:type="dxa" w:w="140"/>
            </w:tcMar>
          </w:tcPr>
          <w:p>
            <w:pPr>
              <w:jc w:val="center"/>
            </w:pPr>
            <w:r>
              <w:rPr>
                <w:rFonts w:ascii="Arial" w:cs="Arial" w:eastAsia="Arial" w:hAnsi="Arial"/>
                <w:b/>
                <w:bCs/>
                <w:color w:val="1F4E79"/>
                <w:sz w:val="22"/>
                <w:szCs w:val="22"/>
              </w:rPr>
              <w:t xml:space="preserve">Date</w:t>
            </w:r>
          </w:p>
        </w:tc>
        <w:tc>
          <w:tcPr>
            <w:tcW w:type="dxa" w:w="3600"/>
            <w:tcBorders>
              <w:top w:val="single" w:color="CCCCCC" w:sz="1"/>
              <w:left w:val="single" w:color="CCCCCC" w:sz="1"/>
              <w:bottom w:val="single" w:color="CCCCCC" w:sz="1"/>
              <w:right w:val="single" w:color="CCCCCC" w:sz="1"/>
            </w:tcBorders>
            <w:tcMar>
              <w:top w:type="dxa" w:w="80"/>
              <w:left w:type="dxa" w:w="140"/>
              <w:bottom w:type="dxa" w:w="80"/>
              <w:right w:type="dxa" w:w="140"/>
            </w:tcMar>
          </w:tcPr>
          <w:p>
            <w:pPr>
              <w:jc w:val="center"/>
            </w:pPr>
            <w:r>
              <w:rPr>
                <w:rFonts w:ascii="Arial" w:cs="Arial" w:eastAsia="Arial" w:hAnsi="Arial"/>
                <w:color w:val="1A1A1A"/>
                <w:sz w:val="22"/>
                <w:szCs w:val="22"/>
              </w:rPr>
              <w:t xml:space="preserve">May 2026</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40"/>
              <w:bottom w:type="dxa" w:w="80"/>
              <w:right w:type="dxa" w:w="140"/>
            </w:tcMar>
          </w:tcPr>
          <w:p>
            <w:pPr>
              <w:jc w:val="center"/>
            </w:pPr>
            <w:r>
              <w:rPr>
                <w:rFonts w:ascii="Arial" w:cs="Arial" w:eastAsia="Arial" w:hAnsi="Arial"/>
                <w:b/>
                <w:bCs/>
                <w:color w:val="1F4E79"/>
                <w:sz w:val="22"/>
                <w:szCs w:val="22"/>
              </w:rPr>
              <w:t xml:space="preserve">Review Date</w:t>
            </w:r>
          </w:p>
        </w:tc>
        <w:tc>
          <w:tcPr>
            <w:tcW w:type="dxa" w:w="3600"/>
            <w:tcBorders>
              <w:top w:val="single" w:color="CCCCCC" w:sz="1"/>
              <w:left w:val="single" w:color="CCCCCC" w:sz="1"/>
              <w:bottom w:val="single" w:color="CCCCCC" w:sz="1"/>
              <w:right w:val="single" w:color="CCCCCC" w:sz="1"/>
            </w:tcBorders>
            <w:tcMar>
              <w:top w:type="dxa" w:w="80"/>
              <w:left w:type="dxa" w:w="140"/>
              <w:bottom w:type="dxa" w:w="80"/>
              <w:right w:type="dxa" w:w="140"/>
            </w:tcMar>
          </w:tcPr>
          <w:p>
            <w:pPr>
              <w:jc w:val="center"/>
            </w:pPr>
            <w:r>
              <w:rPr>
                <w:rFonts w:ascii="Arial" w:cs="Arial" w:eastAsia="Arial" w:hAnsi="Arial"/>
                <w:color w:val="1A1A1A"/>
                <w:sz w:val="22"/>
                <w:szCs w:val="22"/>
              </w:rPr>
              <w:t xml:space="preserve">May 2027</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40"/>
              <w:bottom w:type="dxa" w:w="80"/>
              <w:right w:type="dxa" w:w="140"/>
            </w:tcMar>
          </w:tcPr>
          <w:p>
            <w:pPr>
              <w:jc w:val="center"/>
            </w:pPr>
            <w:r>
              <w:rPr>
                <w:rFonts w:ascii="Arial" w:cs="Arial" w:eastAsia="Arial" w:hAnsi="Arial"/>
                <w:b/>
                <w:bCs/>
                <w:color w:val="1F4E79"/>
                <w:sz w:val="22"/>
                <w:szCs w:val="22"/>
              </w:rPr>
              <w:t xml:space="preserve">Status</w:t>
            </w:r>
          </w:p>
        </w:tc>
        <w:tc>
          <w:tcPr>
            <w:tcW w:type="dxa" w:w="3600"/>
            <w:tcBorders>
              <w:top w:val="single" w:color="CCCCCC" w:sz="1"/>
              <w:left w:val="single" w:color="CCCCCC" w:sz="1"/>
              <w:bottom w:val="single" w:color="CCCCCC" w:sz="1"/>
              <w:right w:val="single" w:color="CCCCCC" w:sz="1"/>
            </w:tcBorders>
            <w:tcMar>
              <w:top w:type="dxa" w:w="80"/>
              <w:left w:type="dxa" w:w="140"/>
              <w:bottom w:type="dxa" w:w="80"/>
              <w:right w:type="dxa" w:w="140"/>
            </w:tcMar>
          </w:tcPr>
          <w:p>
            <w:pPr>
              <w:jc w:val="center"/>
            </w:pPr>
            <w:r>
              <w:rPr>
                <w:rFonts w:ascii="Arial" w:cs="Arial" w:eastAsia="Arial" w:hAnsi="Arial"/>
                <w:color w:val="1A1A1A"/>
                <w:sz w:val="22"/>
                <w:szCs w:val="22"/>
              </w:rPr>
              <w:t xml:space="preserve">Active</w:t>
            </w:r>
          </w:p>
        </w:tc>
      </w:tr>
    </w:tbl>
    <w:p>
      <w:r>
        <w:br w:type="page"/>
      </w:r>
    </w:p>
    <w:p>
      <w:pPr>
        <w:pStyle w:val="Heading1"/>
        <w:pBdr>
          <w:bottom w:val="single" w:color="2E75B6" w:sz="6" w:space="4"/>
        </w:pBdr>
        <w:spacing w:after="160" w:before="400"/>
      </w:pPr>
      <w:r>
        <w:rPr>
          <w:rFonts w:ascii="Arial" w:cs="Arial" w:eastAsia="Arial" w:hAnsi="Arial"/>
          <w:b/>
          <w:bCs/>
          <w:color w:val="1F4E79"/>
          <w:sz w:val="28"/>
          <w:szCs w:val="28"/>
        </w:rPr>
        <w:t xml:space="preserve">1. Introduction and Purpose</w:t>
      </w:r>
    </w:p>
    <w:p>
      <w:pPr>
        <w:spacing w:after="80" w:before="80"/>
      </w:pPr>
      <w:r>
        <w:rPr>
          <w:rFonts w:ascii="Arial" w:cs="Arial" w:eastAsia="Arial" w:hAnsi="Arial"/>
          <w:color w:val="1A1A1A"/>
          <w:sz w:val="22"/>
          <w:szCs w:val="22"/>
        </w:rPr>
        <w:t xml:space="preserve">This manual is compiled by Vitashop CC trading as Cleanse Aesthetics ("Cleanse Aesthetics" or "the Company") in compliance with Section 51 of the Promotion of Access to Information Act, No. 2 of 2000 ("PAIA"), as amended by the Protection of Personal Information Act, No. 4 of 2013 ("POPIA").</w:t>
      </w:r>
    </w:p>
    <w:p>
      <w:pPr>
        <w:spacing w:after="80" w:before="80"/>
      </w:pPr>
      <w:r>
        <w:t xml:space="preserve"/>
      </w:r>
    </w:p>
    <w:p>
      <w:pPr>
        <w:spacing w:after="80" w:before="80"/>
      </w:pPr>
      <w:r>
        <w:rPr>
          <w:rFonts w:ascii="Arial" w:cs="Arial" w:eastAsia="Arial" w:hAnsi="Arial"/>
          <w:color w:val="1A1A1A"/>
          <w:sz w:val="22"/>
          <w:szCs w:val="22"/>
        </w:rPr>
        <w:t xml:space="preserve">PAIA gives effect to the constitutional right of access to information held by both public and private bodies, as contemplated in Section 32 of the Constitution of the Republic of South Africa, 1996. This right must be exercised in a manner that balances openness and transparency with the protection of personal information and privacy.</w:t>
      </w:r>
    </w:p>
    <w:p>
      <w:pPr>
        <w:spacing w:after="80" w:before="80"/>
      </w:pPr>
      <w:r>
        <w:t xml:space="preserve"/>
      </w:r>
    </w:p>
    <w:p>
      <w:pPr>
        <w:spacing w:after="80" w:before="80"/>
      </w:pPr>
      <w:r>
        <w:rPr>
          <w:rFonts w:ascii="Arial" w:cs="Arial" w:eastAsia="Arial" w:hAnsi="Arial"/>
          <w:color w:val="1A1A1A"/>
          <w:sz w:val="22"/>
          <w:szCs w:val="22"/>
        </w:rPr>
        <w:t xml:space="preserve">This manual serves the following purposes:</w:t>
      </w:r>
    </w:p>
    <w:p>
      <w:pPr>
        <w:pStyle w:val="ListParagraph"/>
        <w:numPr>
          <w:ilvl w:val="0"/>
          <w:numId w:val="2"/>
        </w:numPr>
        <w:spacing w:after="60" w:before="60"/>
      </w:pPr>
      <w:r>
        <w:rPr>
          <w:rFonts w:ascii="Arial" w:cs="Arial" w:eastAsia="Arial" w:hAnsi="Arial"/>
          <w:color w:val="1A1A1A"/>
          <w:sz w:val="22"/>
          <w:szCs w:val="22"/>
        </w:rPr>
        <w:t xml:space="preserve">To inform members of the public of the categories of records held by Cleanse Aesthetics;</w:t>
      </w:r>
    </w:p>
    <w:p>
      <w:pPr>
        <w:pStyle w:val="ListParagraph"/>
        <w:numPr>
          <w:ilvl w:val="0"/>
          <w:numId w:val="2"/>
        </w:numPr>
        <w:spacing w:after="60" w:before="60"/>
      </w:pPr>
      <w:r>
        <w:rPr>
          <w:rFonts w:ascii="Arial" w:cs="Arial" w:eastAsia="Arial" w:hAnsi="Arial"/>
          <w:color w:val="1A1A1A"/>
          <w:sz w:val="22"/>
          <w:szCs w:val="22"/>
        </w:rPr>
        <w:t xml:space="preserve">To describe how requests for access to such records may be made;</w:t>
      </w:r>
    </w:p>
    <w:p>
      <w:pPr>
        <w:pStyle w:val="ListParagraph"/>
        <w:numPr>
          <w:ilvl w:val="0"/>
          <w:numId w:val="2"/>
        </w:numPr>
        <w:spacing w:after="60" w:before="60"/>
      </w:pPr>
      <w:r>
        <w:rPr>
          <w:rFonts w:ascii="Arial" w:cs="Arial" w:eastAsia="Arial" w:hAnsi="Arial"/>
          <w:color w:val="1A1A1A"/>
          <w:sz w:val="22"/>
          <w:szCs w:val="22"/>
        </w:rPr>
        <w:t xml:space="preserve">To describe the personal information we process and the safeguards we have in place;</w:t>
      </w:r>
    </w:p>
    <w:p>
      <w:pPr>
        <w:pStyle w:val="ListParagraph"/>
        <w:numPr>
          <w:ilvl w:val="0"/>
          <w:numId w:val="2"/>
        </w:numPr>
        <w:spacing w:after="60" w:before="60"/>
      </w:pPr>
      <w:r>
        <w:rPr>
          <w:rFonts w:ascii="Arial" w:cs="Arial" w:eastAsia="Arial" w:hAnsi="Arial"/>
          <w:color w:val="1A1A1A"/>
          <w:sz w:val="22"/>
          <w:szCs w:val="22"/>
        </w:rPr>
        <w:t xml:space="preserve">To give effect to the constitutional right of access to information; and</w:t>
      </w:r>
    </w:p>
    <w:p>
      <w:pPr>
        <w:pStyle w:val="ListParagraph"/>
        <w:numPr>
          <w:ilvl w:val="0"/>
          <w:numId w:val="2"/>
        </w:numPr>
        <w:spacing w:after="60" w:before="60"/>
      </w:pPr>
      <w:r>
        <w:rPr>
          <w:rFonts w:ascii="Arial" w:cs="Arial" w:eastAsia="Arial" w:hAnsi="Arial"/>
          <w:color w:val="1A1A1A"/>
          <w:sz w:val="22"/>
          <w:szCs w:val="22"/>
        </w:rPr>
        <w:t xml:space="preserve">To demonstrate Cleanse Aesthetics' commitment to transparency, accountability, and lawful processing of personal information.</w:t>
      </w:r>
    </w:p>
    <w:p>
      <w:pPr>
        <w:spacing w:after="80" w:before="80"/>
      </w:pPr>
      <w:r>
        <w:t xml:space="preserve"/>
      </w:r>
    </w:p>
    <w:p>
      <w:pPr>
        <w:spacing w:after="80" w:before="80"/>
      </w:pPr>
      <w:r>
        <w:rPr>
          <w:rFonts w:ascii="Arial" w:cs="Arial" w:eastAsia="Arial" w:hAnsi="Arial"/>
          <w:color w:val="1A1A1A"/>
          <w:sz w:val="22"/>
          <w:szCs w:val="22"/>
        </w:rPr>
        <w:t xml:space="preserve">This manual must be made available to any person on request and is available on the Company's website at www.cleanseaesthetics.co.za.</w:t>
      </w:r>
    </w:p>
    <w:p>
      <w:pPr>
        <w:spacing w:after="80" w:before="80"/>
      </w:pPr>
      <w:r>
        <w:t xml:space="preserve"/>
      </w:r>
    </w:p>
    <w:p>
      <w:pPr>
        <w:pStyle w:val="Heading1"/>
        <w:pBdr>
          <w:bottom w:val="single" w:color="2E75B6" w:sz="6" w:space="4"/>
        </w:pBdr>
        <w:spacing w:after="160" w:before="400"/>
      </w:pPr>
      <w:r>
        <w:rPr>
          <w:rFonts w:ascii="Arial" w:cs="Arial" w:eastAsia="Arial" w:hAnsi="Arial"/>
          <w:b/>
          <w:bCs/>
          <w:color w:val="1F4E79"/>
          <w:sz w:val="28"/>
          <w:szCs w:val="28"/>
        </w:rPr>
        <w:t xml:space="preserve">2. Contact Details of the Information Officer</w:t>
      </w:r>
    </w:p>
    <w:p>
      <w:pPr>
        <w:spacing w:after="80" w:before="80"/>
      </w:pPr>
      <w:r>
        <w:rPr>
          <w:rFonts w:ascii="Arial" w:cs="Arial" w:eastAsia="Arial" w:hAnsi="Arial"/>
          <w:color w:val="1A1A1A"/>
          <w:sz w:val="22"/>
          <w:szCs w:val="22"/>
        </w:rPr>
        <w:t xml:space="preserve">In terms of PAIA and POPIA, the head of a private body is automatically appointed as the Information Officer. The Information Officer of Cleanse Aesthetics is:</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Entity Name</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Vitashop CC t/a Cleanse Aesthetics</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Registration Number</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2006/016522/23</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Information Officer</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Briony Gulbrandsen</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Designation</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Information Officer</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Physical Address</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95 Bram Fischer Drive, Ferndale</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Postal Address</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95 Bram Fischer Drive, Ferndale</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Email Address</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briony@laserbycleanse.co.za</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Telephone Number</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087 138 0019</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Website</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www.cleanseaesthetics.co.za</w:t>
            </w:r>
          </w:p>
        </w:tc>
      </w:tr>
    </w:tbl>
    <w:p>
      <w:pPr>
        <w:spacing w:after="80" w:before="80"/>
      </w:pPr>
      <w:r>
        <w:t xml:space="preserve"/>
      </w:r>
    </w:p>
    <w:p>
      <w:pPr>
        <w:spacing w:after="80" w:before="80"/>
      </w:pPr>
      <w:r>
        <w:rPr>
          <w:rFonts w:ascii="Arial" w:cs="Arial" w:eastAsia="Arial" w:hAnsi="Arial"/>
          <w:color w:val="1A1A1A"/>
          <w:sz w:val="22"/>
          <w:szCs w:val="22"/>
        </w:rPr>
        <w:t xml:space="preserve">All requests for access to records and all enquiries relating to this manual or to the processing of personal information must be directed to the Information Officer at the contact details above.</w:t>
      </w:r>
    </w:p>
    <w:p>
      <w:pPr>
        <w:spacing w:after="80" w:before="80"/>
      </w:pPr>
      <w:r>
        <w:rPr>
          <w:rFonts w:ascii="Arial" w:cs="Arial" w:eastAsia="Arial" w:hAnsi="Arial"/>
          <w:color w:val="1A1A1A"/>
          <w:sz w:val="22"/>
          <w:szCs w:val="22"/>
        </w:rPr>
        <w:t xml:space="preserve">Note: No Deputy Information Officers have been appointed at this time. The Information Officer assumes full responsibility for all duties and functions in terms of PAIA and POPIA.</w:t>
      </w:r>
    </w:p>
    <w:p>
      <w:pPr>
        <w:spacing w:after="80" w:before="80"/>
      </w:pPr>
      <w:r>
        <w:t xml:space="preserve"/>
      </w:r>
    </w:p>
    <w:p>
      <w:pPr>
        <w:pStyle w:val="Heading1"/>
        <w:pBdr>
          <w:bottom w:val="single" w:color="2E75B6" w:sz="6" w:space="4"/>
        </w:pBdr>
        <w:spacing w:after="160" w:before="400"/>
      </w:pPr>
      <w:r>
        <w:rPr>
          <w:rFonts w:ascii="Arial" w:cs="Arial" w:eastAsia="Arial" w:hAnsi="Arial"/>
          <w:b/>
          <w:bCs/>
          <w:color w:val="1F4E79"/>
          <w:sz w:val="28"/>
          <w:szCs w:val="28"/>
        </w:rPr>
        <w:t xml:space="preserve">3. Guide on How to Use PAIA</w:t>
      </w:r>
    </w:p>
    <w:p>
      <w:pPr>
        <w:spacing w:after="80" w:before="80"/>
      </w:pPr>
      <w:r>
        <w:rPr>
          <w:rFonts w:ascii="Arial" w:cs="Arial" w:eastAsia="Arial" w:hAnsi="Arial"/>
          <w:color w:val="1A1A1A"/>
          <w:sz w:val="22"/>
          <w:szCs w:val="22"/>
        </w:rPr>
        <w:t xml:space="preserve">The Information Regulator has published an official guide to assist persons wishing to exercise their rights under PAIA and POPIA. This guide is available from the Information Regulator and can be accessed as follows:</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Information Regulator</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Republic of South Africa</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Physical Address</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JD House, 27 Stiemens Street, Braamfontein, Johannesburg, 2001</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Postal Address</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P.O. Box 31533, Braamfontein, Johannesburg, 2017</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Website</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www.inforegulator.org.za</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Email</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inforeg@justice.gov.za</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Telephone</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010 023 5207</w:t>
            </w:r>
          </w:p>
        </w:tc>
      </w:tr>
    </w:tbl>
    <w:p>
      <w:pPr>
        <w:spacing w:after="80" w:before="80"/>
      </w:pPr>
      <w:r>
        <w:t xml:space="preserve"/>
      </w:r>
    </w:p>
    <w:p>
      <w:pPr>
        <w:pStyle w:val="Heading1"/>
        <w:pBdr>
          <w:bottom w:val="single" w:color="2E75B6" w:sz="6" w:space="4"/>
        </w:pBdr>
        <w:spacing w:after="160" w:before="400"/>
      </w:pPr>
      <w:r>
        <w:rPr>
          <w:rFonts w:ascii="Arial" w:cs="Arial" w:eastAsia="Arial" w:hAnsi="Arial"/>
          <w:b/>
          <w:bCs/>
          <w:color w:val="1F4E79"/>
          <w:sz w:val="28"/>
          <w:szCs w:val="28"/>
        </w:rPr>
        <w:t xml:space="preserve">4. Records Available Without a Formal Request</w:t>
      </w:r>
    </w:p>
    <w:p>
      <w:pPr>
        <w:spacing w:after="80" w:before="80"/>
      </w:pPr>
      <w:r>
        <w:rPr>
          <w:rFonts w:ascii="Arial" w:cs="Arial" w:eastAsia="Arial" w:hAnsi="Arial"/>
          <w:color w:val="1A1A1A"/>
          <w:sz w:val="22"/>
          <w:szCs w:val="22"/>
        </w:rPr>
        <w:t xml:space="preserve">The following records and information are made freely available by Cleanse Aesthetics without the need to submit a formal PAIA request:</w:t>
      </w:r>
    </w:p>
    <w:p>
      <w:pPr>
        <w:pStyle w:val="ListParagraph"/>
        <w:numPr>
          <w:ilvl w:val="0"/>
          <w:numId w:val="2"/>
        </w:numPr>
        <w:spacing w:after="60" w:before="60"/>
      </w:pPr>
      <w:r>
        <w:rPr>
          <w:rFonts w:ascii="Arial" w:cs="Arial" w:eastAsia="Arial" w:hAnsi="Arial"/>
          <w:color w:val="1A1A1A"/>
          <w:sz w:val="22"/>
          <w:szCs w:val="22"/>
        </w:rPr>
        <w:t xml:space="preserve">This PAIA Manual (available on the Company website and on request)</w:t>
      </w:r>
    </w:p>
    <w:p>
      <w:pPr>
        <w:pStyle w:val="ListParagraph"/>
        <w:numPr>
          <w:ilvl w:val="0"/>
          <w:numId w:val="2"/>
        </w:numPr>
        <w:spacing w:after="60" w:before="60"/>
      </w:pPr>
      <w:r>
        <w:rPr>
          <w:rFonts w:ascii="Arial" w:cs="Arial" w:eastAsia="Arial" w:hAnsi="Arial"/>
          <w:color w:val="1A1A1A"/>
          <w:sz w:val="22"/>
          <w:szCs w:val="22"/>
        </w:rPr>
        <w:t xml:space="preserve">The Company's Privacy Policy (available on the Company website)</w:t>
      </w:r>
    </w:p>
    <w:p>
      <w:pPr>
        <w:pStyle w:val="ListParagraph"/>
        <w:numPr>
          <w:ilvl w:val="0"/>
          <w:numId w:val="2"/>
        </w:numPr>
        <w:spacing w:after="60" w:before="60"/>
      </w:pPr>
      <w:r>
        <w:rPr>
          <w:rFonts w:ascii="Arial" w:cs="Arial" w:eastAsia="Arial" w:hAnsi="Arial"/>
          <w:color w:val="1A1A1A"/>
          <w:sz w:val="22"/>
          <w:szCs w:val="22"/>
        </w:rPr>
        <w:t xml:space="preserve">General service and treatment information (available on the Company website)</w:t>
      </w:r>
    </w:p>
    <w:p>
      <w:pPr>
        <w:pStyle w:val="ListParagraph"/>
        <w:numPr>
          <w:ilvl w:val="0"/>
          <w:numId w:val="2"/>
        </w:numPr>
        <w:spacing w:after="60" w:before="60"/>
      </w:pPr>
      <w:r>
        <w:rPr>
          <w:rFonts w:ascii="Arial" w:cs="Arial" w:eastAsia="Arial" w:hAnsi="Arial"/>
          <w:color w:val="1A1A1A"/>
          <w:sz w:val="22"/>
          <w:szCs w:val="22"/>
        </w:rPr>
        <w:t xml:space="preserve">Contact details of the Information Officer</w:t>
      </w:r>
    </w:p>
    <w:p>
      <w:pPr>
        <w:spacing w:after="80" w:before="80"/>
      </w:pPr>
      <w:r>
        <w:t xml:space="preserve"/>
      </w:r>
    </w:p>
    <w:p>
      <w:pPr>
        <w:spacing w:after="80" w:before="80"/>
      </w:pPr>
      <w:r>
        <w:rPr>
          <w:rFonts w:ascii="Arial" w:cs="Arial" w:eastAsia="Arial" w:hAnsi="Arial"/>
          <w:color w:val="1A1A1A"/>
          <w:sz w:val="22"/>
          <w:szCs w:val="22"/>
        </w:rPr>
        <w:t xml:space="preserve">Any person may access the above by visiting www.cleanseaesthetics.co.za or by contacting the Information Officer.</w:t>
      </w:r>
    </w:p>
    <w:p>
      <w:pPr>
        <w:spacing w:after="80" w:before="80"/>
      </w:pPr>
      <w:r>
        <w:t xml:space="preserve"/>
      </w:r>
    </w:p>
    <w:p>
      <w:pPr>
        <w:pStyle w:val="Heading1"/>
        <w:pBdr>
          <w:bottom w:val="single" w:color="2E75B6" w:sz="6" w:space="4"/>
        </w:pBdr>
        <w:spacing w:after="160" w:before="400"/>
      </w:pPr>
      <w:r>
        <w:rPr>
          <w:rFonts w:ascii="Arial" w:cs="Arial" w:eastAsia="Arial" w:hAnsi="Arial"/>
          <w:b/>
          <w:bCs/>
          <w:color w:val="1F4E79"/>
          <w:sz w:val="28"/>
          <w:szCs w:val="28"/>
        </w:rPr>
        <w:t xml:space="preserve">5. Records Available in Terms of Other Legislation</w:t>
      </w:r>
    </w:p>
    <w:p>
      <w:pPr>
        <w:spacing w:after="80" w:before="80"/>
      </w:pPr>
      <w:r>
        <w:rPr>
          <w:rFonts w:ascii="Arial" w:cs="Arial" w:eastAsia="Arial" w:hAnsi="Arial"/>
          <w:color w:val="1A1A1A"/>
          <w:sz w:val="22"/>
          <w:szCs w:val="22"/>
        </w:rPr>
        <w:t xml:space="preserve">Certain records held by Cleanse Aesthetics are governed by or available in terms of the following legislation:</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F4E79" w:val="clear"/>
            <w:tcMar>
              <w:top w:type="dxa" w:w="100"/>
              <w:left w:type="dxa" w:w="140"/>
              <w:bottom w:type="dxa" w:w="100"/>
              <w:right w:type="dxa" w:w="140"/>
            </w:tcMar>
          </w:tcPr>
          <w:p>
            <w:r>
              <w:rPr>
                <w:rFonts w:ascii="Arial" w:cs="Arial" w:eastAsia="Arial" w:hAnsi="Arial"/>
                <w:b/>
                <w:bCs/>
                <w:color w:val="FFFFFF"/>
                <w:sz w:val="22"/>
                <w:szCs w:val="22"/>
              </w:rPr>
              <w:t xml:space="preserve">Category of Records</w:t>
            </w:r>
          </w:p>
        </w:tc>
        <w:tc>
          <w:tcPr>
            <w:tcW w:type="dxa" w:w="3120"/>
            <w:tcBorders>
              <w:top w:val="single" w:color="CCCCCC" w:sz="1"/>
              <w:left w:val="single" w:color="CCCCCC" w:sz="1"/>
              <w:bottom w:val="single" w:color="CCCCCC" w:sz="1"/>
              <w:right w:val="single" w:color="CCCCCC" w:sz="1"/>
            </w:tcBorders>
            <w:shd w:fill="1F4E79" w:val="clear"/>
            <w:tcMar>
              <w:top w:type="dxa" w:w="100"/>
              <w:left w:type="dxa" w:w="140"/>
              <w:bottom w:type="dxa" w:w="100"/>
              <w:right w:type="dxa" w:w="140"/>
            </w:tcMar>
          </w:tcPr>
          <w:p>
            <w:r>
              <w:rPr>
                <w:rFonts w:ascii="Arial" w:cs="Arial" w:eastAsia="Arial" w:hAnsi="Arial"/>
                <w:b/>
                <w:bCs/>
                <w:color w:val="FFFFFF"/>
                <w:sz w:val="22"/>
                <w:szCs w:val="22"/>
              </w:rPr>
              <w:t xml:space="preserve">Description</w:t>
            </w:r>
          </w:p>
        </w:tc>
        <w:tc>
          <w:tcPr>
            <w:tcW w:type="dxa" w:w="3120"/>
            <w:tcBorders>
              <w:top w:val="single" w:color="CCCCCC" w:sz="1"/>
              <w:left w:val="single" w:color="CCCCCC" w:sz="1"/>
              <w:bottom w:val="single" w:color="CCCCCC" w:sz="1"/>
              <w:right w:val="single" w:color="CCCCCC" w:sz="1"/>
            </w:tcBorders>
            <w:shd w:fill="1F4E79" w:val="clear"/>
            <w:tcMar>
              <w:top w:type="dxa" w:w="100"/>
              <w:left w:type="dxa" w:w="140"/>
              <w:bottom w:type="dxa" w:w="100"/>
              <w:right w:type="dxa" w:w="140"/>
            </w:tcMar>
          </w:tcPr>
          <w:p>
            <w:r>
              <w:rPr>
                <w:rFonts w:ascii="Arial" w:cs="Arial" w:eastAsia="Arial" w:hAnsi="Arial"/>
                <w:b/>
                <w:bCs/>
                <w:color w:val="FFFFFF"/>
                <w:sz w:val="22"/>
                <w:szCs w:val="22"/>
              </w:rPr>
              <w:t xml:space="preserve">Applicable Legislation</w:t>
            </w:r>
          </w:p>
        </w:tc>
      </w:tr>
      <w:tr>
        <w:tc>
          <w:tcPr>
            <w:tcW w:type="dxa" w:w="3120"/>
            <w:tcBorders>
              <w:top w:val="single" w:color="CCCCCC" w:sz="1"/>
              <w:left w:val="single" w:color="CCCCCC" w:sz="1"/>
              <w:bottom w:val="single" w:color="CCCCCC" w:sz="1"/>
              <w:right w:val="single" w:color="CCCCCC" w:sz="1"/>
            </w:tcBorders>
            <w:shd w:fill="D6E4F0" w:val="clear"/>
            <w:tcMar>
              <w:top w:type="dxa" w:w="80"/>
              <w:left w:type="dxa" w:w="140"/>
              <w:bottom w:type="dxa" w:w="80"/>
              <w:right w:type="dxa" w:w="140"/>
            </w:tcMar>
          </w:tcPr>
          <w:p>
            <w:r>
              <w:rPr>
                <w:rFonts w:ascii="Arial" w:cs="Arial" w:eastAsia="Arial" w:hAnsi="Arial"/>
                <w:b/>
                <w:bCs/>
                <w:color w:val="1F4E79"/>
                <w:sz w:val="22"/>
                <w:szCs w:val="22"/>
              </w:rPr>
              <w:t xml:space="preserve">Corporate Records</w:t>
            </w:r>
          </w:p>
        </w:tc>
        <w:tc>
          <w:tcPr>
            <w:tcW w:type="dxa" w:w="3120"/>
            <w:tcBorders>
              <w:top w:val="single" w:color="CCCCCC" w:sz="1"/>
              <w:left w:val="single" w:color="CCCCCC" w:sz="1"/>
              <w:bottom w:val="single" w:color="CCCCCC" w:sz="1"/>
              <w:right w:val="single" w:color="CCCCCC" w:sz="1"/>
            </w:tcBorders>
            <w:tcMar>
              <w:top w:type="dxa" w:w="80"/>
              <w:left w:type="dxa" w:w="140"/>
              <w:bottom w:type="dxa" w:w="80"/>
              <w:right w:type="dxa" w:w="140"/>
            </w:tcMar>
          </w:tcPr>
          <w:p>
            <w:r>
              <w:rPr>
                <w:rFonts w:ascii="Arial" w:cs="Arial" w:eastAsia="Arial" w:hAnsi="Arial"/>
                <w:color w:val="1A1A1A"/>
                <w:sz w:val="22"/>
                <w:szCs w:val="22"/>
              </w:rPr>
              <w:t xml:space="preserve">Certificate of Incorporation, founding statement, member register</w:t>
            </w:r>
          </w:p>
        </w:tc>
        <w:tc>
          <w:tcPr>
            <w:tcW w:type="dxa" w:w="3120"/>
            <w:tcBorders>
              <w:top w:val="single" w:color="CCCCCC" w:sz="1"/>
              <w:left w:val="single" w:color="CCCCCC" w:sz="1"/>
              <w:bottom w:val="single" w:color="CCCCCC" w:sz="1"/>
              <w:right w:val="single" w:color="CCCCCC" w:sz="1"/>
            </w:tcBorders>
            <w:tcMar>
              <w:top w:type="dxa" w:w="80"/>
              <w:left w:type="dxa" w:w="140"/>
              <w:bottom w:type="dxa" w:w="80"/>
              <w:right w:type="dxa" w:w="140"/>
            </w:tcMar>
          </w:tcPr>
          <w:p>
            <w:r>
              <w:rPr>
                <w:rFonts w:ascii="Arial" w:cs="Arial" w:eastAsia="Arial" w:hAnsi="Arial"/>
                <w:color w:val="1A1A1A"/>
                <w:sz w:val="22"/>
                <w:szCs w:val="22"/>
              </w:rPr>
              <w:t xml:space="preserve">Close Corporations Act 69 of 1984</w:t>
            </w:r>
          </w:p>
        </w:tc>
      </w:tr>
      <w:tr>
        <w:tc>
          <w:tcPr>
            <w:tcW w:type="dxa" w:w="3120"/>
            <w:tcBorders>
              <w:top w:val="single" w:color="CCCCCC" w:sz="1"/>
              <w:left w:val="single" w:color="CCCCCC" w:sz="1"/>
              <w:bottom w:val="single" w:color="CCCCCC" w:sz="1"/>
              <w:right w:val="single" w:color="CCCCCC" w:sz="1"/>
            </w:tcBorders>
            <w:shd w:fill="D6E4F0" w:val="clear"/>
            <w:tcMar>
              <w:top w:type="dxa" w:w="80"/>
              <w:left w:type="dxa" w:w="140"/>
              <w:bottom w:type="dxa" w:w="80"/>
              <w:right w:type="dxa" w:w="140"/>
            </w:tcMar>
          </w:tcPr>
          <w:p>
            <w:r>
              <w:rPr>
                <w:rFonts w:ascii="Arial" w:cs="Arial" w:eastAsia="Arial" w:hAnsi="Arial"/>
                <w:b/>
                <w:bCs/>
                <w:color w:val="1F4E79"/>
                <w:sz w:val="22"/>
                <w:szCs w:val="22"/>
              </w:rPr>
              <w:t xml:space="preserve">Tax Records</w:t>
            </w:r>
          </w:p>
        </w:tc>
        <w:tc>
          <w:tcPr>
            <w:tcW w:type="dxa" w:w="3120"/>
            <w:tcBorders>
              <w:top w:val="single" w:color="CCCCCC" w:sz="1"/>
              <w:left w:val="single" w:color="CCCCCC" w:sz="1"/>
              <w:bottom w:val="single" w:color="CCCCCC" w:sz="1"/>
              <w:right w:val="single" w:color="CCCCCC" w:sz="1"/>
            </w:tcBorders>
            <w:tcMar>
              <w:top w:type="dxa" w:w="80"/>
              <w:left w:type="dxa" w:w="140"/>
              <w:bottom w:type="dxa" w:w="80"/>
              <w:right w:type="dxa" w:w="140"/>
            </w:tcMar>
          </w:tcPr>
          <w:p>
            <w:r>
              <w:rPr>
                <w:rFonts w:ascii="Arial" w:cs="Arial" w:eastAsia="Arial" w:hAnsi="Arial"/>
                <w:color w:val="1A1A1A"/>
                <w:sz w:val="22"/>
                <w:szCs w:val="22"/>
              </w:rPr>
              <w:t xml:space="preserve">Income tax returns, VAT returns, PAYE records</w:t>
            </w:r>
          </w:p>
        </w:tc>
        <w:tc>
          <w:tcPr>
            <w:tcW w:type="dxa" w:w="3120"/>
            <w:tcBorders>
              <w:top w:val="single" w:color="CCCCCC" w:sz="1"/>
              <w:left w:val="single" w:color="CCCCCC" w:sz="1"/>
              <w:bottom w:val="single" w:color="CCCCCC" w:sz="1"/>
              <w:right w:val="single" w:color="CCCCCC" w:sz="1"/>
            </w:tcBorders>
            <w:tcMar>
              <w:top w:type="dxa" w:w="80"/>
              <w:left w:type="dxa" w:w="140"/>
              <w:bottom w:type="dxa" w:w="80"/>
              <w:right w:type="dxa" w:w="140"/>
            </w:tcMar>
          </w:tcPr>
          <w:p>
            <w:r>
              <w:rPr>
                <w:rFonts w:ascii="Arial" w:cs="Arial" w:eastAsia="Arial" w:hAnsi="Arial"/>
                <w:color w:val="1A1A1A"/>
                <w:sz w:val="22"/>
                <w:szCs w:val="22"/>
              </w:rPr>
              <w:t xml:space="preserve">Income Tax Act 58 of 1962; Value Added Tax Act 89 of 1991</w:t>
            </w:r>
          </w:p>
        </w:tc>
      </w:tr>
      <w:tr>
        <w:tc>
          <w:tcPr>
            <w:tcW w:type="dxa" w:w="3120"/>
            <w:tcBorders>
              <w:top w:val="single" w:color="CCCCCC" w:sz="1"/>
              <w:left w:val="single" w:color="CCCCCC" w:sz="1"/>
              <w:bottom w:val="single" w:color="CCCCCC" w:sz="1"/>
              <w:right w:val="single" w:color="CCCCCC" w:sz="1"/>
            </w:tcBorders>
            <w:shd w:fill="D6E4F0" w:val="clear"/>
            <w:tcMar>
              <w:top w:type="dxa" w:w="80"/>
              <w:left w:type="dxa" w:w="140"/>
              <w:bottom w:type="dxa" w:w="80"/>
              <w:right w:type="dxa" w:w="140"/>
            </w:tcMar>
          </w:tcPr>
          <w:p>
            <w:r>
              <w:rPr>
                <w:rFonts w:ascii="Arial" w:cs="Arial" w:eastAsia="Arial" w:hAnsi="Arial"/>
                <w:b/>
                <w:bCs/>
                <w:color w:val="1F4E79"/>
                <w:sz w:val="22"/>
                <w:szCs w:val="22"/>
              </w:rPr>
              <w:t xml:space="preserve">Employment Records</w:t>
            </w:r>
          </w:p>
        </w:tc>
        <w:tc>
          <w:tcPr>
            <w:tcW w:type="dxa" w:w="3120"/>
            <w:tcBorders>
              <w:top w:val="single" w:color="CCCCCC" w:sz="1"/>
              <w:left w:val="single" w:color="CCCCCC" w:sz="1"/>
              <w:bottom w:val="single" w:color="CCCCCC" w:sz="1"/>
              <w:right w:val="single" w:color="CCCCCC" w:sz="1"/>
            </w:tcBorders>
            <w:tcMar>
              <w:top w:type="dxa" w:w="80"/>
              <w:left w:type="dxa" w:w="140"/>
              <w:bottom w:type="dxa" w:w="80"/>
              <w:right w:type="dxa" w:w="140"/>
            </w:tcMar>
          </w:tcPr>
          <w:p>
            <w:r>
              <w:rPr>
                <w:rFonts w:ascii="Arial" w:cs="Arial" w:eastAsia="Arial" w:hAnsi="Arial"/>
                <w:color w:val="1A1A1A"/>
                <w:sz w:val="22"/>
                <w:szCs w:val="22"/>
              </w:rPr>
              <w:t xml:space="preserve">Employment contracts, payroll, leave records</w:t>
            </w:r>
          </w:p>
        </w:tc>
        <w:tc>
          <w:tcPr>
            <w:tcW w:type="dxa" w:w="3120"/>
            <w:tcBorders>
              <w:top w:val="single" w:color="CCCCCC" w:sz="1"/>
              <w:left w:val="single" w:color="CCCCCC" w:sz="1"/>
              <w:bottom w:val="single" w:color="CCCCCC" w:sz="1"/>
              <w:right w:val="single" w:color="CCCCCC" w:sz="1"/>
            </w:tcBorders>
            <w:tcMar>
              <w:top w:type="dxa" w:w="80"/>
              <w:left w:type="dxa" w:w="140"/>
              <w:bottom w:type="dxa" w:w="80"/>
              <w:right w:type="dxa" w:w="140"/>
            </w:tcMar>
          </w:tcPr>
          <w:p>
            <w:r>
              <w:rPr>
                <w:rFonts w:ascii="Arial" w:cs="Arial" w:eastAsia="Arial" w:hAnsi="Arial"/>
                <w:color w:val="1A1A1A"/>
                <w:sz w:val="22"/>
                <w:szCs w:val="22"/>
              </w:rPr>
              <w:t xml:space="preserve">Basic Conditions of Employment Act 75 of 1997; Labour Relations Act 66 of 1995</w:t>
            </w:r>
          </w:p>
        </w:tc>
      </w:tr>
      <w:tr>
        <w:tc>
          <w:tcPr>
            <w:tcW w:type="dxa" w:w="3120"/>
            <w:tcBorders>
              <w:top w:val="single" w:color="CCCCCC" w:sz="1"/>
              <w:left w:val="single" w:color="CCCCCC" w:sz="1"/>
              <w:bottom w:val="single" w:color="CCCCCC" w:sz="1"/>
              <w:right w:val="single" w:color="CCCCCC" w:sz="1"/>
            </w:tcBorders>
            <w:shd w:fill="D6E4F0" w:val="clear"/>
            <w:tcMar>
              <w:top w:type="dxa" w:w="80"/>
              <w:left w:type="dxa" w:w="140"/>
              <w:bottom w:type="dxa" w:w="80"/>
              <w:right w:type="dxa" w:w="140"/>
            </w:tcMar>
          </w:tcPr>
          <w:p>
            <w:r>
              <w:rPr>
                <w:rFonts w:ascii="Arial" w:cs="Arial" w:eastAsia="Arial" w:hAnsi="Arial"/>
                <w:b/>
                <w:bCs/>
                <w:color w:val="1F4E79"/>
                <w:sz w:val="22"/>
                <w:szCs w:val="22"/>
              </w:rPr>
              <w:t xml:space="preserve">Occupational Health &amp; Safety Records</w:t>
            </w:r>
          </w:p>
        </w:tc>
        <w:tc>
          <w:tcPr>
            <w:tcW w:type="dxa" w:w="3120"/>
            <w:tcBorders>
              <w:top w:val="single" w:color="CCCCCC" w:sz="1"/>
              <w:left w:val="single" w:color="CCCCCC" w:sz="1"/>
              <w:bottom w:val="single" w:color="CCCCCC" w:sz="1"/>
              <w:right w:val="single" w:color="CCCCCC" w:sz="1"/>
            </w:tcBorders>
            <w:tcMar>
              <w:top w:type="dxa" w:w="80"/>
              <w:left w:type="dxa" w:w="140"/>
              <w:bottom w:type="dxa" w:w="80"/>
              <w:right w:type="dxa" w:w="140"/>
            </w:tcMar>
          </w:tcPr>
          <w:p>
            <w:r>
              <w:rPr>
                <w:rFonts w:ascii="Arial" w:cs="Arial" w:eastAsia="Arial" w:hAnsi="Arial"/>
                <w:color w:val="1A1A1A"/>
                <w:sz w:val="22"/>
                <w:szCs w:val="22"/>
              </w:rPr>
              <w:t xml:space="preserve">Incident reports, health and safety records</w:t>
            </w:r>
          </w:p>
        </w:tc>
        <w:tc>
          <w:tcPr>
            <w:tcW w:type="dxa" w:w="3120"/>
            <w:tcBorders>
              <w:top w:val="single" w:color="CCCCCC" w:sz="1"/>
              <w:left w:val="single" w:color="CCCCCC" w:sz="1"/>
              <w:bottom w:val="single" w:color="CCCCCC" w:sz="1"/>
              <w:right w:val="single" w:color="CCCCCC" w:sz="1"/>
            </w:tcBorders>
            <w:tcMar>
              <w:top w:type="dxa" w:w="80"/>
              <w:left w:type="dxa" w:w="140"/>
              <w:bottom w:type="dxa" w:w="80"/>
              <w:right w:type="dxa" w:w="140"/>
            </w:tcMar>
          </w:tcPr>
          <w:p>
            <w:r>
              <w:rPr>
                <w:rFonts w:ascii="Arial" w:cs="Arial" w:eastAsia="Arial" w:hAnsi="Arial"/>
                <w:color w:val="1A1A1A"/>
                <w:sz w:val="22"/>
                <w:szCs w:val="22"/>
              </w:rPr>
              <w:t xml:space="preserve">Occupational Health and Safety Act 85 of 1993</w:t>
            </w:r>
          </w:p>
        </w:tc>
      </w:tr>
      <w:tr>
        <w:tc>
          <w:tcPr>
            <w:tcW w:type="dxa" w:w="3120"/>
            <w:tcBorders>
              <w:top w:val="single" w:color="CCCCCC" w:sz="1"/>
              <w:left w:val="single" w:color="CCCCCC" w:sz="1"/>
              <w:bottom w:val="single" w:color="CCCCCC" w:sz="1"/>
              <w:right w:val="single" w:color="CCCCCC" w:sz="1"/>
            </w:tcBorders>
            <w:shd w:fill="D6E4F0" w:val="clear"/>
            <w:tcMar>
              <w:top w:type="dxa" w:w="80"/>
              <w:left w:type="dxa" w:w="140"/>
              <w:bottom w:type="dxa" w:w="80"/>
              <w:right w:type="dxa" w:w="140"/>
            </w:tcMar>
          </w:tcPr>
          <w:p>
            <w:r>
              <w:rPr>
                <w:rFonts w:ascii="Arial" w:cs="Arial" w:eastAsia="Arial" w:hAnsi="Arial"/>
                <w:b/>
                <w:bCs/>
                <w:color w:val="1F4E79"/>
                <w:sz w:val="22"/>
                <w:szCs w:val="22"/>
              </w:rPr>
              <w:t xml:space="preserve">PAIA Manual</w:t>
            </w:r>
          </w:p>
        </w:tc>
        <w:tc>
          <w:tcPr>
            <w:tcW w:type="dxa" w:w="3120"/>
            <w:tcBorders>
              <w:top w:val="single" w:color="CCCCCC" w:sz="1"/>
              <w:left w:val="single" w:color="CCCCCC" w:sz="1"/>
              <w:bottom w:val="single" w:color="CCCCCC" w:sz="1"/>
              <w:right w:val="single" w:color="CCCCCC" w:sz="1"/>
            </w:tcBorders>
            <w:tcMar>
              <w:top w:type="dxa" w:w="80"/>
              <w:left w:type="dxa" w:w="140"/>
              <w:bottom w:type="dxa" w:w="80"/>
              <w:right w:type="dxa" w:w="140"/>
            </w:tcMar>
          </w:tcPr>
          <w:p>
            <w:r>
              <w:rPr>
                <w:rFonts w:ascii="Arial" w:cs="Arial" w:eastAsia="Arial" w:hAnsi="Arial"/>
                <w:color w:val="1A1A1A"/>
                <w:sz w:val="22"/>
                <w:szCs w:val="22"/>
              </w:rPr>
              <w:t xml:space="preserve">This document</w:t>
            </w:r>
          </w:p>
        </w:tc>
        <w:tc>
          <w:tcPr>
            <w:tcW w:type="dxa" w:w="3120"/>
            <w:tcBorders>
              <w:top w:val="single" w:color="CCCCCC" w:sz="1"/>
              <w:left w:val="single" w:color="CCCCCC" w:sz="1"/>
              <w:bottom w:val="single" w:color="CCCCCC" w:sz="1"/>
              <w:right w:val="single" w:color="CCCCCC" w:sz="1"/>
            </w:tcBorders>
            <w:tcMar>
              <w:top w:type="dxa" w:w="80"/>
              <w:left w:type="dxa" w:w="140"/>
              <w:bottom w:type="dxa" w:w="80"/>
              <w:right w:type="dxa" w:w="140"/>
            </w:tcMar>
          </w:tcPr>
          <w:p>
            <w:r>
              <w:rPr>
                <w:rFonts w:ascii="Arial" w:cs="Arial" w:eastAsia="Arial" w:hAnsi="Arial"/>
                <w:color w:val="1A1A1A"/>
                <w:sz w:val="22"/>
                <w:szCs w:val="22"/>
              </w:rPr>
              <w:t xml:space="preserve">Promotion of Access to Information Act 2 of 2000</w:t>
            </w:r>
          </w:p>
        </w:tc>
      </w:tr>
      <w:tr>
        <w:tc>
          <w:tcPr>
            <w:tcW w:type="dxa" w:w="3120"/>
            <w:tcBorders>
              <w:top w:val="single" w:color="CCCCCC" w:sz="1"/>
              <w:left w:val="single" w:color="CCCCCC" w:sz="1"/>
              <w:bottom w:val="single" w:color="CCCCCC" w:sz="1"/>
              <w:right w:val="single" w:color="CCCCCC" w:sz="1"/>
            </w:tcBorders>
            <w:shd w:fill="D6E4F0" w:val="clear"/>
            <w:tcMar>
              <w:top w:type="dxa" w:w="80"/>
              <w:left w:type="dxa" w:w="140"/>
              <w:bottom w:type="dxa" w:w="80"/>
              <w:right w:type="dxa" w:w="140"/>
            </w:tcMar>
          </w:tcPr>
          <w:p>
            <w:r>
              <w:rPr>
                <w:rFonts w:ascii="Arial" w:cs="Arial" w:eastAsia="Arial" w:hAnsi="Arial"/>
                <w:b/>
                <w:bCs/>
                <w:color w:val="1F4E79"/>
                <w:sz w:val="22"/>
                <w:szCs w:val="22"/>
              </w:rPr>
              <w:t xml:space="preserve">Client Health Records</w:t>
            </w:r>
          </w:p>
        </w:tc>
        <w:tc>
          <w:tcPr>
            <w:tcW w:type="dxa" w:w="3120"/>
            <w:tcBorders>
              <w:top w:val="single" w:color="CCCCCC" w:sz="1"/>
              <w:left w:val="single" w:color="CCCCCC" w:sz="1"/>
              <w:bottom w:val="single" w:color="CCCCCC" w:sz="1"/>
              <w:right w:val="single" w:color="CCCCCC" w:sz="1"/>
            </w:tcBorders>
            <w:tcMar>
              <w:top w:type="dxa" w:w="80"/>
              <w:left w:type="dxa" w:w="140"/>
              <w:bottom w:type="dxa" w:w="80"/>
              <w:right w:type="dxa" w:w="140"/>
            </w:tcMar>
          </w:tcPr>
          <w:p>
            <w:r>
              <w:rPr>
                <w:rFonts w:ascii="Arial" w:cs="Arial" w:eastAsia="Arial" w:hAnsi="Arial"/>
                <w:color w:val="1A1A1A"/>
                <w:sz w:val="22"/>
                <w:szCs w:val="22"/>
              </w:rPr>
              <w:t xml:space="preserve">Client intake forms and treatment history</w:t>
            </w:r>
          </w:p>
        </w:tc>
        <w:tc>
          <w:tcPr>
            <w:tcW w:type="dxa" w:w="3120"/>
            <w:tcBorders>
              <w:top w:val="single" w:color="CCCCCC" w:sz="1"/>
              <w:left w:val="single" w:color="CCCCCC" w:sz="1"/>
              <w:bottom w:val="single" w:color="CCCCCC" w:sz="1"/>
              <w:right w:val="single" w:color="CCCCCC" w:sz="1"/>
            </w:tcBorders>
            <w:tcMar>
              <w:top w:type="dxa" w:w="80"/>
              <w:left w:type="dxa" w:w="140"/>
              <w:bottom w:type="dxa" w:w="80"/>
              <w:right w:type="dxa" w:w="140"/>
            </w:tcMar>
          </w:tcPr>
          <w:p>
            <w:r>
              <w:rPr>
                <w:rFonts w:ascii="Arial" w:cs="Arial" w:eastAsia="Arial" w:hAnsi="Arial"/>
                <w:color w:val="1A1A1A"/>
                <w:sz w:val="22"/>
                <w:szCs w:val="22"/>
              </w:rPr>
              <w:t xml:space="preserve">National Health Act 61 of 2003</w:t>
            </w:r>
          </w:p>
        </w:tc>
      </w:tr>
    </w:tbl>
    <w:p>
      <w:pPr>
        <w:spacing w:after="80" w:before="80"/>
      </w:pPr>
      <w:r>
        <w:t xml:space="preserve"/>
      </w:r>
    </w:p>
    <w:p>
      <w:pPr>
        <w:pStyle w:val="Heading1"/>
        <w:pBdr>
          <w:bottom w:val="single" w:color="2E75B6" w:sz="6" w:space="4"/>
        </w:pBdr>
        <w:spacing w:after="160" w:before="400"/>
      </w:pPr>
      <w:r>
        <w:rPr>
          <w:rFonts w:ascii="Arial" w:cs="Arial" w:eastAsia="Arial" w:hAnsi="Arial"/>
          <w:b/>
          <w:bCs/>
          <w:color w:val="1F4E79"/>
          <w:sz w:val="28"/>
          <w:szCs w:val="28"/>
        </w:rPr>
        <w:t xml:space="preserve">6. Description of Records Held by Cleanse Aesthetics</w:t>
      </w:r>
    </w:p>
    <w:p>
      <w:pPr>
        <w:spacing w:after="80" w:before="80"/>
      </w:pPr>
      <w:r>
        <w:rPr>
          <w:rFonts w:ascii="Arial" w:cs="Arial" w:eastAsia="Arial" w:hAnsi="Arial"/>
          <w:color w:val="1A1A1A"/>
          <w:sz w:val="22"/>
          <w:szCs w:val="22"/>
        </w:rPr>
        <w:t xml:space="preserve">Cleanse Aesthetics holds records in the following categories. Please note that the inclusion of a category does not mean that access to records in that category will automatically be granted. All requests will be evaluated in accordance with PAIA.</w:t>
      </w:r>
    </w:p>
    <w:p>
      <w:pPr>
        <w:spacing w:after="80" w:before="80"/>
      </w:pPr>
      <w:r>
        <w:t xml:space="preserve"/>
      </w:r>
    </w:p>
    <w:p>
      <w:pPr>
        <w:pStyle w:val="Heading2"/>
        <w:spacing w:after="120" w:before="280"/>
      </w:pPr>
      <w:r>
        <w:rPr>
          <w:rFonts w:ascii="Arial" w:cs="Arial" w:eastAsia="Arial" w:hAnsi="Arial"/>
          <w:b/>
          <w:bCs/>
          <w:color w:val="2E75B6"/>
          <w:sz w:val="24"/>
          <w:szCs w:val="24"/>
        </w:rPr>
        <w:t xml:space="preserve">6.1 Client Records</w:t>
      </w:r>
    </w:p>
    <w:p>
      <w:pPr>
        <w:pStyle w:val="ListParagraph"/>
        <w:numPr>
          <w:ilvl w:val="0"/>
          <w:numId w:val="2"/>
        </w:numPr>
        <w:spacing w:after="60" w:before="60"/>
      </w:pPr>
      <w:r>
        <w:rPr>
          <w:rFonts w:ascii="Arial" w:cs="Arial" w:eastAsia="Arial" w:hAnsi="Arial"/>
          <w:color w:val="1A1A1A"/>
          <w:sz w:val="22"/>
          <w:szCs w:val="22"/>
        </w:rPr>
        <w:t xml:space="preserve">Client intake and consent forms</w:t>
      </w:r>
    </w:p>
    <w:p>
      <w:pPr>
        <w:pStyle w:val="ListParagraph"/>
        <w:numPr>
          <w:ilvl w:val="0"/>
          <w:numId w:val="2"/>
        </w:numPr>
        <w:spacing w:after="60" w:before="60"/>
      </w:pPr>
      <w:r>
        <w:rPr>
          <w:rFonts w:ascii="Arial" w:cs="Arial" w:eastAsia="Arial" w:hAnsi="Arial"/>
          <w:color w:val="1A1A1A"/>
          <w:sz w:val="22"/>
          <w:szCs w:val="22"/>
        </w:rPr>
        <w:t xml:space="preserve">Client contact details (name, email address, telephone number)</w:t>
      </w:r>
    </w:p>
    <w:p>
      <w:pPr>
        <w:pStyle w:val="ListParagraph"/>
        <w:numPr>
          <w:ilvl w:val="0"/>
          <w:numId w:val="2"/>
        </w:numPr>
        <w:spacing w:after="60" w:before="60"/>
      </w:pPr>
      <w:r>
        <w:rPr>
          <w:rFonts w:ascii="Arial" w:cs="Arial" w:eastAsia="Arial" w:hAnsi="Arial"/>
          <w:color w:val="1A1A1A"/>
          <w:sz w:val="22"/>
          <w:szCs w:val="22"/>
        </w:rPr>
        <w:t xml:space="preserve">Medical history and skin condition assessments relevant to treatment</w:t>
      </w:r>
    </w:p>
    <w:p>
      <w:pPr>
        <w:pStyle w:val="ListParagraph"/>
        <w:numPr>
          <w:ilvl w:val="0"/>
          <w:numId w:val="2"/>
        </w:numPr>
        <w:spacing w:after="60" w:before="60"/>
      </w:pPr>
      <w:r>
        <w:rPr>
          <w:rFonts w:ascii="Arial" w:cs="Arial" w:eastAsia="Arial" w:hAnsi="Arial"/>
          <w:color w:val="1A1A1A"/>
          <w:sz w:val="22"/>
          <w:szCs w:val="22"/>
        </w:rPr>
        <w:t xml:space="preserve">Treatment records and progress notes</w:t>
      </w:r>
    </w:p>
    <w:p>
      <w:pPr>
        <w:pStyle w:val="ListParagraph"/>
        <w:numPr>
          <w:ilvl w:val="0"/>
          <w:numId w:val="2"/>
        </w:numPr>
        <w:spacing w:after="60" w:before="60"/>
      </w:pPr>
      <w:r>
        <w:rPr>
          <w:rFonts w:ascii="Arial" w:cs="Arial" w:eastAsia="Arial" w:hAnsi="Arial"/>
          <w:color w:val="1A1A1A"/>
          <w:sz w:val="22"/>
          <w:szCs w:val="22"/>
        </w:rPr>
        <w:t xml:space="preserve">Appointment and booking history</w:t>
      </w:r>
    </w:p>
    <w:p>
      <w:pPr>
        <w:pStyle w:val="ListParagraph"/>
        <w:numPr>
          <w:ilvl w:val="0"/>
          <w:numId w:val="2"/>
        </w:numPr>
        <w:spacing w:after="60" w:before="60"/>
      </w:pPr>
      <w:r>
        <w:rPr>
          <w:rFonts w:ascii="Arial" w:cs="Arial" w:eastAsia="Arial" w:hAnsi="Arial"/>
          <w:color w:val="1A1A1A"/>
          <w:sz w:val="22"/>
          <w:szCs w:val="22"/>
        </w:rPr>
        <w:t xml:space="preserve">Client correspondence (email, WhatsApp, SMS)</w:t>
      </w:r>
    </w:p>
    <w:p>
      <w:pPr>
        <w:pStyle w:val="Heading2"/>
        <w:spacing w:after="120" w:before="280"/>
      </w:pPr>
      <w:r>
        <w:rPr>
          <w:rFonts w:ascii="Arial" w:cs="Arial" w:eastAsia="Arial" w:hAnsi="Arial"/>
          <w:b/>
          <w:bCs/>
          <w:color w:val="2E75B6"/>
          <w:sz w:val="24"/>
          <w:szCs w:val="24"/>
        </w:rPr>
        <w:t xml:space="preserve">6.2 Employee and Therapist Records</w:t>
      </w:r>
    </w:p>
    <w:p>
      <w:pPr>
        <w:pStyle w:val="ListParagraph"/>
        <w:numPr>
          <w:ilvl w:val="0"/>
          <w:numId w:val="2"/>
        </w:numPr>
        <w:spacing w:after="60" w:before="60"/>
      </w:pPr>
      <w:r>
        <w:rPr>
          <w:rFonts w:ascii="Arial" w:cs="Arial" w:eastAsia="Arial" w:hAnsi="Arial"/>
          <w:color w:val="1A1A1A"/>
          <w:sz w:val="22"/>
          <w:szCs w:val="22"/>
        </w:rPr>
        <w:t xml:space="preserve">Employment contracts and letters of appointment</w:t>
      </w:r>
    </w:p>
    <w:p>
      <w:pPr>
        <w:pStyle w:val="ListParagraph"/>
        <w:numPr>
          <w:ilvl w:val="0"/>
          <w:numId w:val="2"/>
        </w:numPr>
        <w:spacing w:after="60" w:before="60"/>
      </w:pPr>
      <w:r>
        <w:rPr>
          <w:rFonts w:ascii="Arial" w:cs="Arial" w:eastAsia="Arial" w:hAnsi="Arial"/>
          <w:color w:val="1A1A1A"/>
          <w:sz w:val="22"/>
          <w:szCs w:val="22"/>
        </w:rPr>
        <w:t xml:space="preserve">Personal details of employees (name, contact details, ID number)</w:t>
      </w:r>
    </w:p>
    <w:p>
      <w:pPr>
        <w:pStyle w:val="ListParagraph"/>
        <w:numPr>
          <w:ilvl w:val="0"/>
          <w:numId w:val="2"/>
        </w:numPr>
        <w:spacing w:after="60" w:before="60"/>
      </w:pPr>
      <w:r>
        <w:rPr>
          <w:rFonts w:ascii="Arial" w:cs="Arial" w:eastAsia="Arial" w:hAnsi="Arial"/>
          <w:color w:val="1A1A1A"/>
          <w:sz w:val="22"/>
          <w:szCs w:val="22"/>
        </w:rPr>
        <w:t xml:space="preserve">Payroll and remuneration records</w:t>
      </w:r>
    </w:p>
    <w:p>
      <w:pPr>
        <w:pStyle w:val="ListParagraph"/>
        <w:numPr>
          <w:ilvl w:val="0"/>
          <w:numId w:val="2"/>
        </w:numPr>
        <w:spacing w:after="60" w:before="60"/>
      </w:pPr>
      <w:r>
        <w:rPr>
          <w:rFonts w:ascii="Arial" w:cs="Arial" w:eastAsia="Arial" w:hAnsi="Arial"/>
          <w:color w:val="1A1A1A"/>
          <w:sz w:val="22"/>
          <w:szCs w:val="22"/>
        </w:rPr>
        <w:t xml:space="preserve">Leave and attendance records</w:t>
      </w:r>
    </w:p>
    <w:p>
      <w:pPr>
        <w:pStyle w:val="ListParagraph"/>
        <w:numPr>
          <w:ilvl w:val="0"/>
          <w:numId w:val="2"/>
        </w:numPr>
        <w:spacing w:after="60" w:before="60"/>
      </w:pPr>
      <w:r>
        <w:rPr>
          <w:rFonts w:ascii="Arial" w:cs="Arial" w:eastAsia="Arial" w:hAnsi="Arial"/>
          <w:color w:val="1A1A1A"/>
          <w:sz w:val="22"/>
          <w:szCs w:val="22"/>
        </w:rPr>
        <w:t xml:space="preserve">Disciplinary records</w:t>
      </w:r>
    </w:p>
    <w:p>
      <w:pPr>
        <w:pStyle w:val="ListParagraph"/>
        <w:numPr>
          <w:ilvl w:val="0"/>
          <w:numId w:val="2"/>
        </w:numPr>
        <w:spacing w:after="60" w:before="60"/>
      </w:pPr>
      <w:r>
        <w:rPr>
          <w:rFonts w:ascii="Arial" w:cs="Arial" w:eastAsia="Arial" w:hAnsi="Arial"/>
          <w:color w:val="1A1A1A"/>
          <w:sz w:val="22"/>
          <w:szCs w:val="22"/>
        </w:rPr>
        <w:t xml:space="preserve">Training and qualification certificates</w:t>
      </w:r>
    </w:p>
    <w:p>
      <w:pPr>
        <w:pStyle w:val="Heading2"/>
        <w:spacing w:after="120" w:before="280"/>
      </w:pPr>
      <w:r>
        <w:rPr>
          <w:rFonts w:ascii="Arial" w:cs="Arial" w:eastAsia="Arial" w:hAnsi="Arial"/>
          <w:b/>
          <w:bCs/>
          <w:color w:val="2E75B6"/>
          <w:sz w:val="24"/>
          <w:szCs w:val="24"/>
        </w:rPr>
        <w:t xml:space="preserve">6.3 Financial Records</w:t>
      </w:r>
    </w:p>
    <w:p>
      <w:pPr>
        <w:pStyle w:val="ListParagraph"/>
        <w:numPr>
          <w:ilvl w:val="0"/>
          <w:numId w:val="2"/>
        </w:numPr>
        <w:spacing w:after="60" w:before="60"/>
      </w:pPr>
      <w:r>
        <w:rPr>
          <w:rFonts w:ascii="Arial" w:cs="Arial" w:eastAsia="Arial" w:hAnsi="Arial"/>
          <w:color w:val="1A1A1A"/>
          <w:sz w:val="22"/>
          <w:szCs w:val="22"/>
        </w:rPr>
        <w:t xml:space="preserve">Invoices and receipts</w:t>
      </w:r>
    </w:p>
    <w:p>
      <w:pPr>
        <w:pStyle w:val="ListParagraph"/>
        <w:numPr>
          <w:ilvl w:val="0"/>
          <w:numId w:val="2"/>
        </w:numPr>
        <w:spacing w:after="60" w:before="60"/>
      </w:pPr>
      <w:r>
        <w:rPr>
          <w:rFonts w:ascii="Arial" w:cs="Arial" w:eastAsia="Arial" w:hAnsi="Arial"/>
          <w:color w:val="1A1A1A"/>
          <w:sz w:val="22"/>
          <w:szCs w:val="22"/>
        </w:rPr>
        <w:t xml:space="preserve">VAT and tax records</w:t>
      </w:r>
    </w:p>
    <w:p>
      <w:pPr>
        <w:pStyle w:val="ListParagraph"/>
        <w:numPr>
          <w:ilvl w:val="0"/>
          <w:numId w:val="2"/>
        </w:numPr>
        <w:spacing w:after="60" w:before="60"/>
      </w:pPr>
      <w:r>
        <w:rPr>
          <w:rFonts w:ascii="Arial" w:cs="Arial" w:eastAsia="Arial" w:hAnsi="Arial"/>
          <w:color w:val="1A1A1A"/>
          <w:sz w:val="22"/>
          <w:szCs w:val="22"/>
        </w:rPr>
        <w:t xml:space="preserve">Supplier contracts and purchase orders</w:t>
      </w:r>
    </w:p>
    <w:p>
      <w:pPr>
        <w:pStyle w:val="ListParagraph"/>
        <w:numPr>
          <w:ilvl w:val="0"/>
          <w:numId w:val="2"/>
        </w:numPr>
        <w:spacing w:after="60" w:before="60"/>
      </w:pPr>
      <w:r>
        <w:rPr>
          <w:rFonts w:ascii="Arial" w:cs="Arial" w:eastAsia="Arial" w:hAnsi="Arial"/>
          <w:color w:val="1A1A1A"/>
          <w:sz w:val="22"/>
          <w:szCs w:val="22"/>
        </w:rPr>
        <w:t xml:space="preserve">Annual financial statements</w:t>
      </w:r>
    </w:p>
    <w:p>
      <w:pPr>
        <w:pStyle w:val="Heading2"/>
        <w:spacing w:after="120" w:before="280"/>
      </w:pPr>
      <w:r>
        <w:rPr>
          <w:rFonts w:ascii="Arial" w:cs="Arial" w:eastAsia="Arial" w:hAnsi="Arial"/>
          <w:b/>
          <w:bCs/>
          <w:color w:val="2E75B6"/>
          <w:sz w:val="24"/>
          <w:szCs w:val="24"/>
        </w:rPr>
        <w:t xml:space="preserve">6.4 Operational and Corporate Records</w:t>
      </w:r>
    </w:p>
    <w:p>
      <w:pPr>
        <w:pStyle w:val="ListParagraph"/>
        <w:numPr>
          <w:ilvl w:val="0"/>
          <w:numId w:val="2"/>
        </w:numPr>
        <w:spacing w:after="60" w:before="60"/>
      </w:pPr>
      <w:r>
        <w:rPr>
          <w:rFonts w:ascii="Arial" w:cs="Arial" w:eastAsia="Arial" w:hAnsi="Arial"/>
          <w:color w:val="1A1A1A"/>
          <w:sz w:val="22"/>
          <w:szCs w:val="22"/>
        </w:rPr>
        <w:t xml:space="preserve">Close Corporation registration documents</w:t>
      </w:r>
    </w:p>
    <w:p>
      <w:pPr>
        <w:pStyle w:val="ListParagraph"/>
        <w:numPr>
          <w:ilvl w:val="0"/>
          <w:numId w:val="2"/>
        </w:numPr>
        <w:spacing w:after="60" w:before="60"/>
      </w:pPr>
      <w:r>
        <w:rPr>
          <w:rFonts w:ascii="Arial" w:cs="Arial" w:eastAsia="Arial" w:hAnsi="Arial"/>
          <w:color w:val="1A1A1A"/>
          <w:sz w:val="22"/>
          <w:szCs w:val="22"/>
        </w:rPr>
        <w:t xml:space="preserve">Insurance policies</w:t>
      </w:r>
    </w:p>
    <w:p>
      <w:pPr>
        <w:pStyle w:val="ListParagraph"/>
        <w:numPr>
          <w:ilvl w:val="0"/>
          <w:numId w:val="2"/>
        </w:numPr>
        <w:spacing w:after="60" w:before="60"/>
      </w:pPr>
      <w:r>
        <w:rPr>
          <w:rFonts w:ascii="Arial" w:cs="Arial" w:eastAsia="Arial" w:hAnsi="Arial"/>
          <w:color w:val="1A1A1A"/>
          <w:sz w:val="22"/>
          <w:szCs w:val="22"/>
        </w:rPr>
        <w:t xml:space="preserve">Lease and property agreements</w:t>
      </w:r>
    </w:p>
    <w:p>
      <w:pPr>
        <w:pStyle w:val="ListParagraph"/>
        <w:numPr>
          <w:ilvl w:val="0"/>
          <w:numId w:val="2"/>
        </w:numPr>
        <w:spacing w:after="60" w:before="60"/>
      </w:pPr>
      <w:r>
        <w:rPr>
          <w:rFonts w:ascii="Arial" w:cs="Arial" w:eastAsia="Arial" w:hAnsi="Arial"/>
          <w:color w:val="1A1A1A"/>
          <w:sz w:val="22"/>
          <w:szCs w:val="22"/>
        </w:rPr>
        <w:t xml:space="preserve">Supplier and service provider agreements</w:t>
      </w:r>
    </w:p>
    <w:p>
      <w:pPr>
        <w:pStyle w:val="ListParagraph"/>
        <w:numPr>
          <w:ilvl w:val="0"/>
          <w:numId w:val="2"/>
        </w:numPr>
        <w:spacing w:after="60" w:before="60"/>
      </w:pPr>
      <w:r>
        <w:rPr>
          <w:rFonts w:ascii="Arial" w:cs="Arial" w:eastAsia="Arial" w:hAnsi="Arial"/>
          <w:color w:val="1A1A1A"/>
          <w:sz w:val="22"/>
          <w:szCs w:val="22"/>
        </w:rPr>
        <w:t xml:space="preserve">Health and safety records</w:t>
      </w:r>
    </w:p>
    <w:p>
      <w:pPr>
        <w:pStyle w:val="Heading2"/>
        <w:spacing w:after="120" w:before="280"/>
      </w:pPr>
      <w:r>
        <w:rPr>
          <w:rFonts w:ascii="Arial" w:cs="Arial" w:eastAsia="Arial" w:hAnsi="Arial"/>
          <w:b/>
          <w:bCs/>
          <w:color w:val="2E75B6"/>
          <w:sz w:val="24"/>
          <w:szCs w:val="24"/>
        </w:rPr>
        <w:t xml:space="preserve">6.5 Marketing and Communication Records</w:t>
      </w:r>
    </w:p>
    <w:p>
      <w:pPr>
        <w:pStyle w:val="ListParagraph"/>
        <w:numPr>
          <w:ilvl w:val="0"/>
          <w:numId w:val="2"/>
        </w:numPr>
        <w:spacing w:after="60" w:before="60"/>
      </w:pPr>
      <w:r>
        <w:rPr>
          <w:rFonts w:ascii="Arial" w:cs="Arial" w:eastAsia="Arial" w:hAnsi="Arial"/>
          <w:color w:val="1A1A1A"/>
          <w:sz w:val="22"/>
          <w:szCs w:val="22"/>
        </w:rPr>
        <w:t xml:space="preserve">Marketing materials and campaigns</w:t>
      </w:r>
    </w:p>
    <w:p>
      <w:pPr>
        <w:pStyle w:val="ListParagraph"/>
        <w:numPr>
          <w:ilvl w:val="0"/>
          <w:numId w:val="2"/>
        </w:numPr>
        <w:spacing w:after="60" w:before="60"/>
      </w:pPr>
      <w:r>
        <w:rPr>
          <w:rFonts w:ascii="Arial" w:cs="Arial" w:eastAsia="Arial" w:hAnsi="Arial"/>
          <w:color w:val="1A1A1A"/>
          <w:sz w:val="22"/>
          <w:szCs w:val="22"/>
        </w:rPr>
        <w:t xml:space="preserve">Social media records</w:t>
      </w:r>
    </w:p>
    <w:p>
      <w:pPr>
        <w:pStyle w:val="ListParagraph"/>
        <w:numPr>
          <w:ilvl w:val="0"/>
          <w:numId w:val="2"/>
        </w:numPr>
        <w:spacing w:after="60" w:before="60"/>
      </w:pPr>
      <w:r>
        <w:rPr>
          <w:rFonts w:ascii="Arial" w:cs="Arial" w:eastAsia="Arial" w:hAnsi="Arial"/>
          <w:color w:val="1A1A1A"/>
          <w:sz w:val="22"/>
          <w:szCs w:val="22"/>
        </w:rPr>
        <w:t xml:space="preserve">Client consent records for marketing communications</w:t>
      </w:r>
    </w:p>
    <w:p>
      <w:pPr>
        <w:spacing w:after="80" w:before="80"/>
      </w:pPr>
      <w:r>
        <w:t xml:space="preserve"/>
      </w:r>
    </w:p>
    <w:p>
      <w:pPr>
        <w:pStyle w:val="Heading1"/>
        <w:pBdr>
          <w:bottom w:val="single" w:color="2E75B6" w:sz="6" w:space="4"/>
        </w:pBdr>
        <w:spacing w:after="160" w:before="400"/>
      </w:pPr>
      <w:r>
        <w:rPr>
          <w:rFonts w:ascii="Arial" w:cs="Arial" w:eastAsia="Arial" w:hAnsi="Arial"/>
          <w:b/>
          <w:bCs/>
          <w:color w:val="1F4E79"/>
          <w:sz w:val="28"/>
          <w:szCs w:val="28"/>
        </w:rPr>
        <w:t xml:space="preserve">7. Processing of Personal Information (POPIA)</w:t>
      </w:r>
    </w:p>
    <w:p>
      <w:pPr>
        <w:spacing w:after="80" w:before="80"/>
      </w:pPr>
      <w:r>
        <w:rPr>
          <w:rFonts w:ascii="Arial" w:cs="Arial" w:eastAsia="Arial" w:hAnsi="Arial"/>
          <w:color w:val="1A1A1A"/>
          <w:sz w:val="22"/>
          <w:szCs w:val="22"/>
        </w:rPr>
        <w:t xml:space="preserve">In terms of Section 17 of POPIA, Cleanse Aesthetics is required to maintain a record of all processing operations under its responsibility. This section sets out the personal information we process, the purpose thereof, and the safeguards in place.</w:t>
      </w:r>
    </w:p>
    <w:p>
      <w:pPr>
        <w:spacing w:after="80" w:before="80"/>
      </w:pPr>
      <w:r>
        <w:t xml:space="preserve"/>
      </w:r>
    </w:p>
    <w:p>
      <w:pPr>
        <w:pStyle w:val="Heading2"/>
        <w:spacing w:after="120" w:before="280"/>
      </w:pPr>
      <w:r>
        <w:rPr>
          <w:rFonts w:ascii="Arial" w:cs="Arial" w:eastAsia="Arial" w:hAnsi="Arial"/>
          <w:b/>
          <w:bCs/>
          <w:color w:val="2E75B6"/>
          <w:sz w:val="24"/>
          <w:szCs w:val="24"/>
        </w:rPr>
        <w:t xml:space="preserve">7.1 Categories of Personal Information Processed</w:t>
      </w:r>
    </w:p>
    <w:p>
      <w:pPr>
        <w:spacing w:after="80" w:before="80"/>
      </w:pPr>
      <w:r>
        <w:rPr>
          <w:rFonts w:ascii="Arial" w:cs="Arial" w:eastAsia="Arial" w:hAnsi="Arial"/>
          <w:color w:val="1A1A1A"/>
          <w:sz w:val="22"/>
          <w:szCs w:val="22"/>
        </w:rPr>
        <w:t xml:space="preserve">Cleanse Aesthetics processes the following categories of personal information:</w:t>
      </w:r>
    </w:p>
    <w:p>
      <w:pPr>
        <w:pStyle w:val="ListParagraph"/>
        <w:numPr>
          <w:ilvl w:val="0"/>
          <w:numId w:val="2"/>
        </w:numPr>
        <w:spacing w:after="60" w:before="60"/>
      </w:pPr>
      <w:r>
        <w:rPr>
          <w:rFonts w:ascii="Arial" w:cs="Arial" w:eastAsia="Arial" w:hAnsi="Arial"/>
          <w:color w:val="1A1A1A"/>
          <w:sz w:val="22"/>
          <w:szCs w:val="22"/>
        </w:rPr>
        <w:t xml:space="preserve">Identifying information: full name, identity number (where required)</w:t>
      </w:r>
    </w:p>
    <w:p>
      <w:pPr>
        <w:pStyle w:val="ListParagraph"/>
        <w:numPr>
          <w:ilvl w:val="0"/>
          <w:numId w:val="2"/>
        </w:numPr>
        <w:spacing w:after="60" w:before="60"/>
      </w:pPr>
      <w:r>
        <w:rPr>
          <w:rFonts w:ascii="Arial" w:cs="Arial" w:eastAsia="Arial" w:hAnsi="Arial"/>
          <w:color w:val="1A1A1A"/>
          <w:sz w:val="22"/>
          <w:szCs w:val="22"/>
        </w:rPr>
        <w:t xml:space="preserve">Contact information: email address, telephone/cell number, physical address</w:t>
      </w:r>
    </w:p>
    <w:p>
      <w:pPr>
        <w:pStyle w:val="ListParagraph"/>
        <w:numPr>
          <w:ilvl w:val="0"/>
          <w:numId w:val="2"/>
        </w:numPr>
        <w:spacing w:after="60" w:before="60"/>
      </w:pPr>
      <w:r>
        <w:rPr>
          <w:rFonts w:ascii="Arial" w:cs="Arial" w:eastAsia="Arial" w:hAnsi="Arial"/>
          <w:color w:val="1A1A1A"/>
          <w:sz w:val="22"/>
          <w:szCs w:val="22"/>
        </w:rPr>
        <w:t xml:space="preserve">Health and medical information: relevant medical history, skin conditions, contraindications to treatment, allergies</w:t>
      </w:r>
    </w:p>
    <w:p>
      <w:pPr>
        <w:pStyle w:val="ListParagraph"/>
        <w:numPr>
          <w:ilvl w:val="0"/>
          <w:numId w:val="2"/>
        </w:numPr>
        <w:spacing w:after="60" w:before="60"/>
      </w:pPr>
      <w:r>
        <w:rPr>
          <w:rFonts w:ascii="Arial" w:cs="Arial" w:eastAsia="Arial" w:hAnsi="Arial"/>
          <w:color w:val="1A1A1A"/>
          <w:sz w:val="22"/>
          <w:szCs w:val="22"/>
        </w:rPr>
        <w:t xml:space="preserve">Treatment information: treatment records, progress notes, before/after assessments</w:t>
      </w:r>
    </w:p>
    <w:p>
      <w:pPr>
        <w:pStyle w:val="ListParagraph"/>
        <w:numPr>
          <w:ilvl w:val="0"/>
          <w:numId w:val="2"/>
        </w:numPr>
        <w:spacing w:after="60" w:before="60"/>
      </w:pPr>
      <w:r>
        <w:rPr>
          <w:rFonts w:ascii="Arial" w:cs="Arial" w:eastAsia="Arial" w:hAnsi="Arial"/>
          <w:color w:val="1A1A1A"/>
          <w:sz w:val="22"/>
          <w:szCs w:val="22"/>
        </w:rPr>
        <w:t xml:space="preserve">Employee information: as described in Section 6.2 above</w:t>
      </w:r>
    </w:p>
    <w:p>
      <w:pPr>
        <w:spacing w:after="80" w:before="80"/>
      </w:pPr>
      <w:r>
        <w:t xml:space="preserve"/>
      </w:r>
    </w:p>
    <w:p>
      <w:pPr>
        <w:spacing w:after="80" w:before="80"/>
      </w:pPr>
      <w:r>
        <w:rPr>
          <w:rFonts w:ascii="Arial" w:cs="Arial" w:eastAsia="Arial" w:hAnsi="Arial"/>
          <w:color w:val="1A1A1A"/>
          <w:sz w:val="22"/>
          <w:szCs w:val="22"/>
        </w:rPr>
        <w:t xml:space="preserve">Note: Cleanse Aesthetics does not collect or store payment card details.</w:t>
      </w:r>
    </w:p>
    <w:p>
      <w:pPr>
        <w:spacing w:after="80" w:before="80"/>
      </w:pPr>
      <w:r>
        <w:t xml:space="preserve"/>
      </w:r>
    </w:p>
    <w:p>
      <w:pPr>
        <w:pStyle w:val="Heading2"/>
        <w:spacing w:after="120" w:before="280"/>
      </w:pPr>
      <w:r>
        <w:rPr>
          <w:rFonts w:ascii="Arial" w:cs="Arial" w:eastAsia="Arial" w:hAnsi="Arial"/>
          <w:b/>
          <w:bCs/>
          <w:color w:val="2E75B6"/>
          <w:sz w:val="24"/>
          <w:szCs w:val="24"/>
        </w:rPr>
        <w:t xml:space="preserve">7.2 Purpose of Processing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0"/>
                <w:szCs w:val="20"/>
              </w:rPr>
              <w:t xml:space="preserve">Category of Data Subjects</w:t>
            </w:r>
          </w:p>
        </w:tc>
        <w:tc>
          <w:tcPr>
            <w:tcW w:type="dxa" w:w="234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0"/>
                <w:szCs w:val="20"/>
              </w:rPr>
              <w:t xml:space="preserve">Personal Information Processed</w:t>
            </w:r>
          </w:p>
        </w:tc>
        <w:tc>
          <w:tcPr>
            <w:tcW w:type="dxa" w:w="234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0"/>
                <w:szCs w:val="20"/>
              </w:rPr>
              <w:t xml:space="preserve">Purpose of Processing</w:t>
            </w:r>
          </w:p>
        </w:tc>
        <w:tc>
          <w:tcPr>
            <w:tcW w:type="dxa" w:w="2340"/>
            <w:tcBorders>
              <w:top w:val="single" w:color="CCCCCC" w:sz="1"/>
              <w:left w:val="single" w:color="CCCCCC" w:sz="1"/>
              <w:bottom w:val="single" w:color="CCCCCC" w:sz="1"/>
              <w:right w:val="single" w:color="CCCCCC" w:sz="1"/>
            </w:tcBorders>
            <w:shd w:fill="1F4E79" w:val="clear"/>
            <w:tcMar>
              <w:top w:type="dxa" w:w="100"/>
              <w:left w:type="dxa" w:w="120"/>
              <w:bottom w:type="dxa" w:w="100"/>
              <w:right w:type="dxa" w:w="120"/>
            </w:tcMar>
          </w:tcPr>
          <w:p>
            <w:r>
              <w:rPr>
                <w:rFonts w:ascii="Arial" w:cs="Arial" w:eastAsia="Arial" w:hAnsi="Arial"/>
                <w:b/>
                <w:bCs/>
                <w:color w:val="FFFFFF"/>
                <w:sz w:val="20"/>
                <w:szCs w:val="20"/>
              </w:rPr>
              <w:t xml:space="preserve">Recipients</w:t>
            </w:r>
          </w:p>
        </w:tc>
      </w:tr>
      <w:tr>
        <w:tc>
          <w:tcPr>
            <w:tcW w:type="dxa" w:w="234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A1A1A"/>
                <w:sz w:val="20"/>
                <w:szCs w:val="20"/>
              </w:rPr>
              <w:t xml:space="preserve">Clients</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Name, contact details, medical history, treatment records</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To provide aesthetic treatments safely; to maintain treatment records; to communicate appointment information; to send marketing with consent</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Employees/therapists (treatment delivery); booking system provider; email platform</w:t>
            </w:r>
          </w:p>
        </w:tc>
      </w:tr>
      <w:tr>
        <w:tc>
          <w:tcPr>
            <w:tcW w:type="dxa" w:w="234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A1A1A"/>
                <w:sz w:val="20"/>
                <w:szCs w:val="20"/>
              </w:rPr>
              <w:t xml:space="preserve">Employees / Therapists</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Name, contact details, ID number, payroll information, qualifications</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Employment administration; payroll processing; statutory compliance; training records</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SARS; UIF; payroll service provider (if applicable)</w:t>
            </w:r>
          </w:p>
        </w:tc>
      </w:tr>
      <w:tr>
        <w:tc>
          <w:tcPr>
            <w:tcW w:type="dxa" w:w="234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1A1A1A"/>
                <w:sz w:val="20"/>
                <w:szCs w:val="20"/>
              </w:rPr>
              <w:t xml:space="preserve">Suppliers / Service Providers</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Contact person name, email, phone number</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Procurement and operational administration</w:t>
            </w:r>
          </w:p>
        </w:tc>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Internal only</w:t>
            </w:r>
          </w:p>
        </w:tc>
      </w:tr>
    </w:tbl>
    <w:p>
      <w:pPr>
        <w:spacing w:after="80" w:before="80"/>
      </w:pPr>
      <w:r>
        <w:t xml:space="preserve"/>
      </w:r>
    </w:p>
    <w:p>
      <w:pPr>
        <w:pStyle w:val="Heading2"/>
        <w:spacing w:after="120" w:before="280"/>
      </w:pPr>
      <w:r>
        <w:rPr>
          <w:rFonts w:ascii="Arial" w:cs="Arial" w:eastAsia="Arial" w:hAnsi="Arial"/>
          <w:b/>
          <w:bCs/>
          <w:color w:val="2E75B6"/>
          <w:sz w:val="24"/>
          <w:szCs w:val="24"/>
        </w:rPr>
        <w:t xml:space="preserve">7.3 Recipients of Personal Information</w:t>
      </w:r>
    </w:p>
    <w:p>
      <w:pPr>
        <w:spacing w:after="80" w:before="80"/>
      </w:pPr>
      <w:r>
        <w:rPr>
          <w:rFonts w:ascii="Arial" w:cs="Arial" w:eastAsia="Arial" w:hAnsi="Arial"/>
          <w:color w:val="1A1A1A"/>
          <w:sz w:val="22"/>
          <w:szCs w:val="22"/>
        </w:rPr>
        <w:t xml:space="preserve">Personal information collected by Cleanse Aesthetics may be shared with the following categories of recipients, only to the extent necessary and where lawful:</w:t>
      </w:r>
    </w:p>
    <w:p>
      <w:pPr>
        <w:pStyle w:val="ListParagraph"/>
        <w:numPr>
          <w:ilvl w:val="0"/>
          <w:numId w:val="2"/>
        </w:numPr>
        <w:spacing w:after="60" w:before="60"/>
      </w:pPr>
      <w:r>
        <w:rPr>
          <w:rFonts w:ascii="Arial" w:cs="Arial" w:eastAsia="Arial" w:hAnsi="Arial"/>
          <w:color w:val="1A1A1A"/>
          <w:sz w:val="22"/>
          <w:szCs w:val="22"/>
        </w:rPr>
        <w:t xml:space="preserve">Employees and therapists of Cleanse Aesthetics (for treatment delivery purposes only)</w:t>
      </w:r>
    </w:p>
    <w:p>
      <w:pPr>
        <w:pStyle w:val="ListParagraph"/>
        <w:numPr>
          <w:ilvl w:val="0"/>
          <w:numId w:val="2"/>
        </w:numPr>
        <w:spacing w:after="60" w:before="60"/>
      </w:pPr>
      <w:r>
        <w:rPr>
          <w:rFonts w:ascii="Arial" w:cs="Arial" w:eastAsia="Arial" w:hAnsi="Arial"/>
          <w:color w:val="1A1A1A"/>
          <w:sz w:val="22"/>
          <w:szCs w:val="22"/>
        </w:rPr>
        <w:t xml:space="preserve">Booking and practice management software providers (as operators processing on our behalf)</w:t>
      </w:r>
    </w:p>
    <w:p>
      <w:pPr>
        <w:pStyle w:val="ListParagraph"/>
        <w:numPr>
          <w:ilvl w:val="0"/>
          <w:numId w:val="2"/>
        </w:numPr>
        <w:spacing w:after="60" w:before="60"/>
      </w:pPr>
      <w:r>
        <w:rPr>
          <w:rFonts w:ascii="Arial" w:cs="Arial" w:eastAsia="Arial" w:hAnsi="Arial"/>
          <w:color w:val="1A1A1A"/>
          <w:sz w:val="22"/>
          <w:szCs w:val="22"/>
        </w:rPr>
        <w:t xml:space="preserve">Email and communication platform providers (as operators)</w:t>
      </w:r>
    </w:p>
    <w:p>
      <w:pPr>
        <w:pStyle w:val="ListParagraph"/>
        <w:numPr>
          <w:ilvl w:val="0"/>
          <w:numId w:val="2"/>
        </w:numPr>
        <w:spacing w:after="60" w:before="60"/>
      </w:pPr>
      <w:r>
        <w:rPr>
          <w:rFonts w:ascii="Arial" w:cs="Arial" w:eastAsia="Arial" w:hAnsi="Arial"/>
          <w:color w:val="1A1A1A"/>
          <w:sz w:val="22"/>
          <w:szCs w:val="22"/>
        </w:rPr>
        <w:t xml:space="preserve">Regulatory authorities (SARS, UIF, Department of Labour) where legally required</w:t>
      </w:r>
    </w:p>
    <w:p>
      <w:pPr>
        <w:pStyle w:val="ListParagraph"/>
        <w:numPr>
          <w:ilvl w:val="0"/>
          <w:numId w:val="2"/>
        </w:numPr>
        <w:spacing w:after="60" w:before="60"/>
      </w:pPr>
      <w:r>
        <w:rPr>
          <w:rFonts w:ascii="Arial" w:cs="Arial" w:eastAsia="Arial" w:hAnsi="Arial"/>
          <w:color w:val="1A1A1A"/>
          <w:sz w:val="22"/>
          <w:szCs w:val="22"/>
        </w:rPr>
        <w:t xml:space="preserve">The Information Regulator (in compliance with POPIA obligations)</w:t>
      </w:r>
    </w:p>
    <w:p>
      <w:pPr>
        <w:spacing w:after="80" w:before="80"/>
      </w:pPr>
      <w:r>
        <w:t xml:space="preserve"/>
      </w:r>
    </w:p>
    <w:p>
      <w:pPr>
        <w:spacing w:after="80" w:before="80"/>
      </w:pPr>
      <w:r>
        <w:rPr>
          <w:rFonts w:ascii="Arial" w:cs="Arial" w:eastAsia="Arial" w:hAnsi="Arial"/>
          <w:color w:val="1A1A1A"/>
          <w:sz w:val="22"/>
          <w:szCs w:val="22"/>
        </w:rPr>
        <w:t xml:space="preserve">Cleanse Aesthetics does not sell, rent, or share personal information with third parties for their own marketing or commercial purposes.</w:t>
      </w:r>
    </w:p>
    <w:p>
      <w:pPr>
        <w:spacing w:after="80" w:before="80"/>
      </w:pPr>
      <w:r>
        <w:t xml:space="preserve"/>
      </w:r>
    </w:p>
    <w:p>
      <w:pPr>
        <w:pStyle w:val="Heading2"/>
        <w:spacing w:after="120" w:before="280"/>
      </w:pPr>
      <w:r>
        <w:rPr>
          <w:rFonts w:ascii="Arial" w:cs="Arial" w:eastAsia="Arial" w:hAnsi="Arial"/>
          <w:b/>
          <w:bCs/>
          <w:color w:val="2E75B6"/>
          <w:sz w:val="24"/>
          <w:szCs w:val="24"/>
        </w:rPr>
        <w:t xml:space="preserve">7.4 Transborder Flows of Personal Information</w:t>
      </w:r>
    </w:p>
    <w:p>
      <w:pPr>
        <w:spacing w:after="80" w:before="80"/>
      </w:pPr>
      <w:r>
        <w:rPr>
          <w:rFonts w:ascii="Arial" w:cs="Arial" w:eastAsia="Arial" w:hAnsi="Arial"/>
          <w:color w:val="1A1A1A"/>
          <w:sz w:val="22"/>
          <w:szCs w:val="22"/>
        </w:rPr>
        <w:t xml:space="preserve">Cleanse Aesthetics may make use of cloud-based software and communication platforms (such as email and booking systems) that store data on servers that may be located outside the Republic of South Africa. Where this occurs, Cleanse Aesthetics takes reasonable steps to ensure that the recipient is subject to a law, binding corporate rules, or a binding agreement that provides an adequate level of protection substantially similar to POPIA.</w:t>
      </w:r>
    </w:p>
    <w:p>
      <w:pPr>
        <w:spacing w:after="80" w:before="80"/>
      </w:pPr>
      <w:r>
        <w:t xml:space="preserve"/>
      </w:r>
    </w:p>
    <w:p>
      <w:pPr>
        <w:pStyle w:val="Heading2"/>
        <w:spacing w:after="120" w:before="280"/>
      </w:pPr>
      <w:r>
        <w:rPr>
          <w:rFonts w:ascii="Arial" w:cs="Arial" w:eastAsia="Arial" w:hAnsi="Arial"/>
          <w:b/>
          <w:bCs/>
          <w:color w:val="2E75B6"/>
          <w:sz w:val="24"/>
          <w:szCs w:val="24"/>
        </w:rPr>
        <w:t xml:space="preserve">7.5 Information Security Measures</w:t>
      </w:r>
    </w:p>
    <w:p>
      <w:pPr>
        <w:spacing w:after="80" w:before="80"/>
      </w:pPr>
      <w:r>
        <w:rPr>
          <w:rFonts w:ascii="Arial" w:cs="Arial" w:eastAsia="Arial" w:hAnsi="Arial"/>
          <w:color w:val="1A1A1A"/>
          <w:sz w:val="22"/>
          <w:szCs w:val="22"/>
        </w:rPr>
        <w:t xml:space="preserve">Cleanse Aesthetics takes the security of personal information seriously and has implemented the following measures to protect personal information against loss, damage, unauthorised access, use, or disclosure:</w:t>
      </w:r>
    </w:p>
    <w:p>
      <w:pPr>
        <w:pStyle w:val="ListParagraph"/>
        <w:numPr>
          <w:ilvl w:val="0"/>
          <w:numId w:val="2"/>
        </w:numPr>
        <w:spacing w:after="60" w:before="60"/>
      </w:pPr>
      <w:r>
        <w:rPr>
          <w:rFonts w:ascii="Arial" w:cs="Arial" w:eastAsia="Arial" w:hAnsi="Arial"/>
          <w:color w:val="1A1A1A"/>
          <w:sz w:val="22"/>
          <w:szCs w:val="22"/>
        </w:rPr>
        <w:t xml:space="preserve">Access to client records is restricted to authorised employees on a need-to-know basis</w:t>
      </w:r>
    </w:p>
    <w:p>
      <w:pPr>
        <w:pStyle w:val="ListParagraph"/>
        <w:numPr>
          <w:ilvl w:val="0"/>
          <w:numId w:val="2"/>
        </w:numPr>
        <w:spacing w:after="60" w:before="60"/>
      </w:pPr>
      <w:r>
        <w:rPr>
          <w:rFonts w:ascii="Arial" w:cs="Arial" w:eastAsia="Arial" w:hAnsi="Arial"/>
          <w:color w:val="1A1A1A"/>
          <w:sz w:val="22"/>
          <w:szCs w:val="22"/>
        </w:rPr>
        <w:t xml:space="preserve">Physical records are stored securely on the premises</w:t>
      </w:r>
    </w:p>
    <w:p>
      <w:pPr>
        <w:pStyle w:val="ListParagraph"/>
        <w:numPr>
          <w:ilvl w:val="0"/>
          <w:numId w:val="2"/>
        </w:numPr>
        <w:spacing w:after="60" w:before="60"/>
      </w:pPr>
      <w:r>
        <w:rPr>
          <w:rFonts w:ascii="Arial" w:cs="Arial" w:eastAsia="Arial" w:hAnsi="Arial"/>
          <w:color w:val="1A1A1A"/>
          <w:sz w:val="22"/>
          <w:szCs w:val="22"/>
        </w:rPr>
        <w:t xml:space="preserve">Digital records are protected by password-protected systems</w:t>
      </w:r>
    </w:p>
    <w:p>
      <w:pPr>
        <w:pStyle w:val="ListParagraph"/>
        <w:numPr>
          <w:ilvl w:val="0"/>
          <w:numId w:val="2"/>
        </w:numPr>
        <w:spacing w:after="60" w:before="60"/>
      </w:pPr>
      <w:r>
        <w:rPr>
          <w:rFonts w:ascii="Arial" w:cs="Arial" w:eastAsia="Arial" w:hAnsi="Arial"/>
          <w:color w:val="1A1A1A"/>
          <w:sz w:val="22"/>
          <w:szCs w:val="22"/>
        </w:rPr>
        <w:t xml:space="preserve">Employees are required to maintain strict confidentiality of client information</w:t>
      </w:r>
    </w:p>
    <w:p>
      <w:pPr>
        <w:pStyle w:val="ListParagraph"/>
        <w:numPr>
          <w:ilvl w:val="0"/>
          <w:numId w:val="2"/>
        </w:numPr>
        <w:spacing w:after="60" w:before="60"/>
      </w:pPr>
      <w:r>
        <w:rPr>
          <w:rFonts w:ascii="Arial" w:cs="Arial" w:eastAsia="Arial" w:hAnsi="Arial"/>
          <w:color w:val="1A1A1A"/>
          <w:sz w:val="22"/>
          <w:szCs w:val="22"/>
        </w:rPr>
        <w:t xml:space="preserve">Personal information may not be accessed, used, or shared from personal devices without authorisation</w:t>
      </w:r>
    </w:p>
    <w:p>
      <w:pPr>
        <w:pStyle w:val="ListParagraph"/>
        <w:numPr>
          <w:ilvl w:val="0"/>
          <w:numId w:val="2"/>
        </w:numPr>
        <w:spacing w:after="60" w:before="60"/>
      </w:pPr>
      <w:r>
        <w:rPr>
          <w:rFonts w:ascii="Arial" w:cs="Arial" w:eastAsia="Arial" w:hAnsi="Arial"/>
          <w:color w:val="1A1A1A"/>
          <w:sz w:val="22"/>
          <w:szCs w:val="22"/>
        </w:rPr>
        <w:t xml:space="preserve">Employees are made aware of their obligations under POPIA through internal awareness training</w:t>
      </w:r>
    </w:p>
    <w:p>
      <w:pPr>
        <w:pStyle w:val="ListParagraph"/>
        <w:numPr>
          <w:ilvl w:val="0"/>
          <w:numId w:val="2"/>
        </w:numPr>
        <w:spacing w:after="60" w:before="60"/>
      </w:pPr>
      <w:r>
        <w:rPr>
          <w:rFonts w:ascii="Arial" w:cs="Arial" w:eastAsia="Arial" w:hAnsi="Arial"/>
          <w:color w:val="1A1A1A"/>
          <w:sz w:val="22"/>
          <w:szCs w:val="22"/>
        </w:rPr>
        <w:t xml:space="preserve">In the event of a security compromise, affected data subjects and the Information Regulator will be notified as required by Section 22 of POPIA</w:t>
      </w:r>
    </w:p>
    <w:p>
      <w:pPr>
        <w:spacing w:after="80" w:before="80"/>
      </w:pPr>
      <w:r>
        <w:t xml:space="preserve"/>
      </w:r>
    </w:p>
    <w:p>
      <w:pPr>
        <w:pStyle w:val="Heading1"/>
        <w:pBdr>
          <w:bottom w:val="single" w:color="2E75B6" w:sz="6" w:space="4"/>
        </w:pBdr>
        <w:spacing w:after="160" w:before="400"/>
      </w:pPr>
      <w:r>
        <w:rPr>
          <w:rFonts w:ascii="Arial" w:cs="Arial" w:eastAsia="Arial" w:hAnsi="Arial"/>
          <w:b/>
          <w:bCs/>
          <w:color w:val="1F4E79"/>
          <w:sz w:val="28"/>
          <w:szCs w:val="28"/>
        </w:rPr>
        <w:t xml:space="preserve">8. How to Request Access to Records</w:t>
      </w:r>
    </w:p>
    <w:p>
      <w:pPr>
        <w:pStyle w:val="Heading2"/>
        <w:spacing w:after="120" w:before="280"/>
      </w:pPr>
      <w:r>
        <w:rPr>
          <w:rFonts w:ascii="Arial" w:cs="Arial" w:eastAsia="Arial" w:hAnsi="Arial"/>
          <w:b/>
          <w:bCs/>
          <w:color w:val="2E75B6"/>
          <w:sz w:val="24"/>
          <w:szCs w:val="24"/>
        </w:rPr>
        <w:t xml:space="preserve">8.1 Who May Request Access</w:t>
      </w:r>
    </w:p>
    <w:p>
      <w:pPr>
        <w:spacing w:after="80" w:before="80"/>
      </w:pPr>
      <w:r>
        <w:rPr>
          <w:rFonts w:ascii="Arial" w:cs="Arial" w:eastAsia="Arial" w:hAnsi="Arial"/>
          <w:color w:val="1A1A1A"/>
          <w:sz w:val="22"/>
          <w:szCs w:val="22"/>
        </w:rPr>
        <w:t xml:space="preserve">Any person may request access to records held by Cleanse Aesthetics where:</w:t>
      </w:r>
    </w:p>
    <w:p>
      <w:pPr>
        <w:pStyle w:val="ListParagraph"/>
        <w:numPr>
          <w:ilvl w:val="0"/>
          <w:numId w:val="2"/>
        </w:numPr>
        <w:spacing w:after="60" w:before="60"/>
      </w:pPr>
      <w:r>
        <w:rPr>
          <w:rFonts w:ascii="Arial" w:cs="Arial" w:eastAsia="Arial" w:hAnsi="Arial"/>
          <w:color w:val="1A1A1A"/>
          <w:sz w:val="22"/>
          <w:szCs w:val="22"/>
        </w:rPr>
        <w:t xml:space="preserve">The record is required for the exercise or protection of a right; and</w:t>
      </w:r>
    </w:p>
    <w:p>
      <w:pPr>
        <w:pStyle w:val="ListParagraph"/>
        <w:numPr>
          <w:ilvl w:val="0"/>
          <w:numId w:val="2"/>
        </w:numPr>
        <w:spacing w:after="60" w:before="60"/>
      </w:pPr>
      <w:r>
        <w:rPr>
          <w:rFonts w:ascii="Arial" w:cs="Arial" w:eastAsia="Arial" w:hAnsi="Arial"/>
          <w:color w:val="1A1A1A"/>
          <w:sz w:val="22"/>
          <w:szCs w:val="22"/>
        </w:rPr>
        <w:t xml:space="preserve">The requester complies with all procedural requirements in terms of PAIA.</w:t>
      </w:r>
    </w:p>
    <w:p>
      <w:pPr>
        <w:spacing w:after="80" w:before="80"/>
      </w:pPr>
      <w:r>
        <w:t xml:space="preserve"/>
      </w:r>
    </w:p>
    <w:p>
      <w:pPr>
        <w:pStyle w:val="Heading2"/>
        <w:spacing w:after="120" w:before="280"/>
      </w:pPr>
      <w:r>
        <w:rPr>
          <w:rFonts w:ascii="Arial" w:cs="Arial" w:eastAsia="Arial" w:hAnsi="Arial"/>
          <w:b/>
          <w:bCs/>
          <w:color w:val="2E75B6"/>
          <w:sz w:val="24"/>
          <w:szCs w:val="24"/>
        </w:rPr>
        <w:t xml:space="preserve">8.2 How to Submit a Request</w:t>
      </w:r>
    </w:p>
    <w:p>
      <w:pPr>
        <w:spacing w:after="80" w:before="80"/>
      </w:pPr>
      <w:r>
        <w:rPr>
          <w:rFonts w:ascii="Arial" w:cs="Arial" w:eastAsia="Arial" w:hAnsi="Arial"/>
          <w:color w:val="1A1A1A"/>
          <w:sz w:val="22"/>
          <w:szCs w:val="22"/>
        </w:rPr>
        <w:t xml:space="preserve">Requests for access to records must be submitted using the prescribed Form 2 (available on the Information Regulator's website at www.inforegulator.org.za or from the Information Officer on request). The completed form must be submitted to the Information Officer at:</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Information Officer</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Briony Gulbrandsen</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Email</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briony@laserbycleanse.co.za</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Physical Address</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95 Bram Fischer Drive, Ferndale</w:t>
            </w:r>
          </w:p>
        </w:tc>
      </w:tr>
      <w:tr>
        <w:tc>
          <w:tcPr>
            <w:tcW w:type="dxa" w:w="2800"/>
            <w:tcBorders>
              <w:top w:val="single" w:color="CCCCCC" w:sz="1"/>
              <w:left w:val="single" w:color="CCCCCC" w:sz="1"/>
              <w:bottom w:val="single" w:color="CCCCCC" w:sz="1"/>
              <w:right w:val="single" w:color="CCCCCC" w:sz="1"/>
            </w:tcBorders>
            <w:shd w:fill="D6E4F0" w:val="clear"/>
            <w:tcMar>
              <w:top w:type="dxa" w:w="100"/>
              <w:left w:type="dxa" w:w="140"/>
              <w:bottom w:type="dxa" w:w="100"/>
              <w:right w:type="dxa" w:w="140"/>
            </w:tcMar>
          </w:tcPr>
          <w:p>
            <w:r>
              <w:rPr>
                <w:rFonts w:ascii="Arial" w:cs="Arial" w:eastAsia="Arial" w:hAnsi="Arial"/>
                <w:b/>
                <w:bCs/>
                <w:color w:val="1F4E79"/>
                <w:sz w:val="22"/>
                <w:szCs w:val="22"/>
              </w:rPr>
              <w:t xml:space="preserve">Telephone</w:t>
            </w:r>
          </w:p>
        </w:tc>
        <w:tc>
          <w:tcPr>
            <w:tcW w:type="dxa" w:w="65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Arial" w:cs="Arial" w:eastAsia="Arial" w:hAnsi="Arial"/>
                <w:color w:val="1A1A1A"/>
                <w:sz w:val="22"/>
                <w:szCs w:val="22"/>
              </w:rPr>
              <w:t xml:space="preserve">087 138 0019</w:t>
            </w:r>
          </w:p>
        </w:tc>
      </w:tr>
    </w:tbl>
    <w:p>
      <w:pPr>
        <w:spacing w:after="80" w:before="80"/>
      </w:pPr>
      <w:r>
        <w:t xml:space="preserve"/>
      </w:r>
    </w:p>
    <w:p>
      <w:pPr>
        <w:pStyle w:val="Heading2"/>
        <w:spacing w:after="120" w:before="280"/>
      </w:pPr>
      <w:r>
        <w:rPr>
          <w:rFonts w:ascii="Arial" w:cs="Arial" w:eastAsia="Arial" w:hAnsi="Arial"/>
          <w:b/>
          <w:bCs/>
          <w:color w:val="2E75B6"/>
          <w:sz w:val="24"/>
          <w:szCs w:val="24"/>
        </w:rPr>
        <w:t xml:space="preserve">8.3 Request Fee</w:t>
      </w:r>
    </w:p>
    <w:p>
      <w:pPr>
        <w:spacing w:after="80" w:before="80"/>
      </w:pPr>
      <w:r>
        <w:rPr>
          <w:rFonts w:ascii="Arial" w:cs="Arial" w:eastAsia="Arial" w:hAnsi="Arial"/>
          <w:color w:val="1A1A1A"/>
          <w:sz w:val="22"/>
          <w:szCs w:val="22"/>
        </w:rPr>
        <w:t xml:space="preserve">A request fee may be charged in accordance with the PAIA Regulations. The current prescribed request fee for a private body is R140.00 (subject to change in terms of the Regulations). Proof of payment must accompany the request form. Cleanse Aesthetics may waive the fee in appropriate circumstances.</w:t>
      </w:r>
    </w:p>
    <w:p>
      <w:pPr>
        <w:spacing w:after="80" w:before="80"/>
      </w:pPr>
      <w:r>
        <w:t xml:space="preserve"/>
      </w:r>
    </w:p>
    <w:p>
      <w:pPr>
        <w:spacing w:after="80" w:before="80"/>
      </w:pPr>
      <w:r>
        <w:rPr>
          <w:rFonts w:ascii="Arial" w:cs="Arial" w:eastAsia="Arial" w:hAnsi="Arial"/>
          <w:color w:val="1A1A1A"/>
          <w:sz w:val="22"/>
          <w:szCs w:val="22"/>
        </w:rPr>
        <w:t xml:space="preserve">Note: No request fee is payable where the requester is seeking access to their own personal information.</w:t>
      </w:r>
    </w:p>
    <w:p>
      <w:pPr>
        <w:spacing w:after="80" w:before="80"/>
      </w:pPr>
      <w:r>
        <w:t xml:space="preserve"/>
      </w:r>
    </w:p>
    <w:p>
      <w:pPr>
        <w:pStyle w:val="Heading2"/>
        <w:spacing w:after="120" w:before="280"/>
      </w:pPr>
      <w:r>
        <w:rPr>
          <w:rFonts w:ascii="Arial" w:cs="Arial" w:eastAsia="Arial" w:hAnsi="Arial"/>
          <w:b/>
          <w:bCs/>
          <w:color w:val="2E75B6"/>
          <w:sz w:val="24"/>
          <w:szCs w:val="24"/>
        </w:rPr>
        <w:t xml:space="preserve">8.4 Response Timeframe</w:t>
      </w:r>
    </w:p>
    <w:p>
      <w:pPr>
        <w:spacing w:after="80" w:before="80"/>
      </w:pPr>
      <w:r>
        <w:rPr>
          <w:rFonts w:ascii="Arial" w:cs="Arial" w:eastAsia="Arial" w:hAnsi="Arial"/>
          <w:color w:val="1A1A1A"/>
          <w:sz w:val="22"/>
          <w:szCs w:val="22"/>
        </w:rPr>
        <w:t xml:space="preserve">Cleanse Aesthetics will respond to a request for access to records within 30 (thirty) days of receipt of the request. This period may be extended by a further 30 days in circumstances contemplated by PAIA, in which case the requester will be notified.</w:t>
      </w:r>
    </w:p>
    <w:p>
      <w:pPr>
        <w:spacing w:after="80" w:before="80"/>
      </w:pPr>
      <w:r>
        <w:t xml:space="preserve"/>
      </w:r>
    </w:p>
    <w:p>
      <w:pPr>
        <w:pStyle w:val="Heading2"/>
        <w:spacing w:after="120" w:before="280"/>
      </w:pPr>
      <w:r>
        <w:rPr>
          <w:rFonts w:ascii="Arial" w:cs="Arial" w:eastAsia="Arial" w:hAnsi="Arial"/>
          <w:b/>
          <w:bCs/>
          <w:color w:val="2E75B6"/>
          <w:sz w:val="24"/>
          <w:szCs w:val="24"/>
        </w:rPr>
        <w:t xml:space="preserve">8.5 Grounds for Refusal</w:t>
      </w:r>
    </w:p>
    <w:p>
      <w:pPr>
        <w:spacing w:after="80" w:before="80"/>
      </w:pPr>
      <w:r>
        <w:rPr>
          <w:rFonts w:ascii="Arial" w:cs="Arial" w:eastAsia="Arial" w:hAnsi="Arial"/>
          <w:color w:val="1A1A1A"/>
          <w:sz w:val="22"/>
          <w:szCs w:val="22"/>
        </w:rPr>
        <w:t xml:space="preserve">Cleanse Aesthetics may refuse a request for access to records on the grounds set out in Chapter 4 of PAIA, including but not limited to:</w:t>
      </w:r>
    </w:p>
    <w:p>
      <w:pPr>
        <w:pStyle w:val="ListParagraph"/>
        <w:numPr>
          <w:ilvl w:val="0"/>
          <w:numId w:val="2"/>
        </w:numPr>
        <w:spacing w:after="60" w:before="60"/>
      </w:pPr>
      <w:r>
        <w:rPr>
          <w:rFonts w:ascii="Arial" w:cs="Arial" w:eastAsia="Arial" w:hAnsi="Arial"/>
          <w:color w:val="1A1A1A"/>
          <w:sz w:val="22"/>
          <w:szCs w:val="22"/>
        </w:rPr>
        <w:t xml:space="preserve">The protection of personal information of third parties;</w:t>
      </w:r>
    </w:p>
    <w:p>
      <w:pPr>
        <w:pStyle w:val="ListParagraph"/>
        <w:numPr>
          <w:ilvl w:val="0"/>
          <w:numId w:val="2"/>
        </w:numPr>
        <w:spacing w:after="60" w:before="60"/>
      </w:pPr>
      <w:r>
        <w:rPr>
          <w:rFonts w:ascii="Arial" w:cs="Arial" w:eastAsia="Arial" w:hAnsi="Arial"/>
          <w:color w:val="1A1A1A"/>
          <w:sz w:val="22"/>
          <w:szCs w:val="22"/>
        </w:rPr>
        <w:t xml:space="preserve">Commercially sensitive or confidential business information;</w:t>
      </w:r>
    </w:p>
    <w:p>
      <w:pPr>
        <w:pStyle w:val="ListParagraph"/>
        <w:numPr>
          <w:ilvl w:val="0"/>
          <w:numId w:val="2"/>
        </w:numPr>
        <w:spacing w:after="60" w:before="60"/>
      </w:pPr>
      <w:r>
        <w:rPr>
          <w:rFonts w:ascii="Arial" w:cs="Arial" w:eastAsia="Arial" w:hAnsi="Arial"/>
          <w:color w:val="1A1A1A"/>
          <w:sz w:val="22"/>
          <w:szCs w:val="22"/>
        </w:rPr>
        <w:t xml:space="preserve">Information protected by legal privilege;</w:t>
      </w:r>
    </w:p>
    <w:p>
      <w:pPr>
        <w:pStyle w:val="ListParagraph"/>
        <w:numPr>
          <w:ilvl w:val="0"/>
          <w:numId w:val="2"/>
        </w:numPr>
        <w:spacing w:after="60" w:before="60"/>
      </w:pPr>
      <w:r>
        <w:rPr>
          <w:rFonts w:ascii="Arial" w:cs="Arial" w:eastAsia="Arial" w:hAnsi="Arial"/>
          <w:color w:val="1A1A1A"/>
          <w:sz w:val="22"/>
          <w:szCs w:val="22"/>
        </w:rPr>
        <w:t xml:space="preserve">Records that could endanger the safety of individuals; and</w:t>
      </w:r>
    </w:p>
    <w:p>
      <w:pPr>
        <w:pStyle w:val="ListParagraph"/>
        <w:numPr>
          <w:ilvl w:val="0"/>
          <w:numId w:val="2"/>
        </w:numPr>
        <w:spacing w:after="60" w:before="60"/>
      </w:pPr>
      <w:r>
        <w:rPr>
          <w:rFonts w:ascii="Arial" w:cs="Arial" w:eastAsia="Arial" w:hAnsi="Arial"/>
          <w:color w:val="1A1A1A"/>
          <w:sz w:val="22"/>
          <w:szCs w:val="22"/>
        </w:rPr>
        <w:t xml:space="preserve">Records that are not required for the exercise or protection of a right.</w:t>
      </w:r>
    </w:p>
    <w:p>
      <w:pPr>
        <w:spacing w:after="80" w:before="80"/>
      </w:pPr>
      <w:r>
        <w:t xml:space="preserve"/>
      </w:r>
    </w:p>
    <w:p>
      <w:pPr>
        <w:spacing w:after="80" w:before="80"/>
      </w:pPr>
      <w:r>
        <w:rPr>
          <w:rFonts w:ascii="Arial" w:cs="Arial" w:eastAsia="Arial" w:hAnsi="Arial"/>
          <w:color w:val="1A1A1A"/>
          <w:sz w:val="22"/>
          <w:szCs w:val="22"/>
        </w:rPr>
        <w:t xml:space="preserve">Where a request is refused, the requester will be notified in writing with reasons for the refusal and may lodge a complaint with the Information Regulator.</w:t>
      </w:r>
    </w:p>
    <w:p>
      <w:pPr>
        <w:spacing w:after="80" w:before="80"/>
      </w:pPr>
      <w:r>
        <w:t xml:space="preserve"/>
      </w:r>
    </w:p>
    <w:p>
      <w:pPr>
        <w:pStyle w:val="Heading2"/>
        <w:spacing w:after="120" w:before="280"/>
      </w:pPr>
      <w:r>
        <w:rPr>
          <w:rFonts w:ascii="Arial" w:cs="Arial" w:eastAsia="Arial" w:hAnsi="Arial"/>
          <w:b/>
          <w:bCs/>
          <w:color w:val="2E75B6"/>
          <w:sz w:val="24"/>
          <w:szCs w:val="24"/>
        </w:rPr>
        <w:t xml:space="preserve">8.6 Objections and Data Subject Rights Under POPIA</w:t>
      </w:r>
    </w:p>
    <w:p>
      <w:pPr>
        <w:spacing w:after="80" w:before="80"/>
      </w:pPr>
      <w:r>
        <w:rPr>
          <w:rFonts w:ascii="Arial" w:cs="Arial" w:eastAsia="Arial" w:hAnsi="Arial"/>
          <w:color w:val="1A1A1A"/>
          <w:sz w:val="22"/>
          <w:szCs w:val="22"/>
        </w:rPr>
        <w:t xml:space="preserve">In addition to formal PAIA requests, data subjects have the following rights under POPIA, which may be exercised by contacting the Information Officer:</w:t>
      </w:r>
    </w:p>
    <w:p>
      <w:pPr>
        <w:pStyle w:val="ListParagraph"/>
        <w:numPr>
          <w:ilvl w:val="0"/>
          <w:numId w:val="2"/>
        </w:numPr>
        <w:spacing w:after="60" w:before="60"/>
      </w:pPr>
      <w:r>
        <w:rPr>
          <w:rFonts w:ascii="Arial" w:cs="Arial" w:eastAsia="Arial" w:hAnsi="Arial"/>
          <w:color w:val="1A1A1A"/>
          <w:sz w:val="22"/>
          <w:szCs w:val="22"/>
        </w:rPr>
        <w:t xml:space="preserve">The right to request access to their personal information held by Cleanse Aesthetics;</w:t>
      </w:r>
    </w:p>
    <w:p>
      <w:pPr>
        <w:pStyle w:val="ListParagraph"/>
        <w:numPr>
          <w:ilvl w:val="0"/>
          <w:numId w:val="2"/>
        </w:numPr>
        <w:spacing w:after="60" w:before="60"/>
      </w:pPr>
      <w:r>
        <w:rPr>
          <w:rFonts w:ascii="Arial" w:cs="Arial" w:eastAsia="Arial" w:hAnsi="Arial"/>
          <w:color w:val="1A1A1A"/>
          <w:sz w:val="22"/>
          <w:szCs w:val="22"/>
        </w:rPr>
        <w:t xml:space="preserve">The right to request correction or deletion of inaccurate, irrelevant, or out-of-date personal information;</w:t>
      </w:r>
    </w:p>
    <w:p>
      <w:pPr>
        <w:pStyle w:val="ListParagraph"/>
        <w:numPr>
          <w:ilvl w:val="0"/>
          <w:numId w:val="2"/>
        </w:numPr>
        <w:spacing w:after="60" w:before="60"/>
      </w:pPr>
      <w:r>
        <w:rPr>
          <w:rFonts w:ascii="Arial" w:cs="Arial" w:eastAsia="Arial" w:hAnsi="Arial"/>
          <w:color w:val="1A1A1A"/>
          <w:sz w:val="22"/>
          <w:szCs w:val="22"/>
        </w:rPr>
        <w:t xml:space="preserve">The right to object to the processing of personal information in certain circumstances;</w:t>
      </w:r>
    </w:p>
    <w:p>
      <w:pPr>
        <w:pStyle w:val="ListParagraph"/>
        <w:numPr>
          <w:ilvl w:val="0"/>
          <w:numId w:val="2"/>
        </w:numPr>
        <w:spacing w:after="60" w:before="60"/>
      </w:pPr>
      <w:r>
        <w:rPr>
          <w:rFonts w:ascii="Arial" w:cs="Arial" w:eastAsia="Arial" w:hAnsi="Arial"/>
          <w:color w:val="1A1A1A"/>
          <w:sz w:val="22"/>
          <w:szCs w:val="22"/>
        </w:rPr>
        <w:t xml:space="preserve">The right to object to the processing of personal information for direct marketing purposes; and</w:t>
      </w:r>
    </w:p>
    <w:p>
      <w:pPr>
        <w:pStyle w:val="ListParagraph"/>
        <w:numPr>
          <w:ilvl w:val="0"/>
          <w:numId w:val="2"/>
        </w:numPr>
        <w:spacing w:after="60" w:before="60"/>
      </w:pPr>
      <w:r>
        <w:rPr>
          <w:rFonts w:ascii="Arial" w:cs="Arial" w:eastAsia="Arial" w:hAnsi="Arial"/>
          <w:color w:val="1A1A1A"/>
          <w:sz w:val="22"/>
          <w:szCs w:val="22"/>
        </w:rPr>
        <w:t xml:space="preserve">The right to submit a complaint to the Information Regulator if they believe their rights under POPIA have been infringed.</w:t>
      </w:r>
    </w:p>
    <w:p>
      <w:pPr>
        <w:spacing w:after="80" w:before="80"/>
      </w:pPr>
      <w:r>
        <w:t xml:space="preserve"/>
      </w:r>
    </w:p>
    <w:p>
      <w:pPr>
        <w:pStyle w:val="Heading1"/>
        <w:pBdr>
          <w:bottom w:val="single" w:color="2E75B6" w:sz="6" w:space="4"/>
        </w:pBdr>
        <w:spacing w:after="160" w:before="400"/>
      </w:pPr>
      <w:r>
        <w:rPr>
          <w:rFonts w:ascii="Arial" w:cs="Arial" w:eastAsia="Arial" w:hAnsi="Arial"/>
          <w:b/>
          <w:bCs/>
          <w:color w:val="1F4E79"/>
          <w:sz w:val="28"/>
          <w:szCs w:val="28"/>
        </w:rPr>
        <w:t xml:space="preserve">9. Availability and Review of this Manual</w:t>
      </w:r>
    </w:p>
    <w:p>
      <w:pPr>
        <w:spacing w:after="80" w:before="80"/>
      </w:pPr>
      <w:r>
        <w:rPr>
          <w:rFonts w:ascii="Arial" w:cs="Arial" w:eastAsia="Arial" w:hAnsi="Arial"/>
          <w:color w:val="1A1A1A"/>
          <w:sz w:val="22"/>
          <w:szCs w:val="22"/>
        </w:rPr>
        <w:t xml:space="preserve">This manual is available:</w:t>
      </w:r>
    </w:p>
    <w:p>
      <w:pPr>
        <w:pStyle w:val="ListParagraph"/>
        <w:numPr>
          <w:ilvl w:val="0"/>
          <w:numId w:val="2"/>
        </w:numPr>
        <w:spacing w:after="60" w:before="60"/>
      </w:pPr>
      <w:r>
        <w:rPr>
          <w:rFonts w:ascii="Arial" w:cs="Arial" w:eastAsia="Arial" w:hAnsi="Arial"/>
          <w:color w:val="1A1A1A"/>
          <w:sz w:val="22"/>
          <w:szCs w:val="22"/>
        </w:rPr>
        <w:t xml:space="preserve">On the Cleanse Aesthetics website at www.cleanseaesthetics.co.za;</w:t>
      </w:r>
    </w:p>
    <w:p>
      <w:pPr>
        <w:pStyle w:val="ListParagraph"/>
        <w:numPr>
          <w:ilvl w:val="0"/>
          <w:numId w:val="2"/>
        </w:numPr>
        <w:spacing w:after="60" w:before="60"/>
      </w:pPr>
      <w:r>
        <w:rPr>
          <w:rFonts w:ascii="Arial" w:cs="Arial" w:eastAsia="Arial" w:hAnsi="Arial"/>
          <w:color w:val="1A1A1A"/>
          <w:sz w:val="22"/>
          <w:szCs w:val="22"/>
        </w:rPr>
        <w:t xml:space="preserve">From the Information Officer on request (a fee may be charged as determined by the Information Regulator); and</w:t>
      </w:r>
    </w:p>
    <w:p>
      <w:pPr>
        <w:pStyle w:val="ListParagraph"/>
        <w:numPr>
          <w:ilvl w:val="0"/>
          <w:numId w:val="2"/>
        </w:numPr>
        <w:spacing w:after="60" w:before="60"/>
      </w:pPr>
      <w:r>
        <w:rPr>
          <w:rFonts w:ascii="Arial" w:cs="Arial" w:eastAsia="Arial" w:hAnsi="Arial"/>
          <w:color w:val="1A1A1A"/>
          <w:sz w:val="22"/>
          <w:szCs w:val="22"/>
        </w:rPr>
        <w:t xml:space="preserve">At the registered address of Cleanse Aesthetics during business hours.</w:t>
      </w:r>
    </w:p>
    <w:p>
      <w:pPr>
        <w:spacing w:after="80" w:before="80"/>
      </w:pPr>
      <w:r>
        <w:t xml:space="preserve"/>
      </w:r>
    </w:p>
    <w:p>
      <w:pPr>
        <w:spacing w:after="80" w:before="80"/>
      </w:pPr>
      <w:r>
        <w:rPr>
          <w:rFonts w:ascii="Arial" w:cs="Arial" w:eastAsia="Arial" w:hAnsi="Arial"/>
          <w:color w:val="1A1A1A"/>
          <w:sz w:val="22"/>
          <w:szCs w:val="22"/>
        </w:rPr>
        <w:t xml:space="preserve">This manual will be reviewed and updated at least annually or whenever there is a material change in the operations, records, or processing activities of Cleanse Aesthetics. The current version is Version 1.0, dated May 2026.</w:t>
      </w:r>
    </w:p>
    <w:p>
      <w:pPr>
        <w:spacing w:after="80" w:before="80"/>
      </w:pPr>
      <w:r>
        <w:t xml:space="preserve"/>
      </w:r>
    </w:p>
    <w:p>
      <w:pPr>
        <w:spacing w:after="80" w:before="80"/>
      </w:pPr>
      <w:r>
        <w:rPr>
          <w:rFonts w:ascii="Arial" w:cs="Arial" w:eastAsia="Arial" w:hAnsi="Arial"/>
          <w:color w:val="1A1A1A"/>
          <w:sz w:val="22"/>
          <w:szCs w:val="22"/>
        </w:rPr>
        <w:t xml:space="preserve">Any queries regarding this manual should be directed to the Information Officer, Briony Gulbrandsen, at briony@laserbycleanse.co.za or 087 138 0019.</w:t>
      </w:r>
    </w:p>
    <w:p>
      <w:pPr>
        <w:spacing w:after="80" w:before="80"/>
      </w:pPr>
      <w:r>
        <w:t xml:space="preserve"/>
      </w:r>
    </w:p>
    <w:p>
      <w:pPr>
        <w:spacing w:after="80" w:before="80"/>
      </w:pPr>
      <w:r>
        <w:t xml:space="preserve"/>
      </w:r>
    </w:p>
    <w:p>
      <w:pPr>
        <w:pBdr>
          <w:top w:val="single" w:color="2E75B6" w:sz="4" w:space="4"/>
        </w:pBdr>
        <w:spacing w:after="80" w:before="200"/>
      </w:pPr>
      <w:r>
        <w:rPr>
          <w:rFonts w:ascii="Arial" w:cs="Arial" w:eastAsia="Arial" w:hAnsi="Arial"/>
          <w:b/>
          <w:bCs/>
          <w:color w:val="1F4E79"/>
          <w:sz w:val="22"/>
          <w:szCs w:val="22"/>
        </w:rPr>
        <w:t xml:space="preserve">Approved by Information Officer</w:t>
      </w:r>
    </w:p>
    <w:p>
      <w:pPr>
        <w:spacing w:after="80" w:before="80"/>
      </w:pPr>
      <w:r>
        <w:t xml:space="preserve"/>
      </w:r>
    </w:p>
    <w:p>
      <w:pPr>
        <w:spacing w:after="80" w:before="80"/>
      </w:pPr>
      <w:r>
        <w:rPr>
          <w:rFonts w:ascii="Arial" w:cs="Arial" w:eastAsia="Arial" w:hAnsi="Arial"/>
          <w:b/>
          <w:bCs/>
          <w:color w:val="1A1A1A"/>
          <w:sz w:val="22"/>
          <w:szCs w:val="22"/>
        </w:rPr>
        <w:t xml:space="preserve">Name: </w:t>
      </w:r>
      <w:r>
        <w:rPr>
          <w:rFonts w:ascii="Arial" w:cs="Arial" w:eastAsia="Arial" w:hAnsi="Arial"/>
          <w:color w:val="1A1A1A"/>
          <w:sz w:val="22"/>
          <w:szCs w:val="22"/>
        </w:rPr>
        <w:t xml:space="preserve">Briony Gulbrandsen</w:t>
      </w:r>
    </w:p>
    <w:p>
      <w:pPr>
        <w:spacing w:after="80" w:before="80"/>
      </w:pPr>
      <w:r>
        <w:rPr>
          <w:rFonts w:ascii="Arial" w:cs="Arial" w:eastAsia="Arial" w:hAnsi="Arial"/>
          <w:b/>
          <w:bCs/>
          <w:color w:val="1A1A1A"/>
          <w:sz w:val="22"/>
          <w:szCs w:val="22"/>
        </w:rPr>
        <w:t xml:space="preserve">Designation: </w:t>
      </w:r>
      <w:r>
        <w:rPr>
          <w:rFonts w:ascii="Arial" w:cs="Arial" w:eastAsia="Arial" w:hAnsi="Arial"/>
          <w:color w:val="1A1A1A"/>
          <w:sz w:val="22"/>
          <w:szCs w:val="22"/>
        </w:rPr>
        <w:t xml:space="preserve">Information Officer — Vitashop CC t/a Cleanse Aesthetics</w:t>
      </w:r>
    </w:p>
    <w:p>
      <w:pPr>
        <w:spacing w:after="80" w:before="80"/>
      </w:pPr>
      <w:r>
        <w:rPr>
          <w:rFonts w:ascii="Arial" w:cs="Arial" w:eastAsia="Arial" w:hAnsi="Arial"/>
          <w:b/>
          <w:bCs/>
          <w:color w:val="1A1A1A"/>
          <w:sz w:val="22"/>
          <w:szCs w:val="22"/>
        </w:rPr>
        <w:t xml:space="preserve">Date: </w:t>
      </w:r>
      <w:r>
        <w:rPr>
          <w:rFonts w:ascii="Arial" w:cs="Arial" w:eastAsia="Arial" w:hAnsi="Arial"/>
          <w:color w:val="1A1A1A"/>
          <w:sz w:val="22"/>
          <w:szCs w:val="22"/>
        </w:rPr>
        <w:t xml:space="preserve">____________________________</w:t>
      </w:r>
    </w:p>
    <w:p>
      <w:pPr>
        <w:spacing w:after="80" w:before="80"/>
      </w:pPr>
      <w:r>
        <w:rPr>
          <w:rFonts w:ascii="Arial" w:cs="Arial" w:eastAsia="Arial" w:hAnsi="Arial"/>
          <w:b/>
          <w:bCs/>
          <w:color w:val="1A1A1A"/>
          <w:sz w:val="22"/>
          <w:szCs w:val="22"/>
        </w:rPr>
        <w:t xml:space="preserve">Signature: </w:t>
      </w:r>
      <w:r>
        <w:rPr>
          <w:rFonts w:ascii="Arial" w:cs="Arial" w:eastAsia="Arial" w:hAnsi="Arial"/>
          <w:color w:val="1A1A1A"/>
          <w:sz w:val="22"/>
          <w:szCs w:val="22"/>
        </w:rPr>
        <w:t xml:space="preserve">____________________________</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75B6" w:sz="4" w:space="4"/>
      </w:pBdr>
      <w:tabs>
        <w:tab w:val="right" w:pos="9026"/>
      </w:tabs>
      <w:spacing w:before="80"/>
    </w:pPr>
    <w:r>
      <w:rPr>
        <w:rFonts w:ascii="Arial" w:cs="Arial" w:eastAsia="Arial" w:hAnsi="Arial"/>
        <w:color w:val="999999"/>
        <w:sz w:val="18"/>
        <w:szCs w:val="18"/>
      </w:rPr>
      <w:t xml:space="preserve">Vitashop CC t/a Cleanse Aesthetics  |  Version 1.0  |  May 2026</w:t>
    </w:r>
    <w:r>
      <w:rPr>
        <w:rFonts w:ascii="Arial" w:cs="Arial" w:eastAsia="Arial" w:hAnsi="Arial"/>
        <w:color w:val="999999"/>
        <w:sz w:val="18"/>
        <w:szCs w:val="18"/>
      </w:rPr>
      <w:t xml:space="preserve">	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6" w:space="4"/>
      </w:pBdr>
      <w:spacing w:after="120"/>
    </w:pPr>
    <w:r>
      <w:rPr>
        <w:rFonts w:ascii="Arial" w:cs="Arial" w:eastAsia="Arial" w:hAnsi="Arial"/>
        <w:color w:val="2E75B6"/>
        <w:sz w:val="18"/>
        <w:szCs w:val="18"/>
      </w:rPr>
      <w:t xml:space="preserve">Cleanse Aesthetics  |  PAIA Manual</w:t>
    </w:r>
    <w:r>
      <w:rPr>
        <w:rFonts w:ascii="Arial" w:cs="Arial" w:eastAsia="Arial" w:hAnsi="Arial"/>
        <w:color w:val="999999"/>
        <w:sz w:val="18"/>
        <w:szCs w:val="18"/>
      </w:rPr>
      <w:t xml:space="preserve">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1F4E79"/>
      <w:sz w:val="28"/>
      <w:szCs w:val="28"/>
    </w:rPr>
  </w:style>
  <w:style w:type="paragraph" w:styleId="Heading2">
    <w:name w:val="Heading 2"/>
    <w:basedOn w:val="Normal"/>
    <w:next w:val="Normal"/>
    <w:qFormat/>
    <w:pPr>
      <w:spacing w:after="120" w:before="280"/>
      <w:outlineLvl w:val="1"/>
    </w:pPr>
    <w:rPr>
      <w:rFonts w:ascii="Arial" w:cs="Arial" w:eastAsia="Arial" w:hAnsi="Arial"/>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2026-05-05T05:56:23.127Z</dcterms:created>
  <dcterms:modified xsi:type="dcterms:W3CDTF">2026-05-05T05:56:23.128Z</dcterms:modified>
</cp:coreProperties>
</file>

<file path=docProps/custom.xml><?xml version="1.0" encoding="utf-8"?>
<Properties xmlns="http://schemas.openxmlformats.org/officeDocument/2006/custom-properties" xmlns:vt="http://schemas.openxmlformats.org/officeDocument/2006/docPropsVTypes"/>
</file>