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6D71C" w14:textId="49EEDD5A" w:rsidR="004914F7" w:rsidRDefault="009D046A" w:rsidP="007463B6">
      <w:pPr>
        <w:spacing w:after="0" w:line="360" w:lineRule="auto"/>
        <w:rPr>
          <w:rFonts w:ascii="Times New Roman" w:hAnsi="Times New Roman" w:cs="Times New Roman"/>
        </w:rPr>
      </w:pPr>
      <w:r>
        <w:rPr>
          <w:rFonts w:ascii="Times New Roman" w:hAnsi="Times New Roman" w:cs="Times New Roman"/>
          <w:b/>
          <w:bCs/>
        </w:rPr>
        <w:t>Explainable Machine Learning Valuation in Thin Housing Markets: Evidence from Newcastle upon Tyne and Sunderland, England</w:t>
      </w:r>
      <w:r>
        <w:rPr>
          <w:rFonts w:ascii="Times New Roman" w:hAnsi="Times New Roman" w:cs="Times New Roman"/>
        </w:rPr>
        <w:br/>
      </w:r>
      <w:r>
        <w:rPr>
          <w:rFonts w:ascii="Times New Roman" w:hAnsi="Times New Roman" w:cs="Times New Roman"/>
          <w:b/>
          <w:bCs/>
        </w:rPr>
        <w:t>Dr Victor Joes Obasse</w:t>
      </w:r>
      <w:r>
        <w:rPr>
          <w:rFonts w:ascii="Times New Roman" w:hAnsi="Times New Roman" w:cs="Times New Roman"/>
        </w:rPr>
        <w:t xml:space="preserve"> </w:t>
      </w:r>
    </w:p>
    <w:p w14:paraId="76C0A1E2" w14:textId="25374A09" w:rsidR="007463B6" w:rsidRDefault="007463B6" w:rsidP="007463B6">
      <w:pPr>
        <w:spacing w:after="0" w:line="360" w:lineRule="auto"/>
        <w:rPr>
          <w:rFonts w:ascii="Times New Roman" w:hAnsi="Times New Roman" w:cs="Times New Roman"/>
        </w:rPr>
      </w:pPr>
      <w:r>
        <w:rPr>
          <w:rFonts w:ascii="Times New Roman" w:hAnsi="Times New Roman" w:cs="Times New Roman"/>
        </w:rPr>
        <w:t>Lakeshore Management College</w:t>
      </w:r>
      <w:r>
        <w:rPr>
          <w:rFonts w:ascii="Times New Roman" w:hAnsi="Times New Roman" w:cs="Times New Roman"/>
        </w:rPr>
        <w:br/>
        <w:t xml:space="preserve">Corresponding author: </w:t>
      </w:r>
      <w:hyperlink r:id="rId4" w:history="1">
        <w:r w:rsidR="00F460C6" w:rsidRPr="00BA4A43">
          <w:rPr>
            <w:rStyle w:val="Hyperlink"/>
            <w:rFonts w:ascii="Times New Roman" w:hAnsi="Times New Roman" w:cs="Times New Roman"/>
          </w:rPr>
          <w:t>victorobasse@gmail.com</w:t>
        </w:r>
      </w:hyperlink>
    </w:p>
    <w:p w14:paraId="69A9D644" w14:textId="3845C3AB" w:rsidR="00F460C6" w:rsidRDefault="00F460C6" w:rsidP="008643CA">
      <w:pPr>
        <w:spacing w:line="360" w:lineRule="auto"/>
        <w:rPr>
          <w:rFonts w:ascii="Times New Roman" w:hAnsi="Times New Roman" w:cs="Times New Roman"/>
        </w:rPr>
      </w:pPr>
      <w:hyperlink r:id="rId5" w:history="1">
        <w:r w:rsidRPr="00BA4A43">
          <w:rPr>
            <w:rStyle w:val="Hyperlink"/>
            <w:rFonts w:ascii="Times New Roman" w:hAnsi="Times New Roman" w:cs="Times New Roman"/>
          </w:rPr>
          <w:t>https://orcid.org/0009-0002-3477-0946</w:t>
        </w:r>
      </w:hyperlink>
    </w:p>
    <w:p w14:paraId="0118C2E2" w14:textId="664E6C9E" w:rsidR="007463B6" w:rsidRDefault="00413825" w:rsidP="008643CA">
      <w:pPr>
        <w:spacing w:line="360" w:lineRule="auto"/>
        <w:rPr>
          <w:rFonts w:ascii="Times New Roman" w:hAnsi="Times New Roman" w:cs="Times New Roman"/>
        </w:rPr>
      </w:pPr>
      <w:r>
        <w:rPr>
          <w:rFonts w:ascii="Times New Roman" w:hAnsi="Times New Roman" w:cs="Times New Roman"/>
        </w:rPr>
        <w:br/>
      </w:r>
      <w:r>
        <w:rPr>
          <w:rFonts w:ascii="Times New Roman" w:hAnsi="Times New Roman" w:cs="Times New Roman"/>
          <w:b/>
          <w:bCs/>
        </w:rPr>
        <w:t>Abstract</w:t>
      </w:r>
      <w:r>
        <w:rPr>
          <w:rFonts w:ascii="Times New Roman" w:hAnsi="Times New Roman" w:cs="Times New Roman"/>
        </w:rPr>
        <w:br/>
        <w:t xml:space="preserve">This study tests how accurately open British transaction data can value homes in two thin, lower priced housing markets, and whether machine learning improves on standard methods without bias against cheaper homes. Using 51,899 standard residential sales in Newcastle upon Tyne and Sunderland from HM Land Registry Price Paid Data for 2018 to 2024, it compares a comparable sales baseline, a fixed effects hedonic regression, a random forest, gradient boosting and an ensemble. Every feature is built only from earlier sales, and the models are tested on all 6,857 sales of 2024 with a quarterly rolling origin. The ensemble achieved a median absolute percentage error of 12.6 per cent, against 20.6 per cent for the hedonic regression, and valued 41.4 per cent of homes within 10 per cent of the price. Accuracy rested mainly on the price history of the postcode unit, the street and the dwelling’s own previous sale, and held up where local comparables were scarce. Grouped by sale price, all models overvalued the cheapest </w:t>
      </w:r>
      <w:proofErr w:type="gramStart"/>
      <w:r>
        <w:rPr>
          <w:rFonts w:ascii="Times New Roman" w:hAnsi="Times New Roman" w:cs="Times New Roman"/>
        </w:rPr>
        <w:t>homes, but</w:t>
      </w:r>
      <w:proofErr w:type="gramEnd"/>
      <w:r>
        <w:rPr>
          <w:rFonts w:ascii="Times New Roman" w:hAnsi="Times New Roman" w:cs="Times New Roman"/>
        </w:rPr>
        <w:t xml:space="preserve"> grouped by predicted value the ensemble’s ratios stayed between 0.98 and 1.01. Bank Rate added no accuracy. Without floor area or condition data, the models suit screening rather than lending decisions on their own.</w:t>
      </w:r>
    </w:p>
    <w:p w14:paraId="3DBBD73C" w14:textId="6A3CE9B8" w:rsidR="007463B6" w:rsidRDefault="00413825" w:rsidP="008643CA">
      <w:pPr>
        <w:spacing w:line="360" w:lineRule="auto"/>
        <w:rPr>
          <w:rFonts w:ascii="Times New Roman" w:hAnsi="Times New Roman" w:cs="Times New Roman"/>
        </w:rPr>
      </w:pPr>
      <w:r>
        <w:rPr>
          <w:rFonts w:ascii="Times New Roman" w:hAnsi="Times New Roman" w:cs="Times New Roman"/>
        </w:rPr>
        <w:br/>
      </w:r>
      <w:r>
        <w:rPr>
          <w:rFonts w:ascii="Times New Roman" w:hAnsi="Times New Roman" w:cs="Times New Roman"/>
          <w:b/>
          <w:bCs/>
        </w:rPr>
        <w:t>Keywords:</w:t>
      </w:r>
      <w:r>
        <w:rPr>
          <w:rFonts w:ascii="Times New Roman" w:hAnsi="Times New Roman" w:cs="Times New Roman"/>
        </w:rPr>
        <w:t xml:space="preserve"> automated valuation models; machine learning; hedonic pricing; vertical equity; thin housing markets; HM Land Registry; Newcastle upon Tyne; Sunderland; </w:t>
      </w:r>
      <w:proofErr w:type="spellStart"/>
      <w:r>
        <w:rPr>
          <w:rFonts w:ascii="Times New Roman" w:hAnsi="Times New Roman" w:cs="Times New Roman"/>
        </w:rPr>
        <w:t>ValuInsight</w:t>
      </w:r>
      <w:proofErr w:type="spellEnd"/>
      <w:r>
        <w:rPr>
          <w:rFonts w:ascii="Times New Roman" w:hAnsi="Times New Roman" w:cs="Times New Roman"/>
        </w:rPr>
        <w:t xml:space="preserve"> AI</w:t>
      </w:r>
      <w:r>
        <w:rPr>
          <w:rFonts w:ascii="Times New Roman" w:hAnsi="Times New Roman" w:cs="Times New Roman"/>
        </w:rPr>
        <w:br/>
      </w:r>
      <w:r>
        <w:rPr>
          <w:rFonts w:ascii="Times New Roman" w:hAnsi="Times New Roman" w:cs="Times New Roman"/>
        </w:rPr>
        <w:br/>
      </w:r>
      <w:r>
        <w:rPr>
          <w:rFonts w:ascii="Times New Roman" w:hAnsi="Times New Roman" w:cs="Times New Roman"/>
          <w:b/>
          <w:bCs/>
        </w:rPr>
        <w:t>1. Introduction</w:t>
      </w:r>
      <w:r>
        <w:rPr>
          <w:rFonts w:ascii="Times New Roman" w:hAnsi="Times New Roman" w:cs="Times New Roman"/>
        </w:rPr>
        <w:br/>
        <w:t>Residential property is the largest asset most British households own, and a valuation stands behind almost every purchase, remortgage and secured loan. Lenders use automated valuation models (AVMs) for many lower risk decisions, such as remortgages at modest loan to value, yet the evidence on how well these models perform is mostly private. Vendors publish headline accuracy figures, but rarely the data, the test design or the errors broken down by the kinds of property where models struggle.</w:t>
      </w:r>
      <w:r>
        <w:rPr>
          <w:rFonts w:ascii="Times New Roman" w:hAnsi="Times New Roman" w:cs="Times New Roman"/>
        </w:rPr>
        <w:br/>
      </w:r>
      <w:r>
        <w:rPr>
          <w:rFonts w:ascii="Times New Roman" w:hAnsi="Times New Roman" w:cs="Times New Roman"/>
        </w:rPr>
        <w:lastRenderedPageBreak/>
        <w:t xml:space="preserve">That gap matters most outside London and the </w:t>
      </w:r>
      <w:proofErr w:type="gramStart"/>
      <w:r>
        <w:rPr>
          <w:rFonts w:ascii="Times New Roman" w:hAnsi="Times New Roman" w:cs="Times New Roman"/>
        </w:rPr>
        <w:t>South East</w:t>
      </w:r>
      <w:proofErr w:type="gramEnd"/>
      <w:r>
        <w:rPr>
          <w:rFonts w:ascii="Times New Roman" w:hAnsi="Times New Roman" w:cs="Times New Roman"/>
        </w:rPr>
        <w:t xml:space="preserve">. Cities such as Newcastle upon Tyne and Sunderland have lower price levels, a high share of terraced housing and many postcode sectors with only a handful of sales </w:t>
      </w:r>
      <w:proofErr w:type="gramStart"/>
      <w:r>
        <w:rPr>
          <w:rFonts w:ascii="Times New Roman" w:hAnsi="Times New Roman" w:cs="Times New Roman"/>
        </w:rPr>
        <w:t>in a given year</w:t>
      </w:r>
      <w:proofErr w:type="gramEnd"/>
      <w:r>
        <w:rPr>
          <w:rFonts w:ascii="Times New Roman" w:hAnsi="Times New Roman" w:cs="Times New Roman"/>
        </w:rPr>
        <w:t>. In such thin markets the sales comparison approach has few comparables to work with. A fixed error in pounds also becomes a large error in percentage terms when the property is cheap. The result can be valuations that are least reliable for the households with the least housing wealth, a pattern assessors call vertical inequity (IAAO, 2013; McMillen and Singh, 2020).</w:t>
      </w:r>
      <w:r>
        <w:rPr>
          <w:rFonts w:ascii="Times New Roman" w:hAnsi="Times New Roman" w:cs="Times New Roman"/>
        </w:rPr>
        <w:br/>
        <w:t>This study asks how far an open, reproducible valuation pipeline built only on public British data can go in these two markets. It addresses five questions:</w:t>
      </w:r>
      <w:r>
        <w:rPr>
          <w:rFonts w:ascii="Times New Roman" w:hAnsi="Times New Roman" w:cs="Times New Roman"/>
        </w:rPr>
        <w:br/>
        <w:t>1. How accurate are valuation models for Newcastle upon Tyne and Sunderland when tested strictly out of time, on sales the models could not have seen?</w:t>
      </w:r>
      <w:r>
        <w:rPr>
          <w:rFonts w:ascii="Times New Roman" w:hAnsi="Times New Roman" w:cs="Times New Roman"/>
        </w:rPr>
        <w:br/>
        <w:t xml:space="preserve">2. Do </w:t>
      </w:r>
      <w:proofErr w:type="gramStart"/>
      <w:r>
        <w:rPr>
          <w:rFonts w:ascii="Times New Roman" w:hAnsi="Times New Roman" w:cs="Times New Roman"/>
        </w:rPr>
        <w:t>tree based</w:t>
      </w:r>
      <w:proofErr w:type="gramEnd"/>
      <w:r>
        <w:rPr>
          <w:rFonts w:ascii="Times New Roman" w:hAnsi="Times New Roman" w:cs="Times New Roman"/>
        </w:rPr>
        <w:t xml:space="preserve"> machine learning methods outperform a fixed effects hedonic regression and a simple sales comparison benchmark?</w:t>
      </w:r>
      <w:r>
        <w:rPr>
          <w:rFonts w:ascii="Times New Roman" w:hAnsi="Times New Roman" w:cs="Times New Roman"/>
        </w:rPr>
        <w:br/>
        <w:t>3. Where do errors concentrate, by district, property type, price band and the depth of the local market?</w:t>
      </w:r>
      <w:r>
        <w:rPr>
          <w:rFonts w:ascii="Times New Roman" w:hAnsi="Times New Roman" w:cs="Times New Roman"/>
        </w:rPr>
        <w:br/>
        <w:t>4. Does adding the Bank of England Bank Rate improve short horizon accuracy?</w:t>
      </w:r>
      <w:r>
        <w:rPr>
          <w:rFonts w:ascii="Times New Roman" w:hAnsi="Times New Roman" w:cs="Times New Roman"/>
        </w:rPr>
        <w:br/>
        <w:t>5. Which inputs drive the predictions, and are they economically sensible?</w:t>
      </w:r>
    </w:p>
    <w:p w14:paraId="32B32CDE" w14:textId="1ECD08A8" w:rsidR="007463B6" w:rsidRDefault="00413825" w:rsidP="008643CA">
      <w:pPr>
        <w:spacing w:line="360" w:lineRule="auto"/>
        <w:rPr>
          <w:rFonts w:ascii="Times New Roman" w:hAnsi="Times New Roman" w:cs="Times New Roman"/>
          <w:b/>
          <w:bCs/>
        </w:rPr>
      </w:pPr>
      <w:r>
        <w:rPr>
          <w:rFonts w:ascii="Times New Roman" w:hAnsi="Times New Roman" w:cs="Times New Roman"/>
        </w:rPr>
        <w:t xml:space="preserve">The paper makes three contributions. First, it reports a complete validation on 51,899 standard residential sales recorded by HM Land Registry between 2018 and 2024, with every feature built only from sales that preceded the one being valued. Second, it reports accuracy alongside the ratio study measures used by assessors, so that vertical equity is measured rather than asserted. Third, it makes the full analysis code available, so that each figure in the paper can be reproduced from the public data. The method evaluated here underpins the </w:t>
      </w:r>
      <w:proofErr w:type="spellStart"/>
      <w:r>
        <w:rPr>
          <w:rFonts w:ascii="Times New Roman" w:hAnsi="Times New Roman" w:cs="Times New Roman"/>
        </w:rPr>
        <w:t>ValuInsight</w:t>
      </w:r>
      <w:proofErr w:type="spellEnd"/>
      <w:r>
        <w:rPr>
          <w:rFonts w:ascii="Times New Roman" w:hAnsi="Times New Roman" w:cs="Times New Roman"/>
        </w:rPr>
        <w:t xml:space="preserve"> AI prototype developed by the author; the paper assesses that method on evidence and does not rely on any claim made for the product.</w:t>
      </w:r>
    </w:p>
    <w:p w14:paraId="2039300B" w14:textId="4CF4D7C8" w:rsidR="007463B6" w:rsidRDefault="00413825" w:rsidP="008643CA">
      <w:pPr>
        <w:spacing w:line="360" w:lineRule="auto"/>
        <w:rPr>
          <w:rFonts w:ascii="Times New Roman" w:hAnsi="Times New Roman" w:cs="Times New Roman"/>
          <w:b/>
          <w:bCs/>
        </w:rPr>
      </w:pPr>
      <w:r>
        <w:rPr>
          <w:rFonts w:ascii="Times New Roman" w:hAnsi="Times New Roman" w:cs="Times New Roman"/>
          <w:b/>
          <w:bCs/>
        </w:rPr>
        <w:t>2. Literature review</w:t>
      </w:r>
      <w:r>
        <w:rPr>
          <w:rFonts w:ascii="Times New Roman" w:hAnsi="Times New Roman" w:cs="Times New Roman"/>
        </w:rPr>
        <w:br/>
      </w:r>
      <w:r>
        <w:rPr>
          <w:rFonts w:ascii="Times New Roman" w:hAnsi="Times New Roman" w:cs="Times New Roman"/>
          <w:b/>
          <w:bCs/>
        </w:rPr>
        <w:t>2.1 Hedonic theory and its British evidence</w:t>
      </w:r>
      <w:r>
        <w:rPr>
          <w:rFonts w:ascii="Times New Roman" w:hAnsi="Times New Roman" w:cs="Times New Roman"/>
        </w:rPr>
        <w:br/>
        <w:t>Hedonic pricing treats a dwelling as a bundle of characteristics, each with an implicit price revealed by market transactions (Rosen, 1974). Reviews of several hundred applications show that size, age, type and location explain most of the variation in residential prices, while the functional form and the treatment of location drive much of the difference between studies (Malpezzi, 2003; Sirmans, Macpherson and Zietz, 2005). Hill (2013) shows how the same framework supports price indices that control for changes in the mix of homes sold.</w:t>
      </w:r>
      <w:r>
        <w:rPr>
          <w:rFonts w:ascii="Times New Roman" w:hAnsi="Times New Roman" w:cs="Times New Roman"/>
        </w:rPr>
        <w:br/>
      </w:r>
      <w:r>
        <w:rPr>
          <w:rFonts w:ascii="Times New Roman" w:hAnsi="Times New Roman" w:cs="Times New Roman"/>
        </w:rPr>
        <w:lastRenderedPageBreak/>
        <w:t>British studies have used the approach to price specific amenities. Cheshire and Sheppard (1995) valued land and neighbourhood attributes in Reading and Darlington. Gibbons and Machin (2003, 2005) priced access to good primary schools and to new rail stations in England. Fuerst et al. (2015) linked Energy Performance Certificate ratings to Land Registry transactions and found a price premium for more efficient homes. These papers share a lesson relevant here: location effects are large and local, often varying between neighbouring postcode sectors.</w:t>
      </w:r>
    </w:p>
    <w:p w14:paraId="6F9512FE" w14:textId="450689B1" w:rsidR="007463B6" w:rsidRDefault="00413825" w:rsidP="008643CA">
      <w:pPr>
        <w:spacing w:line="360" w:lineRule="auto"/>
        <w:rPr>
          <w:rFonts w:ascii="Times New Roman" w:hAnsi="Times New Roman" w:cs="Times New Roman"/>
          <w:b/>
          <w:bCs/>
        </w:rPr>
      </w:pPr>
      <w:r>
        <w:rPr>
          <w:rFonts w:ascii="Times New Roman" w:hAnsi="Times New Roman" w:cs="Times New Roman"/>
          <w:b/>
          <w:bCs/>
        </w:rPr>
        <w:t>2.2 Repeat sales and comparable sales</w:t>
      </w:r>
      <w:r>
        <w:rPr>
          <w:rFonts w:ascii="Times New Roman" w:hAnsi="Times New Roman" w:cs="Times New Roman"/>
        </w:rPr>
        <w:br/>
        <w:t>A second tradition uses dwellings that sell more than once, so that fixed characteristics cancel out (Bailey, Muth and Nourse, 1963; Case and Shiller, 1989). Repeat sales methods are powerful when a property has a recent sale, but most dwellings in any short window have none. Practitioners rely instead on comparable sales, which work well in deep, uniform markets and poorly in thin ones. Spatial methods that borrow strength from nearby sales can reduce this problem (Bourassa, Cantoni and Hoesli, 2010).</w:t>
      </w:r>
    </w:p>
    <w:p w14:paraId="0D7C2107" w14:textId="6E0BCC74" w:rsidR="007463B6" w:rsidRDefault="00413825" w:rsidP="008643CA">
      <w:pPr>
        <w:spacing w:line="360" w:lineRule="auto"/>
        <w:rPr>
          <w:rFonts w:ascii="Times New Roman" w:hAnsi="Times New Roman" w:cs="Times New Roman"/>
          <w:b/>
          <w:bCs/>
        </w:rPr>
      </w:pPr>
      <w:r>
        <w:rPr>
          <w:rFonts w:ascii="Times New Roman" w:hAnsi="Times New Roman" w:cs="Times New Roman"/>
          <w:b/>
          <w:bCs/>
        </w:rPr>
        <w:t>2.3 Machine learning and automated valuation</w:t>
      </w:r>
      <w:r>
        <w:rPr>
          <w:rFonts w:ascii="Times New Roman" w:hAnsi="Times New Roman" w:cs="Times New Roman"/>
        </w:rPr>
        <w:br/>
        <w:t>Tree ensembles such as random forests (</w:t>
      </w:r>
      <w:proofErr w:type="spellStart"/>
      <w:r>
        <w:rPr>
          <w:rFonts w:ascii="Times New Roman" w:hAnsi="Times New Roman" w:cs="Times New Roman"/>
        </w:rPr>
        <w:t>Breiman</w:t>
      </w:r>
      <w:proofErr w:type="spellEnd"/>
      <w:r>
        <w:rPr>
          <w:rFonts w:ascii="Times New Roman" w:hAnsi="Times New Roman" w:cs="Times New Roman"/>
        </w:rPr>
        <w:t xml:space="preserve">, 2001) and gradient boosting (Friedman, 2001; Chen and Guestrin, 2016; Ke et al., 2017) capture </w:t>
      </w:r>
      <w:proofErr w:type="spellStart"/>
      <w:proofErr w:type="gramStart"/>
      <w:r>
        <w:rPr>
          <w:rFonts w:ascii="Times New Roman" w:hAnsi="Times New Roman" w:cs="Times New Roman"/>
        </w:rPr>
        <w:t>non linear</w:t>
      </w:r>
      <w:proofErr w:type="spellEnd"/>
      <w:proofErr w:type="gramEnd"/>
      <w:r>
        <w:rPr>
          <w:rFonts w:ascii="Times New Roman" w:hAnsi="Times New Roman" w:cs="Times New Roman"/>
        </w:rPr>
        <w:t xml:space="preserve"> effects and interactions without the analyst specifying them. Antipov and </w:t>
      </w:r>
      <w:proofErr w:type="spellStart"/>
      <w:r>
        <w:rPr>
          <w:rFonts w:ascii="Times New Roman" w:hAnsi="Times New Roman" w:cs="Times New Roman"/>
        </w:rPr>
        <w:t>Pokryshevskaya</w:t>
      </w:r>
      <w:proofErr w:type="spellEnd"/>
      <w:r>
        <w:rPr>
          <w:rFonts w:ascii="Times New Roman" w:hAnsi="Times New Roman" w:cs="Times New Roman"/>
        </w:rPr>
        <w:t xml:space="preserve"> (2012) found random forests outperformed several alternatives for mass appraisal of apartments. Mayer et al. (2019) compared six methods on about 123,000 Swiss sales, judging both accuracy and the stability of valuations over time; gradient boosting with expanding training windows was among their preferred methods, alongside robust and mixed effects regression. Kok, Koponen and Martínez Barbosa (2017) set out how such models move valuation from manual appraisal towards automated systems, and Glumac and Des </w:t>
      </w:r>
      <w:proofErr w:type="spellStart"/>
      <w:r>
        <w:rPr>
          <w:rFonts w:ascii="Times New Roman" w:hAnsi="Times New Roman" w:cs="Times New Roman"/>
        </w:rPr>
        <w:t>Rosiers</w:t>
      </w:r>
      <w:proofErr w:type="spellEnd"/>
      <w:r>
        <w:rPr>
          <w:rFonts w:ascii="Times New Roman" w:hAnsi="Times New Roman" w:cs="Times New Roman"/>
        </w:rPr>
        <w:t xml:space="preserve"> (2021) summarise the advantages and limits of AVMs for practice.</w:t>
      </w:r>
      <w:r>
        <w:rPr>
          <w:rFonts w:ascii="Times New Roman" w:hAnsi="Times New Roman" w:cs="Times New Roman"/>
        </w:rPr>
        <w:br/>
        <w:t>Two cautions run through this work. First, results depend heavily on the test design. Random splits let a model learn from sales that happened after the one it values, which inflates accuracy relative to real use (Mullainathan and Spiess, 2017). Second, a single headline error figure says little. Steurer, Hill and Pfeifer (2021) argue for a battery of metrics, including the share of valuations within 10 and 20 per cent of the price, and for reporting error by segment.</w:t>
      </w:r>
    </w:p>
    <w:p w14:paraId="43FCDC47" w14:textId="569B5E77" w:rsidR="007463B6" w:rsidRDefault="00413825" w:rsidP="008643CA">
      <w:pPr>
        <w:spacing w:line="360" w:lineRule="auto"/>
        <w:rPr>
          <w:rFonts w:ascii="Times New Roman" w:hAnsi="Times New Roman" w:cs="Times New Roman"/>
          <w:b/>
          <w:bCs/>
        </w:rPr>
      </w:pPr>
      <w:r>
        <w:rPr>
          <w:rFonts w:ascii="Times New Roman" w:hAnsi="Times New Roman" w:cs="Times New Roman"/>
          <w:b/>
          <w:bCs/>
        </w:rPr>
        <w:t>2.4 Explainability and fairness</w:t>
      </w:r>
      <w:r>
        <w:rPr>
          <w:rFonts w:ascii="Times New Roman" w:hAnsi="Times New Roman" w:cs="Times New Roman"/>
        </w:rPr>
        <w:br/>
        <w:t xml:space="preserve">Opaque models raise concerns about accountability in </w:t>
      </w:r>
      <w:proofErr w:type="gramStart"/>
      <w:r>
        <w:rPr>
          <w:rFonts w:ascii="Times New Roman" w:hAnsi="Times New Roman" w:cs="Times New Roman"/>
        </w:rPr>
        <w:t>high stakes</w:t>
      </w:r>
      <w:proofErr w:type="gramEnd"/>
      <w:r>
        <w:rPr>
          <w:rFonts w:ascii="Times New Roman" w:hAnsi="Times New Roman" w:cs="Times New Roman"/>
        </w:rPr>
        <w:t xml:space="preserve"> decisions, and some argue </w:t>
      </w:r>
      <w:r>
        <w:rPr>
          <w:rFonts w:ascii="Times New Roman" w:hAnsi="Times New Roman" w:cs="Times New Roman"/>
        </w:rPr>
        <w:lastRenderedPageBreak/>
        <w:t>that interpretable models should be preferred where they perform comparably (Rudin, 2019). Post hoc tools such as SHAP values (Lundberg and Lee, 2017) and permutation importance (</w:t>
      </w:r>
      <w:proofErr w:type="spellStart"/>
      <w:r>
        <w:rPr>
          <w:rFonts w:ascii="Times New Roman" w:hAnsi="Times New Roman" w:cs="Times New Roman"/>
        </w:rPr>
        <w:t>Breiman</w:t>
      </w:r>
      <w:proofErr w:type="spellEnd"/>
      <w:r>
        <w:rPr>
          <w:rFonts w:ascii="Times New Roman" w:hAnsi="Times New Roman" w:cs="Times New Roman"/>
        </w:rPr>
        <w:t>, 2001; Fisher, Rudin and Dominici, 2019) offer partial insight into what a model relies on. In valuation, fairness has a precise measurable form. Ratio studies compare predicted values with sale prices and test whether the ratio drifts with price; the coefficient of dispersion and the price related differential are standard measures (IAAO, 2013). McMillen and Singh (2020) show that assessments are often regressive, overvaluing cheap homes and undervaluing expensive ones.</w:t>
      </w:r>
    </w:p>
    <w:p w14:paraId="059EE22E" w14:textId="2ED82D8E" w:rsidR="008643CA" w:rsidRPr="00413825" w:rsidRDefault="00413825" w:rsidP="008643CA">
      <w:pPr>
        <w:spacing w:line="360" w:lineRule="auto"/>
        <w:rPr>
          <w:rFonts w:ascii="Times New Roman" w:hAnsi="Times New Roman" w:cs="Times New Roman"/>
        </w:rPr>
      </w:pPr>
      <w:r>
        <w:rPr>
          <w:rFonts w:ascii="Times New Roman" w:hAnsi="Times New Roman" w:cs="Times New Roman"/>
          <w:b/>
          <w:bCs/>
        </w:rPr>
        <w:t>2.5 Macroeconomic drivers</w:t>
      </w:r>
      <w:r>
        <w:rPr>
          <w:rFonts w:ascii="Times New Roman" w:hAnsi="Times New Roman" w:cs="Times New Roman"/>
        </w:rPr>
        <w:br/>
        <w:t>Interest rates, credit conditions and incomes drive house prices over the cycle (</w:t>
      </w:r>
      <w:proofErr w:type="spellStart"/>
      <w:r>
        <w:rPr>
          <w:rFonts w:ascii="Times New Roman" w:hAnsi="Times New Roman" w:cs="Times New Roman"/>
        </w:rPr>
        <w:t>Muellbauer</w:t>
      </w:r>
      <w:proofErr w:type="spellEnd"/>
      <w:r>
        <w:rPr>
          <w:rFonts w:ascii="Times New Roman" w:hAnsi="Times New Roman" w:cs="Times New Roman"/>
        </w:rPr>
        <w:t xml:space="preserve"> and Murphy, 1997), and taxes on transactions alter the timing and level of sales (Besley, Meads and Surico, 2014; Best and Kleven, 2018). The 2020 to 2021 stamp duty holiday and the rise in Bank Rate from 0.10 per cent in December 2021 to 5.25 per cent in August 2023 make the study period a demanding test. Whether macroeconomic variables help a valuation model over a horizon of weeks, rather than years, is an empirical question this paper tests directly.</w:t>
      </w:r>
      <w:r>
        <w:rPr>
          <w:rFonts w:ascii="Times New Roman" w:hAnsi="Times New Roman" w:cs="Times New Roman"/>
        </w:rPr>
        <w:br/>
      </w:r>
      <w:r>
        <w:rPr>
          <w:rFonts w:ascii="Times New Roman" w:hAnsi="Times New Roman" w:cs="Times New Roman"/>
          <w:b/>
          <w:bCs/>
        </w:rPr>
        <w:t>2.6 The gap</w:t>
      </w:r>
      <w:r>
        <w:rPr>
          <w:rFonts w:ascii="Times New Roman" w:hAnsi="Times New Roman" w:cs="Times New Roman"/>
        </w:rPr>
        <w:br/>
        <w:t>Published UK AVM evidence rarely combines open data, a strictly time ordered test, segment level error and ratio study measures for a secondary city market. This paper supplies that combination for Newcastle upon Tyne and Sunderland.</w:t>
      </w:r>
      <w:r>
        <w:rPr>
          <w:rFonts w:ascii="Times New Roman" w:hAnsi="Times New Roman" w:cs="Times New Roman"/>
        </w:rPr>
        <w:br/>
      </w:r>
      <w:r>
        <w:rPr>
          <w:rFonts w:ascii="Times New Roman" w:hAnsi="Times New Roman" w:cs="Times New Roman"/>
          <w:b/>
          <w:bCs/>
        </w:rPr>
        <w:t>3. Data</w:t>
      </w:r>
      <w:r>
        <w:rPr>
          <w:rFonts w:ascii="Times New Roman" w:hAnsi="Times New Roman" w:cs="Times New Roman"/>
        </w:rPr>
        <w:br/>
      </w:r>
      <w:r>
        <w:rPr>
          <w:rFonts w:ascii="Times New Roman" w:hAnsi="Times New Roman" w:cs="Times New Roman"/>
          <w:b/>
          <w:bCs/>
        </w:rPr>
        <w:t>3.1 Source and study area</w:t>
      </w:r>
      <w:r>
        <w:rPr>
          <w:rFonts w:ascii="Times New Roman" w:hAnsi="Times New Roman" w:cs="Times New Roman"/>
        </w:rPr>
        <w:br/>
        <w:t>The study uses HM Land Registry Price Paid Data, which records the price, date, full postcode, property type, new build status and tenure of every residential sale for value lodged for registration in England and Wales (HM Land Registry, 2025a). The yearly files for 2018 to 2024 were downloaded and filtered to the two local authority districts of Newcastle upon Tyne and Sunderland, both in Tyne and Wear. The data are published under the Open Government Licence v3.0.</w:t>
      </w:r>
      <w:r>
        <w:rPr>
          <w:rFonts w:ascii="Times New Roman" w:hAnsi="Times New Roman" w:cs="Times New Roman"/>
        </w:rPr>
        <w:br/>
        <w:t xml:space="preserve">The two districts make a useful pair. They are neighbours and share a regional economy, yet they differ in price level, housing stock and market depth. Newcastle has a large stock of city centre and student flats; Sunderland is dominated by </w:t>
      </w:r>
      <w:proofErr w:type="spellStart"/>
      <w:r>
        <w:rPr>
          <w:rFonts w:ascii="Times New Roman" w:hAnsi="Times New Roman" w:cs="Times New Roman"/>
        </w:rPr>
        <w:t>semi detached</w:t>
      </w:r>
      <w:proofErr w:type="spellEnd"/>
      <w:r>
        <w:rPr>
          <w:rFonts w:ascii="Times New Roman" w:hAnsi="Times New Roman" w:cs="Times New Roman"/>
        </w:rPr>
        <w:t xml:space="preserve"> and terraced houses.</w:t>
      </w:r>
      <w:r>
        <w:rPr>
          <w:rFonts w:ascii="Times New Roman" w:hAnsi="Times New Roman" w:cs="Times New Roman"/>
        </w:rPr>
        <w:br/>
      </w:r>
      <w:r>
        <w:rPr>
          <w:rFonts w:ascii="Times New Roman" w:hAnsi="Times New Roman" w:cs="Times New Roman"/>
          <w:b/>
          <w:bCs/>
        </w:rPr>
        <w:t>3.2 Cleaning</w:t>
      </w:r>
      <w:r>
        <w:rPr>
          <w:rFonts w:ascii="Times New Roman" w:hAnsi="Times New Roman" w:cs="Times New Roman"/>
        </w:rPr>
        <w:br/>
        <w:t xml:space="preserve">The raw extract held 65,701 records. The following were removed: 13,686 category B </w:t>
      </w:r>
      <w:r>
        <w:rPr>
          <w:rFonts w:ascii="Times New Roman" w:hAnsi="Times New Roman" w:cs="Times New Roman"/>
        </w:rPr>
        <w:lastRenderedPageBreak/>
        <w:t xml:space="preserve">transactions (additional price paid entries such as repossessions and transfers under a power of sale, buy to let purchases identified by a mortgage, and transfers to </w:t>
      </w:r>
      <w:proofErr w:type="spellStart"/>
      <w:r>
        <w:rPr>
          <w:rFonts w:ascii="Times New Roman" w:hAnsi="Times New Roman" w:cs="Times New Roman"/>
        </w:rPr>
        <w:t>non private</w:t>
      </w:r>
      <w:proofErr w:type="spellEnd"/>
      <w:r>
        <w:rPr>
          <w:rFonts w:ascii="Times New Roman" w:hAnsi="Times New Roman" w:cs="Times New Roman"/>
        </w:rPr>
        <w:t xml:space="preserve"> buyers; HM Land Registry, 2025b); 3 records without a postcode; and 113 records priced below £20,000 or above the 99.9th percentile of £1.44 million. No records had property type O. The final dataset holds 51,899 standard sales. Sales from 2018 serve only as history for the look back features described in Section 4, so the modelling sample runs from January 2019 to December 2024 and holds 44,841 sales.</w:t>
      </w:r>
      <w:r>
        <w:rPr>
          <w:rFonts w:ascii="Times New Roman" w:hAnsi="Times New Roman" w:cs="Times New Roman"/>
        </w:rPr>
        <w:br/>
      </w:r>
      <w:r>
        <w:rPr>
          <w:rFonts w:ascii="Times New Roman" w:hAnsi="Times New Roman" w:cs="Times New Roman"/>
          <w:b/>
          <w:bCs/>
        </w:rPr>
        <w:t>3.3 Descriptive statistics</w:t>
      </w:r>
      <w:r>
        <w:rPr>
          <w:rFonts w:ascii="Times New Roman" w:hAnsi="Times New Roman" w:cs="Times New Roman"/>
        </w:rPr>
        <w:br/>
        <w:t>Table 1 summarises prices by district and type over 2018 to 2024. Newcastle prices are higher across every type, and the gap is widest for flats, where the Newcastle median is £130,000 against £72,000 in Sunderland.</w:t>
      </w:r>
      <w:r>
        <w:rPr>
          <w:rFonts w:ascii="Times New Roman" w:hAnsi="Times New Roman" w:cs="Times New Roman"/>
        </w:rPr>
        <w:br/>
      </w:r>
      <w:r>
        <w:rPr>
          <w:rFonts w:ascii="Times New Roman" w:hAnsi="Times New Roman" w:cs="Times New Roman"/>
          <w:b/>
          <w:bCs/>
        </w:rPr>
        <w:t>Table 1. Standard residential sales, 2018 to 2024</w:t>
      </w:r>
    </w:p>
    <w:tbl>
      <w:tblPr>
        <w:tblW w:w="8538" w:type="dxa"/>
        <w:tblCellSpacing w:w="15" w:type="dxa"/>
        <w:tblCellMar>
          <w:top w:w="15" w:type="dxa"/>
          <w:left w:w="15" w:type="dxa"/>
          <w:bottom w:w="15" w:type="dxa"/>
          <w:right w:w="15" w:type="dxa"/>
        </w:tblCellMar>
        <w:tblLook w:val="04A0" w:firstRow="1" w:lastRow="0" w:firstColumn="1" w:lastColumn="0" w:noHBand="0" w:noVBand="1"/>
      </w:tblPr>
      <w:tblGrid>
        <w:gridCol w:w="2386"/>
        <w:gridCol w:w="1631"/>
        <w:gridCol w:w="799"/>
        <w:gridCol w:w="1965"/>
        <w:gridCol w:w="1757"/>
      </w:tblGrid>
      <w:tr w:rsidR="008643CA" w:rsidRPr="008643CA" w14:paraId="00930B2F" w14:textId="77777777" w:rsidTr="008643CA">
        <w:trPr>
          <w:trHeight w:val="502"/>
          <w:tblCellSpacing w:w="15" w:type="dxa"/>
        </w:trPr>
        <w:tc>
          <w:tcPr>
            <w:tcW w:w="0" w:type="auto"/>
            <w:vAlign w:val="center"/>
            <w:hideMark/>
          </w:tcPr>
          <w:p w14:paraId="3B57B99B"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District</w:t>
            </w:r>
          </w:p>
        </w:tc>
        <w:tc>
          <w:tcPr>
            <w:tcW w:w="0" w:type="auto"/>
            <w:vAlign w:val="center"/>
            <w:hideMark/>
          </w:tcPr>
          <w:p w14:paraId="2F78404F"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Type</w:t>
            </w:r>
          </w:p>
        </w:tc>
        <w:tc>
          <w:tcPr>
            <w:tcW w:w="0" w:type="auto"/>
            <w:vAlign w:val="center"/>
            <w:hideMark/>
          </w:tcPr>
          <w:p w14:paraId="3347D7BD"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Sales</w:t>
            </w:r>
          </w:p>
        </w:tc>
        <w:tc>
          <w:tcPr>
            <w:tcW w:w="0" w:type="auto"/>
            <w:vAlign w:val="center"/>
            <w:hideMark/>
          </w:tcPr>
          <w:p w14:paraId="662C3A9C"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Median price (£)</w:t>
            </w:r>
          </w:p>
        </w:tc>
        <w:tc>
          <w:tcPr>
            <w:tcW w:w="0" w:type="auto"/>
            <w:vAlign w:val="center"/>
            <w:hideMark/>
          </w:tcPr>
          <w:p w14:paraId="49D1616A"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Mean price (£)</w:t>
            </w:r>
          </w:p>
        </w:tc>
      </w:tr>
      <w:tr w:rsidR="008643CA" w:rsidRPr="008643CA" w14:paraId="4393BDA1" w14:textId="77777777" w:rsidTr="008643CA">
        <w:trPr>
          <w:trHeight w:val="502"/>
          <w:tblCellSpacing w:w="15" w:type="dxa"/>
        </w:trPr>
        <w:tc>
          <w:tcPr>
            <w:tcW w:w="0" w:type="auto"/>
            <w:vAlign w:val="center"/>
            <w:hideMark/>
          </w:tcPr>
          <w:p w14:paraId="2420BE3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Newcastle upon Tyne</w:t>
            </w:r>
          </w:p>
        </w:tc>
        <w:tc>
          <w:tcPr>
            <w:tcW w:w="0" w:type="auto"/>
            <w:vAlign w:val="center"/>
            <w:hideMark/>
          </w:tcPr>
          <w:p w14:paraId="172E7AB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Detached</w:t>
            </w:r>
          </w:p>
        </w:tc>
        <w:tc>
          <w:tcPr>
            <w:tcW w:w="0" w:type="auto"/>
            <w:vAlign w:val="center"/>
            <w:hideMark/>
          </w:tcPr>
          <w:p w14:paraId="6D273E1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4,964</w:t>
            </w:r>
          </w:p>
        </w:tc>
        <w:tc>
          <w:tcPr>
            <w:tcW w:w="0" w:type="auto"/>
            <w:vAlign w:val="center"/>
            <w:hideMark/>
          </w:tcPr>
          <w:p w14:paraId="1586255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312,972</w:t>
            </w:r>
          </w:p>
        </w:tc>
        <w:tc>
          <w:tcPr>
            <w:tcW w:w="0" w:type="auto"/>
            <w:vAlign w:val="center"/>
            <w:hideMark/>
          </w:tcPr>
          <w:p w14:paraId="5652DA7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343,642</w:t>
            </w:r>
          </w:p>
        </w:tc>
      </w:tr>
      <w:tr w:rsidR="008643CA" w:rsidRPr="008643CA" w14:paraId="492B59B0" w14:textId="77777777" w:rsidTr="008643CA">
        <w:trPr>
          <w:trHeight w:val="502"/>
          <w:tblCellSpacing w:w="15" w:type="dxa"/>
        </w:trPr>
        <w:tc>
          <w:tcPr>
            <w:tcW w:w="0" w:type="auto"/>
            <w:vAlign w:val="center"/>
            <w:hideMark/>
          </w:tcPr>
          <w:p w14:paraId="15DE9E6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Newcastle upon Tyne</w:t>
            </w:r>
          </w:p>
        </w:tc>
        <w:tc>
          <w:tcPr>
            <w:tcW w:w="0" w:type="auto"/>
            <w:vAlign w:val="center"/>
            <w:hideMark/>
          </w:tcPr>
          <w:p w14:paraId="186EE7B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Semi detached</w:t>
            </w:r>
          </w:p>
        </w:tc>
        <w:tc>
          <w:tcPr>
            <w:tcW w:w="0" w:type="auto"/>
            <w:vAlign w:val="center"/>
            <w:hideMark/>
          </w:tcPr>
          <w:p w14:paraId="71BC810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8,093</w:t>
            </w:r>
          </w:p>
        </w:tc>
        <w:tc>
          <w:tcPr>
            <w:tcW w:w="0" w:type="auto"/>
            <w:vAlign w:val="center"/>
            <w:hideMark/>
          </w:tcPr>
          <w:p w14:paraId="67AF5ED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183,300</w:t>
            </w:r>
          </w:p>
        </w:tc>
        <w:tc>
          <w:tcPr>
            <w:tcW w:w="0" w:type="auto"/>
            <w:vAlign w:val="center"/>
            <w:hideMark/>
          </w:tcPr>
          <w:p w14:paraId="4DD6EC1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212,125</w:t>
            </w:r>
          </w:p>
        </w:tc>
      </w:tr>
      <w:tr w:rsidR="008643CA" w:rsidRPr="008643CA" w14:paraId="71FA4D65" w14:textId="77777777" w:rsidTr="008643CA">
        <w:trPr>
          <w:trHeight w:val="502"/>
          <w:tblCellSpacing w:w="15" w:type="dxa"/>
        </w:trPr>
        <w:tc>
          <w:tcPr>
            <w:tcW w:w="0" w:type="auto"/>
            <w:vAlign w:val="center"/>
            <w:hideMark/>
          </w:tcPr>
          <w:p w14:paraId="1F1C850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Newcastle upon Tyne</w:t>
            </w:r>
          </w:p>
        </w:tc>
        <w:tc>
          <w:tcPr>
            <w:tcW w:w="0" w:type="auto"/>
            <w:vAlign w:val="center"/>
            <w:hideMark/>
          </w:tcPr>
          <w:p w14:paraId="24288AC7"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Terraced</w:t>
            </w:r>
          </w:p>
        </w:tc>
        <w:tc>
          <w:tcPr>
            <w:tcW w:w="0" w:type="auto"/>
            <w:vAlign w:val="center"/>
            <w:hideMark/>
          </w:tcPr>
          <w:p w14:paraId="4260CC5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8,191</w:t>
            </w:r>
          </w:p>
        </w:tc>
        <w:tc>
          <w:tcPr>
            <w:tcW w:w="0" w:type="auto"/>
            <w:vAlign w:val="center"/>
            <w:hideMark/>
          </w:tcPr>
          <w:p w14:paraId="168BC32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166,400</w:t>
            </w:r>
          </w:p>
        </w:tc>
        <w:tc>
          <w:tcPr>
            <w:tcW w:w="0" w:type="auto"/>
            <w:vAlign w:val="center"/>
            <w:hideMark/>
          </w:tcPr>
          <w:p w14:paraId="0AC9923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204,787</w:t>
            </w:r>
          </w:p>
        </w:tc>
      </w:tr>
      <w:tr w:rsidR="008643CA" w:rsidRPr="008643CA" w14:paraId="42C5B71B" w14:textId="77777777" w:rsidTr="008643CA">
        <w:trPr>
          <w:trHeight w:val="502"/>
          <w:tblCellSpacing w:w="15" w:type="dxa"/>
        </w:trPr>
        <w:tc>
          <w:tcPr>
            <w:tcW w:w="0" w:type="auto"/>
            <w:vAlign w:val="center"/>
            <w:hideMark/>
          </w:tcPr>
          <w:p w14:paraId="2A78159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Newcastle upon Tyne</w:t>
            </w:r>
          </w:p>
        </w:tc>
        <w:tc>
          <w:tcPr>
            <w:tcW w:w="0" w:type="auto"/>
            <w:vAlign w:val="center"/>
            <w:hideMark/>
          </w:tcPr>
          <w:p w14:paraId="5BE17CC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Flat</w:t>
            </w:r>
          </w:p>
        </w:tc>
        <w:tc>
          <w:tcPr>
            <w:tcW w:w="0" w:type="auto"/>
            <w:vAlign w:val="center"/>
            <w:hideMark/>
          </w:tcPr>
          <w:p w14:paraId="747DA5B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6,039</w:t>
            </w:r>
          </w:p>
        </w:tc>
        <w:tc>
          <w:tcPr>
            <w:tcW w:w="0" w:type="auto"/>
            <w:vAlign w:val="center"/>
            <w:hideMark/>
          </w:tcPr>
          <w:p w14:paraId="134BC7E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130,000</w:t>
            </w:r>
          </w:p>
        </w:tc>
        <w:tc>
          <w:tcPr>
            <w:tcW w:w="0" w:type="auto"/>
            <w:vAlign w:val="center"/>
            <w:hideMark/>
          </w:tcPr>
          <w:p w14:paraId="5D41DCE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146,170</w:t>
            </w:r>
          </w:p>
        </w:tc>
      </w:tr>
      <w:tr w:rsidR="008643CA" w:rsidRPr="008643CA" w14:paraId="27F3E1CE" w14:textId="77777777" w:rsidTr="008643CA">
        <w:trPr>
          <w:trHeight w:val="502"/>
          <w:tblCellSpacing w:w="15" w:type="dxa"/>
        </w:trPr>
        <w:tc>
          <w:tcPr>
            <w:tcW w:w="0" w:type="auto"/>
            <w:vAlign w:val="center"/>
            <w:hideMark/>
          </w:tcPr>
          <w:p w14:paraId="360E716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Newcastle upon Tyne</w:t>
            </w:r>
          </w:p>
        </w:tc>
        <w:tc>
          <w:tcPr>
            <w:tcW w:w="0" w:type="auto"/>
            <w:vAlign w:val="center"/>
            <w:hideMark/>
          </w:tcPr>
          <w:p w14:paraId="6322750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All</w:t>
            </w:r>
          </w:p>
        </w:tc>
        <w:tc>
          <w:tcPr>
            <w:tcW w:w="0" w:type="auto"/>
            <w:vAlign w:val="center"/>
            <w:hideMark/>
          </w:tcPr>
          <w:p w14:paraId="3BEFA4B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27,287</w:t>
            </w:r>
          </w:p>
        </w:tc>
        <w:tc>
          <w:tcPr>
            <w:tcW w:w="0" w:type="auto"/>
            <w:vAlign w:val="center"/>
            <w:hideMark/>
          </w:tcPr>
          <w:p w14:paraId="738EFC4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182,950</w:t>
            </w:r>
          </w:p>
        </w:tc>
        <w:tc>
          <w:tcPr>
            <w:tcW w:w="0" w:type="auto"/>
            <w:vAlign w:val="center"/>
            <w:hideMark/>
          </w:tcPr>
          <w:p w14:paraId="4F7072E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219,251</w:t>
            </w:r>
          </w:p>
        </w:tc>
      </w:tr>
      <w:tr w:rsidR="008643CA" w:rsidRPr="008643CA" w14:paraId="0F10A492" w14:textId="77777777" w:rsidTr="008643CA">
        <w:trPr>
          <w:trHeight w:val="502"/>
          <w:tblCellSpacing w:w="15" w:type="dxa"/>
        </w:trPr>
        <w:tc>
          <w:tcPr>
            <w:tcW w:w="0" w:type="auto"/>
            <w:vAlign w:val="center"/>
            <w:hideMark/>
          </w:tcPr>
          <w:p w14:paraId="522A5AE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Sunderland</w:t>
            </w:r>
          </w:p>
        </w:tc>
        <w:tc>
          <w:tcPr>
            <w:tcW w:w="0" w:type="auto"/>
            <w:vAlign w:val="center"/>
            <w:hideMark/>
          </w:tcPr>
          <w:p w14:paraId="3DEF0DB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Detached</w:t>
            </w:r>
          </w:p>
        </w:tc>
        <w:tc>
          <w:tcPr>
            <w:tcW w:w="0" w:type="auto"/>
            <w:vAlign w:val="center"/>
            <w:hideMark/>
          </w:tcPr>
          <w:p w14:paraId="16ECFFB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5,148</w:t>
            </w:r>
          </w:p>
        </w:tc>
        <w:tc>
          <w:tcPr>
            <w:tcW w:w="0" w:type="auto"/>
            <w:vAlign w:val="center"/>
            <w:hideMark/>
          </w:tcPr>
          <w:p w14:paraId="1D1BD79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255,000</w:t>
            </w:r>
          </w:p>
        </w:tc>
        <w:tc>
          <w:tcPr>
            <w:tcW w:w="0" w:type="auto"/>
            <w:vAlign w:val="center"/>
            <w:hideMark/>
          </w:tcPr>
          <w:p w14:paraId="502AA53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276,344</w:t>
            </w:r>
          </w:p>
        </w:tc>
      </w:tr>
      <w:tr w:rsidR="008643CA" w:rsidRPr="008643CA" w14:paraId="1E4D3618" w14:textId="77777777" w:rsidTr="008643CA">
        <w:trPr>
          <w:trHeight w:val="502"/>
          <w:tblCellSpacing w:w="15" w:type="dxa"/>
        </w:trPr>
        <w:tc>
          <w:tcPr>
            <w:tcW w:w="0" w:type="auto"/>
            <w:vAlign w:val="center"/>
            <w:hideMark/>
          </w:tcPr>
          <w:p w14:paraId="0C861F0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Sunderland</w:t>
            </w:r>
          </w:p>
        </w:tc>
        <w:tc>
          <w:tcPr>
            <w:tcW w:w="0" w:type="auto"/>
            <w:vAlign w:val="center"/>
            <w:hideMark/>
          </w:tcPr>
          <w:p w14:paraId="1060120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Semi detached</w:t>
            </w:r>
          </w:p>
        </w:tc>
        <w:tc>
          <w:tcPr>
            <w:tcW w:w="0" w:type="auto"/>
            <w:vAlign w:val="center"/>
            <w:hideMark/>
          </w:tcPr>
          <w:p w14:paraId="50A1486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9,145</w:t>
            </w:r>
          </w:p>
        </w:tc>
        <w:tc>
          <w:tcPr>
            <w:tcW w:w="0" w:type="auto"/>
            <w:vAlign w:val="center"/>
            <w:hideMark/>
          </w:tcPr>
          <w:p w14:paraId="56635C6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145,000</w:t>
            </w:r>
          </w:p>
        </w:tc>
        <w:tc>
          <w:tcPr>
            <w:tcW w:w="0" w:type="auto"/>
            <w:vAlign w:val="center"/>
            <w:hideMark/>
          </w:tcPr>
          <w:p w14:paraId="3CDDA69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152,975</w:t>
            </w:r>
          </w:p>
        </w:tc>
      </w:tr>
      <w:tr w:rsidR="008643CA" w:rsidRPr="008643CA" w14:paraId="13380302" w14:textId="77777777" w:rsidTr="008643CA">
        <w:trPr>
          <w:trHeight w:val="502"/>
          <w:tblCellSpacing w:w="15" w:type="dxa"/>
        </w:trPr>
        <w:tc>
          <w:tcPr>
            <w:tcW w:w="0" w:type="auto"/>
            <w:vAlign w:val="center"/>
            <w:hideMark/>
          </w:tcPr>
          <w:p w14:paraId="1320E98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Sunderland</w:t>
            </w:r>
          </w:p>
        </w:tc>
        <w:tc>
          <w:tcPr>
            <w:tcW w:w="0" w:type="auto"/>
            <w:vAlign w:val="center"/>
            <w:hideMark/>
          </w:tcPr>
          <w:p w14:paraId="70AB72F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Terraced</w:t>
            </w:r>
          </w:p>
        </w:tc>
        <w:tc>
          <w:tcPr>
            <w:tcW w:w="0" w:type="auto"/>
            <w:vAlign w:val="center"/>
            <w:hideMark/>
          </w:tcPr>
          <w:p w14:paraId="7C679F1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8,327</w:t>
            </w:r>
          </w:p>
        </w:tc>
        <w:tc>
          <w:tcPr>
            <w:tcW w:w="0" w:type="auto"/>
            <w:vAlign w:val="center"/>
            <w:hideMark/>
          </w:tcPr>
          <w:p w14:paraId="2E500CC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106,000</w:t>
            </w:r>
          </w:p>
        </w:tc>
        <w:tc>
          <w:tcPr>
            <w:tcW w:w="0" w:type="auto"/>
            <w:vAlign w:val="center"/>
            <w:hideMark/>
          </w:tcPr>
          <w:p w14:paraId="50060D4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116,602</w:t>
            </w:r>
          </w:p>
        </w:tc>
      </w:tr>
      <w:tr w:rsidR="008643CA" w:rsidRPr="008643CA" w14:paraId="7004D3B8" w14:textId="77777777" w:rsidTr="008643CA">
        <w:trPr>
          <w:trHeight w:val="502"/>
          <w:tblCellSpacing w:w="15" w:type="dxa"/>
        </w:trPr>
        <w:tc>
          <w:tcPr>
            <w:tcW w:w="0" w:type="auto"/>
            <w:vAlign w:val="center"/>
            <w:hideMark/>
          </w:tcPr>
          <w:p w14:paraId="66D82FA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Sunderland</w:t>
            </w:r>
          </w:p>
        </w:tc>
        <w:tc>
          <w:tcPr>
            <w:tcW w:w="0" w:type="auto"/>
            <w:vAlign w:val="center"/>
            <w:hideMark/>
          </w:tcPr>
          <w:p w14:paraId="0EA80D6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Flat</w:t>
            </w:r>
          </w:p>
        </w:tc>
        <w:tc>
          <w:tcPr>
            <w:tcW w:w="0" w:type="auto"/>
            <w:vAlign w:val="center"/>
            <w:hideMark/>
          </w:tcPr>
          <w:p w14:paraId="6017010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1,992</w:t>
            </w:r>
          </w:p>
        </w:tc>
        <w:tc>
          <w:tcPr>
            <w:tcW w:w="0" w:type="auto"/>
            <w:vAlign w:val="center"/>
            <w:hideMark/>
          </w:tcPr>
          <w:p w14:paraId="6D9071B7"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72,000</w:t>
            </w:r>
          </w:p>
        </w:tc>
        <w:tc>
          <w:tcPr>
            <w:tcW w:w="0" w:type="auto"/>
            <w:vAlign w:val="center"/>
            <w:hideMark/>
          </w:tcPr>
          <w:p w14:paraId="59676E7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83,020</w:t>
            </w:r>
          </w:p>
        </w:tc>
      </w:tr>
      <w:tr w:rsidR="008643CA" w:rsidRPr="008643CA" w14:paraId="58EC6B3B" w14:textId="77777777" w:rsidTr="008643CA">
        <w:trPr>
          <w:trHeight w:val="502"/>
          <w:tblCellSpacing w:w="15" w:type="dxa"/>
        </w:trPr>
        <w:tc>
          <w:tcPr>
            <w:tcW w:w="0" w:type="auto"/>
            <w:vAlign w:val="center"/>
            <w:hideMark/>
          </w:tcPr>
          <w:p w14:paraId="043B1E8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Sunderland</w:t>
            </w:r>
          </w:p>
        </w:tc>
        <w:tc>
          <w:tcPr>
            <w:tcW w:w="0" w:type="auto"/>
            <w:vAlign w:val="center"/>
            <w:hideMark/>
          </w:tcPr>
          <w:p w14:paraId="6B0FBF7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All</w:t>
            </w:r>
          </w:p>
        </w:tc>
        <w:tc>
          <w:tcPr>
            <w:tcW w:w="0" w:type="auto"/>
            <w:vAlign w:val="center"/>
            <w:hideMark/>
          </w:tcPr>
          <w:p w14:paraId="56322E6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24,612</w:t>
            </w:r>
          </w:p>
        </w:tc>
        <w:tc>
          <w:tcPr>
            <w:tcW w:w="0" w:type="auto"/>
            <w:vAlign w:val="center"/>
            <w:hideMark/>
          </w:tcPr>
          <w:p w14:paraId="5E2BC39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140,000</w:t>
            </w:r>
          </w:p>
        </w:tc>
        <w:tc>
          <w:tcPr>
            <w:tcW w:w="0" w:type="auto"/>
            <w:vAlign w:val="center"/>
            <w:hideMark/>
          </w:tcPr>
          <w:p w14:paraId="4FFA85D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160,812</w:t>
            </w:r>
          </w:p>
        </w:tc>
      </w:tr>
    </w:tbl>
    <w:p w14:paraId="00DA9B2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Source: author's calculations from HM Land Registry Price Paid Data.</w:t>
      </w:r>
    </w:p>
    <w:p w14:paraId="7766C6EB" w14:textId="3CEA220D" w:rsidR="007463B6" w:rsidRDefault="00413825" w:rsidP="008643CA">
      <w:pPr>
        <w:spacing w:line="360" w:lineRule="auto"/>
        <w:rPr>
          <w:rFonts w:ascii="Times New Roman" w:hAnsi="Times New Roman" w:cs="Times New Roman"/>
          <w:b/>
          <w:bCs/>
        </w:rPr>
      </w:pPr>
      <w:r>
        <w:rPr>
          <w:rFonts w:ascii="Times New Roman" w:hAnsi="Times New Roman" w:cs="Times New Roman"/>
        </w:rPr>
        <w:br/>
        <w:t xml:space="preserve">New builds make up 18.5 per cent of Newcastle sales and 14.0 per cent of Sunderland sales; leasehold makes up 29.9 and 17.2 per cent respectively. The data cover 53 postcode sectors in </w:t>
      </w:r>
      <w:r>
        <w:rPr>
          <w:rFonts w:ascii="Times New Roman" w:hAnsi="Times New Roman" w:cs="Times New Roman"/>
        </w:rPr>
        <w:lastRenderedPageBreak/>
        <w:t>Newcastle and 42 in Sunderland. Market depth differs sharply: the median Newcastle sector records 46 standard sales a year against 85 in Sunderland, and 39.6 per cent of Newcastle sectors average fewer than 25 sales a year, compared with 11.9 per cent in Sunderland. Newcastle is therefore the thinner market at sector level, despite its larger total volume.</w:t>
      </w:r>
      <w:r>
        <w:rPr>
          <w:rFonts w:ascii="Times New Roman" w:hAnsi="Times New Roman" w:cs="Times New Roman"/>
        </w:rPr>
        <w:br/>
        <w:t>Annual median prices rose from £161,400 in 2018 to £199,950 in 2024 in Newcastle, and from £128,000 to £150,000 in Sunderland. Most of that growth came between 2020 and 2022, during and after the stamp duty holiday; medians were flat from 2023 as Bank Rate peaked. Transaction volume fell to 930 sales in the second quarter of 2020, during the first national lockdown, and peaked at 2,516 in the third quarter of 2021.</w:t>
      </w:r>
      <w:r>
        <w:rPr>
          <w:rFonts w:ascii="Times New Roman" w:hAnsi="Times New Roman" w:cs="Times New Roman"/>
        </w:rPr>
        <w:br/>
      </w:r>
      <w:r>
        <w:rPr>
          <w:rFonts w:ascii="Times New Roman" w:hAnsi="Times New Roman" w:cs="Times New Roman"/>
          <w:b/>
          <w:bCs/>
        </w:rPr>
        <w:t>3.4 What the data cannot see</w:t>
      </w:r>
      <w:r>
        <w:rPr>
          <w:rFonts w:ascii="Times New Roman" w:hAnsi="Times New Roman" w:cs="Times New Roman"/>
        </w:rPr>
        <w:br/>
        <w:t>Price Paid Data hold no floor area, room count, condition, plot size or energy rating. The models in this paper must therefore infer quality from location, type and sale history. This is a deliberate test of what the open transaction record alone can support, and it sets a floor for accuracy rather than a ceiling.</w:t>
      </w:r>
    </w:p>
    <w:p w14:paraId="48007E30" w14:textId="36585FFA" w:rsidR="008643CA" w:rsidRPr="00413825" w:rsidRDefault="00413825" w:rsidP="008643CA">
      <w:pPr>
        <w:spacing w:line="360" w:lineRule="auto"/>
        <w:rPr>
          <w:rFonts w:ascii="Times New Roman" w:hAnsi="Times New Roman" w:cs="Times New Roman"/>
        </w:rPr>
      </w:pPr>
      <w:r>
        <w:rPr>
          <w:rFonts w:ascii="Times New Roman" w:hAnsi="Times New Roman" w:cs="Times New Roman"/>
          <w:b/>
          <w:bCs/>
        </w:rPr>
        <w:t>4. Methodology</w:t>
      </w:r>
      <w:r>
        <w:rPr>
          <w:rFonts w:ascii="Times New Roman" w:hAnsi="Times New Roman" w:cs="Times New Roman"/>
        </w:rPr>
        <w:br/>
      </w:r>
      <w:r>
        <w:rPr>
          <w:rFonts w:ascii="Times New Roman" w:hAnsi="Times New Roman" w:cs="Times New Roman"/>
          <w:b/>
          <w:bCs/>
        </w:rPr>
        <w:t>4.1 Features built only from the past</w:t>
      </w:r>
      <w:r>
        <w:rPr>
          <w:rFonts w:ascii="Times New Roman" w:hAnsi="Times New Roman" w:cs="Times New Roman"/>
        </w:rPr>
        <w:br/>
        <w:t>Every feature for a sale on day t is computed only from sales registered before day t. This rule prevents leakage, in which a model learns from the very price, or from later prices, it is meant to predict. The features fall into five groups.</w:t>
      </w:r>
      <w:r>
        <w:rPr>
          <w:rFonts w:ascii="Times New Roman" w:hAnsi="Times New Roman" w:cs="Times New Roman"/>
        </w:rPr>
        <w:br/>
        <w:t xml:space="preserve">• </w:t>
      </w:r>
      <w:r>
        <w:rPr>
          <w:rFonts w:ascii="Times New Roman" w:hAnsi="Times New Roman" w:cs="Times New Roman"/>
          <w:b/>
          <w:bCs/>
        </w:rPr>
        <w:t>Dwelling attributes.</w:t>
      </w:r>
      <w:r>
        <w:rPr>
          <w:rFonts w:ascii="Times New Roman" w:hAnsi="Times New Roman" w:cs="Times New Roman"/>
        </w:rPr>
        <w:t xml:space="preserve"> Property type, new build status and tenure, as recorded by HM Land Registry.</w:t>
      </w:r>
      <w:r>
        <w:rPr>
          <w:rFonts w:ascii="Times New Roman" w:hAnsi="Times New Roman" w:cs="Times New Roman"/>
        </w:rPr>
        <w:br/>
        <w:t xml:space="preserve">• </w:t>
      </w:r>
      <w:r>
        <w:rPr>
          <w:rFonts w:ascii="Times New Roman" w:hAnsi="Times New Roman" w:cs="Times New Roman"/>
          <w:b/>
          <w:bCs/>
        </w:rPr>
        <w:t>Market level and momentum.</w:t>
      </w:r>
      <w:r>
        <w:rPr>
          <w:rFonts w:ascii="Times New Roman" w:hAnsi="Times New Roman" w:cs="Times New Roman"/>
        </w:rPr>
        <w:t xml:space="preserve"> The mean log price of the same property type in the same district over the previous 6 months, which serves as the anchor for each valuation, and the gap between the 6 month and </w:t>
      </w:r>
      <w:proofErr w:type="gramStart"/>
      <w:r>
        <w:rPr>
          <w:rFonts w:ascii="Times New Roman" w:hAnsi="Times New Roman" w:cs="Times New Roman"/>
        </w:rPr>
        <w:t>24 month</w:t>
      </w:r>
      <w:proofErr w:type="gramEnd"/>
      <w:r>
        <w:rPr>
          <w:rFonts w:ascii="Times New Roman" w:hAnsi="Times New Roman" w:cs="Times New Roman"/>
        </w:rPr>
        <w:t xml:space="preserve"> means, which measures momentum.</w:t>
      </w:r>
      <w:r>
        <w:rPr>
          <w:rFonts w:ascii="Times New Roman" w:hAnsi="Times New Roman" w:cs="Times New Roman"/>
        </w:rPr>
        <w:br/>
        <w:t xml:space="preserve">• </w:t>
      </w:r>
      <w:r>
        <w:rPr>
          <w:rFonts w:ascii="Times New Roman" w:hAnsi="Times New Roman" w:cs="Times New Roman"/>
          <w:b/>
          <w:bCs/>
        </w:rPr>
        <w:t>Local comparables.</w:t>
      </w:r>
      <w:r>
        <w:rPr>
          <w:rFonts w:ascii="Times New Roman" w:hAnsi="Times New Roman" w:cs="Times New Roman"/>
        </w:rPr>
        <w:t xml:space="preserve"> The mean log price and the number of sales over the previous 24 months in the same postcode sector, and in the same sector and property type. The same measures are computed over the previous 10 years for the same street and the same full postcode unit. Each is expressed relative to the district mean, so that it measures a location premium rather than a price level.</w:t>
      </w:r>
      <w:r>
        <w:rPr>
          <w:rFonts w:ascii="Times New Roman" w:hAnsi="Times New Roman" w:cs="Times New Roman"/>
        </w:rPr>
        <w:br/>
        <w:t xml:space="preserve">• </w:t>
      </w:r>
      <w:r>
        <w:rPr>
          <w:rFonts w:ascii="Times New Roman" w:hAnsi="Times New Roman" w:cs="Times New Roman"/>
          <w:b/>
          <w:bCs/>
        </w:rPr>
        <w:t>Repeat sales.</w:t>
      </w:r>
      <w:r>
        <w:rPr>
          <w:rFonts w:ascii="Times New Roman" w:hAnsi="Times New Roman" w:cs="Times New Roman"/>
        </w:rPr>
        <w:t xml:space="preserve"> For dwellings sold before within the data, the previous price is carried forward by the change in the district mean since that sale, together with the years elapsed.</w:t>
      </w:r>
      <w:r>
        <w:rPr>
          <w:rFonts w:ascii="Times New Roman" w:hAnsi="Times New Roman" w:cs="Times New Roman"/>
        </w:rPr>
        <w:br/>
        <w:t xml:space="preserve">• </w:t>
      </w:r>
      <w:r>
        <w:rPr>
          <w:rFonts w:ascii="Times New Roman" w:hAnsi="Times New Roman" w:cs="Times New Roman"/>
          <w:b/>
          <w:bCs/>
        </w:rPr>
        <w:t>Macroeconomic.</w:t>
      </w:r>
      <w:r>
        <w:rPr>
          <w:rFonts w:ascii="Times New Roman" w:hAnsi="Times New Roman" w:cs="Times New Roman"/>
        </w:rPr>
        <w:t xml:space="preserve"> The Bank of England Bank Rate in force on the sale date (Bank of England, 2025), used only in the ablation test of Section 5.4.</w:t>
      </w:r>
      <w:r>
        <w:rPr>
          <w:rFonts w:ascii="Times New Roman" w:hAnsi="Times New Roman" w:cs="Times New Roman"/>
        </w:rPr>
        <w:br/>
      </w:r>
      <w:r>
        <w:rPr>
          <w:rFonts w:ascii="Times New Roman" w:hAnsi="Times New Roman" w:cs="Times New Roman"/>
          <w:b/>
          <w:bCs/>
        </w:rPr>
        <w:lastRenderedPageBreak/>
        <w:t>4.2 Models</w:t>
      </w:r>
      <w:r>
        <w:rPr>
          <w:rFonts w:ascii="Times New Roman" w:hAnsi="Times New Roman" w:cs="Times New Roman"/>
        </w:rPr>
        <w:br/>
        <w:t>Five approaches are compared.</w:t>
      </w:r>
      <w:r>
        <w:rPr>
          <w:rFonts w:ascii="Times New Roman" w:hAnsi="Times New Roman" w:cs="Times New Roman"/>
        </w:rPr>
        <w:br/>
        <w:t xml:space="preserve">1. </w:t>
      </w:r>
      <w:r>
        <w:rPr>
          <w:rFonts w:ascii="Times New Roman" w:hAnsi="Times New Roman" w:cs="Times New Roman"/>
          <w:b/>
          <w:bCs/>
        </w:rPr>
        <w:t>Comparable sales baseline.</w:t>
      </w:r>
      <w:r>
        <w:rPr>
          <w:rFonts w:ascii="Times New Roman" w:hAnsi="Times New Roman" w:cs="Times New Roman"/>
        </w:rPr>
        <w:t xml:space="preserve"> The 24 </w:t>
      </w:r>
      <w:proofErr w:type="gramStart"/>
      <w:r>
        <w:rPr>
          <w:rFonts w:ascii="Times New Roman" w:hAnsi="Times New Roman" w:cs="Times New Roman"/>
        </w:rPr>
        <w:t>month</w:t>
      </w:r>
      <w:proofErr w:type="gramEnd"/>
      <w:r>
        <w:rPr>
          <w:rFonts w:ascii="Times New Roman" w:hAnsi="Times New Roman" w:cs="Times New Roman"/>
        </w:rPr>
        <w:t xml:space="preserve"> mean log price of the same type in the same postcode sector, adjusted by district momentum. Where fewer than five such sales exist, the sector mean for all types is used, shifted by the district gap between that type and all types; failing that, the district mean for the type is used. This mimics a simple desk valuation from recent local sales.</w:t>
      </w:r>
      <w:r>
        <w:rPr>
          <w:rFonts w:ascii="Times New Roman" w:hAnsi="Times New Roman" w:cs="Times New Roman"/>
        </w:rPr>
        <w:br/>
        <w:t xml:space="preserve">2. </w:t>
      </w:r>
      <w:r>
        <w:rPr>
          <w:rFonts w:ascii="Times New Roman" w:hAnsi="Times New Roman" w:cs="Times New Roman"/>
          <w:b/>
          <w:bCs/>
        </w:rPr>
        <w:t>Hedonic regression.</w:t>
      </w:r>
      <w:r>
        <w:rPr>
          <w:rFonts w:ascii="Times New Roman" w:hAnsi="Times New Roman" w:cs="Times New Roman"/>
        </w:rPr>
        <w:t xml:space="preserve"> Log price regressed on property type, new build status, tenure, the interaction of type and new build, postcode sector fixed effects and calendar month fixed effects. Sectors with fewer than 10 training sales are merged into their postcode district. Sales in a month beyond the training data take the last estimated month effect. A negligible ridge penalty (alpha of 1) is applied for numerical stability.</w:t>
      </w:r>
      <w:r>
        <w:rPr>
          <w:rFonts w:ascii="Times New Roman" w:hAnsi="Times New Roman" w:cs="Times New Roman"/>
        </w:rPr>
        <w:br/>
        <w:t xml:space="preserve">3. </w:t>
      </w:r>
      <w:r>
        <w:rPr>
          <w:rFonts w:ascii="Times New Roman" w:hAnsi="Times New Roman" w:cs="Times New Roman"/>
          <w:b/>
          <w:bCs/>
        </w:rPr>
        <w:t>Random forest</w:t>
      </w:r>
      <w:r>
        <w:rPr>
          <w:rFonts w:ascii="Times New Roman" w:hAnsi="Times New Roman" w:cs="Times New Roman"/>
        </w:rPr>
        <w:t xml:space="preserve"> (</w:t>
      </w:r>
      <w:proofErr w:type="spellStart"/>
      <w:r>
        <w:rPr>
          <w:rFonts w:ascii="Times New Roman" w:hAnsi="Times New Roman" w:cs="Times New Roman"/>
        </w:rPr>
        <w:t>Breiman</w:t>
      </w:r>
      <w:proofErr w:type="spellEnd"/>
      <w:r>
        <w:rPr>
          <w:rFonts w:ascii="Times New Roman" w:hAnsi="Times New Roman" w:cs="Times New Roman"/>
        </w:rPr>
        <w:t>, 2001) with 300 trees.</w:t>
      </w:r>
      <w:r>
        <w:rPr>
          <w:rFonts w:ascii="Times New Roman" w:hAnsi="Times New Roman" w:cs="Times New Roman"/>
        </w:rPr>
        <w:br/>
        <w:t xml:space="preserve">4. </w:t>
      </w:r>
      <w:r>
        <w:rPr>
          <w:rFonts w:ascii="Times New Roman" w:hAnsi="Times New Roman" w:cs="Times New Roman"/>
          <w:b/>
          <w:bCs/>
        </w:rPr>
        <w:t>Gradient boosting</w:t>
      </w:r>
      <w:r>
        <w:rPr>
          <w:rFonts w:ascii="Times New Roman" w:hAnsi="Times New Roman" w:cs="Times New Roman"/>
        </w:rPr>
        <w:t xml:space="preserve">, using the </w:t>
      </w:r>
      <w:proofErr w:type="gramStart"/>
      <w:r>
        <w:rPr>
          <w:rFonts w:ascii="Times New Roman" w:hAnsi="Times New Roman" w:cs="Times New Roman"/>
        </w:rPr>
        <w:t>histogram based</w:t>
      </w:r>
      <w:proofErr w:type="gramEnd"/>
      <w:r>
        <w:rPr>
          <w:rFonts w:ascii="Times New Roman" w:hAnsi="Times New Roman" w:cs="Times New Roman"/>
        </w:rPr>
        <w:t xml:space="preserve"> implementation in scikit-learn (Pedregosa et al., 2011), which follows the design of </w:t>
      </w:r>
      <w:proofErr w:type="spellStart"/>
      <w:r>
        <w:rPr>
          <w:rFonts w:ascii="Times New Roman" w:hAnsi="Times New Roman" w:cs="Times New Roman"/>
        </w:rPr>
        <w:t>LightGBM</w:t>
      </w:r>
      <w:proofErr w:type="spellEnd"/>
      <w:r>
        <w:rPr>
          <w:rFonts w:ascii="Times New Roman" w:hAnsi="Times New Roman" w:cs="Times New Roman"/>
        </w:rPr>
        <w:t xml:space="preserve"> (Ke et al., 2017), with an absolute error loss and early stopping.</w:t>
      </w:r>
      <w:r>
        <w:rPr>
          <w:rFonts w:ascii="Times New Roman" w:hAnsi="Times New Roman" w:cs="Times New Roman"/>
        </w:rPr>
        <w:br/>
        <w:t xml:space="preserve">5. </w:t>
      </w:r>
      <w:r>
        <w:rPr>
          <w:rFonts w:ascii="Times New Roman" w:hAnsi="Times New Roman" w:cs="Times New Roman"/>
          <w:b/>
          <w:bCs/>
        </w:rPr>
        <w:t>Ensemble.</w:t>
      </w:r>
      <w:r>
        <w:rPr>
          <w:rFonts w:ascii="Times New Roman" w:hAnsi="Times New Roman" w:cs="Times New Roman"/>
        </w:rPr>
        <w:t xml:space="preserve"> A weighted average of the log predictions of models 2 to 4, with weights chosen on the validation year.</w:t>
      </w:r>
      <w:r>
        <w:rPr>
          <w:rFonts w:ascii="Times New Roman" w:hAnsi="Times New Roman" w:cs="Times New Roman"/>
        </w:rPr>
        <w:br/>
        <w:t>All prices are modelled on a log scale. This is standard in housing studies for two reasons. Price effects then read as percentages, so being detached adds a share of value rather than a fixed sum in pounds. Logs also stop a few very expensive homes from dominating the fit.</w:t>
      </w:r>
      <w:r>
        <w:rPr>
          <w:rFonts w:ascii="Times New Roman" w:hAnsi="Times New Roman" w:cs="Times New Roman"/>
        </w:rPr>
        <w:br/>
      </w:r>
      <w:r>
        <w:rPr>
          <w:rFonts w:ascii="Times New Roman" w:hAnsi="Times New Roman" w:cs="Times New Roman"/>
          <w:b/>
          <w:bCs/>
        </w:rPr>
        <w:t>How the tree models value a home (Equation 1)</w:t>
      </w:r>
      <w:r>
        <w:rPr>
          <w:rFonts w:ascii="Times New Roman" w:hAnsi="Times New Roman" w:cs="Times New Roman"/>
          <w:b/>
          <w:bCs/>
        </w:rPr>
        <w:br/>
      </w:r>
      <w:proofErr w:type="gramStart"/>
      <w:r>
        <w:rPr>
          <w:rFonts w:ascii="Times New Roman" w:hAnsi="Times New Roman" w:cs="Times New Roman"/>
        </w:rPr>
        <w:t>ln(</w:t>
      </w:r>
      <w:proofErr w:type="gramEnd"/>
      <w:r>
        <w:rPr>
          <w:rFonts w:ascii="Times New Roman" w:hAnsi="Times New Roman" w:cs="Times New Roman"/>
        </w:rPr>
        <w:t>Predicted price) = Market anchor + Adjustment for this home</w:t>
      </w:r>
      <w:r>
        <w:rPr>
          <w:rFonts w:ascii="Times New Roman" w:hAnsi="Times New Roman" w:cs="Times New Roman"/>
        </w:rPr>
        <w:br/>
        <w:t>Written with symbols: ln P̂ᵢ,ₜ = Aᵢ,ₜ + f(xᵢ,ₜ)</w:t>
      </w:r>
      <w:r>
        <w:rPr>
          <w:rFonts w:ascii="Times New Roman" w:hAnsi="Times New Roman" w:cs="Times New Roman"/>
        </w:rPr>
        <w:br/>
        <w:t xml:space="preserve">In words, the valuation has two parts. The first part, the market anchor A, is the average log price of the same property type in the same district over the six months before the sale. It sets the general price level and moves with the market. The second part, f(x), is the premium or discount for this </w:t>
      </w:r>
      <w:proofErr w:type="gramStart"/>
      <w:r>
        <w:rPr>
          <w:rFonts w:ascii="Times New Roman" w:hAnsi="Times New Roman" w:cs="Times New Roman"/>
        </w:rPr>
        <w:t>particular home</w:t>
      </w:r>
      <w:proofErr w:type="gramEnd"/>
      <w:r>
        <w:rPr>
          <w:rFonts w:ascii="Times New Roman" w:hAnsi="Times New Roman" w:cs="Times New Roman"/>
        </w:rPr>
        <w:t xml:space="preserve"> that the random forest or gradient boosting model has learned from past sales. It depends on the features x listed in Section 4.1, such as the price history of the street and postcode, and the home’s own previous sale. The anchor answers the question of what a typical home of this type sells for here </w:t>
      </w:r>
      <w:proofErr w:type="gramStart"/>
      <w:r>
        <w:rPr>
          <w:rFonts w:ascii="Times New Roman" w:hAnsi="Times New Roman" w:cs="Times New Roman"/>
        </w:rPr>
        <w:t>at the moment</w:t>
      </w:r>
      <w:proofErr w:type="gramEnd"/>
      <w:r>
        <w:rPr>
          <w:rFonts w:ascii="Times New Roman" w:hAnsi="Times New Roman" w:cs="Times New Roman"/>
        </w:rPr>
        <w:t>. The adjustment answers the question of how this home differs from that typical home.</w:t>
      </w:r>
      <w:r>
        <w:rPr>
          <w:rFonts w:ascii="Times New Roman" w:hAnsi="Times New Roman" w:cs="Times New Roman"/>
        </w:rPr>
        <w:br/>
        <w:t xml:space="preserve">As an illustration only: if </w:t>
      </w:r>
      <w:proofErr w:type="spellStart"/>
      <w:r>
        <w:rPr>
          <w:rFonts w:ascii="Times New Roman" w:hAnsi="Times New Roman" w:cs="Times New Roman"/>
        </w:rPr>
        <w:t>semi detached</w:t>
      </w:r>
      <w:proofErr w:type="spellEnd"/>
      <w:r>
        <w:rPr>
          <w:rFonts w:ascii="Times New Roman" w:hAnsi="Times New Roman" w:cs="Times New Roman"/>
        </w:rPr>
        <w:t xml:space="preserve"> houses in Sunderland have recently sold for about £150,000 on average, and the model judges a particular semi to be worth about 8 per cent </w:t>
      </w:r>
      <w:r>
        <w:rPr>
          <w:rFonts w:ascii="Times New Roman" w:hAnsi="Times New Roman" w:cs="Times New Roman"/>
        </w:rPr>
        <w:lastRenderedPageBreak/>
        <w:t>more because of its street and its last sale, the valuation is about £150,000 × 1.08, or £162,000.</w:t>
      </w:r>
      <w:r>
        <w:rPr>
          <w:rFonts w:ascii="Times New Roman" w:hAnsi="Times New Roman" w:cs="Times New Roman"/>
        </w:rPr>
        <w:br/>
        <w:t>The anchor is used because tree models cannot predict values above or below the range of prices they have already seen. Leaving the price level to the anchor means the trees only need to learn relative differences, which stay stable from one quarter to the next. In this study, where prices were broadly flat in 2024 and the models were retrained every quarter, the anchor made little difference to accuracy; it matters most when prices move quickly.</w:t>
      </w:r>
      <w:r>
        <w:rPr>
          <w:rFonts w:ascii="Times New Roman" w:hAnsi="Times New Roman" w:cs="Times New Roman"/>
        </w:rPr>
        <w:br/>
      </w:r>
      <w:r>
        <w:rPr>
          <w:rFonts w:ascii="Times New Roman" w:hAnsi="Times New Roman" w:cs="Times New Roman"/>
          <w:b/>
          <w:bCs/>
        </w:rPr>
        <w:t>The hedonic regression (Equation 2)</w:t>
      </w:r>
      <w:r>
        <w:rPr>
          <w:rFonts w:ascii="Times New Roman" w:hAnsi="Times New Roman" w:cs="Times New Roman"/>
          <w:b/>
          <w:bCs/>
        </w:rPr>
        <w:br/>
      </w:r>
      <w:r>
        <w:rPr>
          <w:rFonts w:ascii="Times New Roman" w:hAnsi="Times New Roman" w:cs="Times New Roman"/>
        </w:rPr>
        <w:t>ln(Price) = Constant + Type effect + New build effect + Leasehold effect + Type and new build interaction + Postcode sector effect + Month effect + Error</w:t>
      </w:r>
      <w:r>
        <w:rPr>
          <w:rFonts w:ascii="Times New Roman" w:hAnsi="Times New Roman" w:cs="Times New Roman"/>
        </w:rPr>
        <w:br/>
        <w:t>Written with symbols: ln Pᵢ,ₜ = α + βₖ Typeᵢₖ + γ Newᵢ + δ Leaseᵢ + θₖ (Typeᵢₖ × Newᵢ) + μₛ + τₜ + εᵢ,ₜ</w:t>
      </w:r>
      <w:r>
        <w:rPr>
          <w:rFonts w:ascii="Times New Roman" w:hAnsi="Times New Roman" w:cs="Times New Roman"/>
        </w:rPr>
        <w:br/>
        <w:t>Each term has a plain meaning:</w:t>
      </w:r>
      <w:r>
        <w:rPr>
          <w:rFonts w:ascii="Times New Roman" w:hAnsi="Times New Roman" w:cs="Times New Roman"/>
        </w:rPr>
        <w:br/>
        <w:t xml:space="preserve">• </w:t>
      </w:r>
      <w:r>
        <w:rPr>
          <w:rFonts w:ascii="Times New Roman" w:hAnsi="Times New Roman" w:cs="Times New Roman"/>
          <w:b/>
          <w:bCs/>
        </w:rPr>
        <w:t>Constant (α):</w:t>
      </w:r>
      <w:r>
        <w:rPr>
          <w:rFonts w:ascii="Times New Roman" w:hAnsi="Times New Roman" w:cs="Times New Roman"/>
        </w:rPr>
        <w:t xml:space="preserve"> the baseline log price of an existing, freehold terraced house, the reference home against which every other effect is measured.</w:t>
      </w:r>
      <w:r>
        <w:rPr>
          <w:rFonts w:ascii="Times New Roman" w:hAnsi="Times New Roman" w:cs="Times New Roman"/>
        </w:rPr>
        <w:br/>
        <w:t xml:space="preserve">• </w:t>
      </w:r>
      <w:r>
        <w:rPr>
          <w:rFonts w:ascii="Times New Roman" w:hAnsi="Times New Roman" w:cs="Times New Roman"/>
          <w:b/>
          <w:bCs/>
        </w:rPr>
        <w:t>Type effect (β):</w:t>
      </w:r>
      <w:r>
        <w:rPr>
          <w:rFonts w:ascii="Times New Roman" w:hAnsi="Times New Roman" w:cs="Times New Roman"/>
        </w:rPr>
        <w:t xml:space="preserve"> the extra or lower value of a detached house, a </w:t>
      </w:r>
      <w:proofErr w:type="spellStart"/>
      <w:r>
        <w:rPr>
          <w:rFonts w:ascii="Times New Roman" w:hAnsi="Times New Roman" w:cs="Times New Roman"/>
        </w:rPr>
        <w:t>semi detached</w:t>
      </w:r>
      <w:proofErr w:type="spellEnd"/>
      <w:r>
        <w:rPr>
          <w:rFonts w:ascii="Times New Roman" w:hAnsi="Times New Roman" w:cs="Times New Roman"/>
        </w:rPr>
        <w:t xml:space="preserve"> house or a flat compared with a terraced house.</w:t>
      </w:r>
      <w:r>
        <w:rPr>
          <w:rFonts w:ascii="Times New Roman" w:hAnsi="Times New Roman" w:cs="Times New Roman"/>
        </w:rPr>
        <w:br/>
        <w:t xml:space="preserve">• </w:t>
      </w:r>
      <w:r>
        <w:rPr>
          <w:rFonts w:ascii="Times New Roman" w:hAnsi="Times New Roman" w:cs="Times New Roman"/>
          <w:b/>
          <w:bCs/>
        </w:rPr>
        <w:t>New build effect (γ):</w:t>
      </w:r>
      <w:r>
        <w:rPr>
          <w:rFonts w:ascii="Times New Roman" w:hAnsi="Times New Roman" w:cs="Times New Roman"/>
        </w:rPr>
        <w:t xml:space="preserve"> the premium paid for a newly built home.</w:t>
      </w:r>
      <w:r>
        <w:rPr>
          <w:rFonts w:ascii="Times New Roman" w:hAnsi="Times New Roman" w:cs="Times New Roman"/>
        </w:rPr>
        <w:br/>
        <w:t xml:space="preserve">• </w:t>
      </w:r>
      <w:r>
        <w:rPr>
          <w:rFonts w:ascii="Times New Roman" w:hAnsi="Times New Roman" w:cs="Times New Roman"/>
          <w:b/>
          <w:bCs/>
        </w:rPr>
        <w:t>Leasehold effect (δ):</w:t>
      </w:r>
      <w:r>
        <w:rPr>
          <w:rFonts w:ascii="Times New Roman" w:hAnsi="Times New Roman" w:cs="Times New Roman"/>
        </w:rPr>
        <w:t xml:space="preserve"> the difference in value between leasehold and freehold.</w:t>
      </w:r>
      <w:r>
        <w:rPr>
          <w:rFonts w:ascii="Times New Roman" w:hAnsi="Times New Roman" w:cs="Times New Roman"/>
        </w:rPr>
        <w:br/>
        <w:t xml:space="preserve">• </w:t>
      </w:r>
      <w:r>
        <w:rPr>
          <w:rFonts w:ascii="Times New Roman" w:hAnsi="Times New Roman" w:cs="Times New Roman"/>
          <w:b/>
          <w:bCs/>
        </w:rPr>
        <w:t>Interaction (θ):</w:t>
      </w:r>
      <w:r>
        <w:rPr>
          <w:rFonts w:ascii="Times New Roman" w:hAnsi="Times New Roman" w:cs="Times New Roman"/>
        </w:rPr>
        <w:t xml:space="preserve"> allows the new build premium to differ by property type, since a new detached house and a new flat need not carry the same premium.</w:t>
      </w:r>
      <w:r>
        <w:rPr>
          <w:rFonts w:ascii="Times New Roman" w:hAnsi="Times New Roman" w:cs="Times New Roman"/>
        </w:rPr>
        <w:br/>
        <w:t xml:space="preserve">• </w:t>
      </w:r>
      <w:r>
        <w:rPr>
          <w:rFonts w:ascii="Times New Roman" w:hAnsi="Times New Roman" w:cs="Times New Roman"/>
          <w:b/>
          <w:bCs/>
        </w:rPr>
        <w:t>Postcode sector effect (μ):</w:t>
      </w:r>
      <w:r>
        <w:rPr>
          <w:rFonts w:ascii="Times New Roman" w:hAnsi="Times New Roman" w:cs="Times New Roman"/>
        </w:rPr>
        <w:t xml:space="preserve"> the location premium or discount of each postcode sector, such as NE3 1 or SR2 8, holding the other attributes fixed.</w:t>
      </w:r>
      <w:r>
        <w:rPr>
          <w:rFonts w:ascii="Times New Roman" w:hAnsi="Times New Roman" w:cs="Times New Roman"/>
        </w:rPr>
        <w:br/>
        <w:t xml:space="preserve">• </w:t>
      </w:r>
      <w:r>
        <w:rPr>
          <w:rFonts w:ascii="Times New Roman" w:hAnsi="Times New Roman" w:cs="Times New Roman"/>
          <w:b/>
          <w:bCs/>
        </w:rPr>
        <w:t>Month effect (τ):</w:t>
      </w:r>
      <w:r>
        <w:rPr>
          <w:rFonts w:ascii="Times New Roman" w:hAnsi="Times New Roman" w:cs="Times New Roman"/>
        </w:rPr>
        <w:t xml:space="preserve"> the general level of prices in each calendar month, which captures market movements over time.</w:t>
      </w:r>
      <w:r>
        <w:rPr>
          <w:rFonts w:ascii="Times New Roman" w:hAnsi="Times New Roman" w:cs="Times New Roman"/>
        </w:rPr>
        <w:br/>
        <w:t xml:space="preserve">• </w:t>
      </w:r>
      <w:r>
        <w:rPr>
          <w:rFonts w:ascii="Times New Roman" w:hAnsi="Times New Roman" w:cs="Times New Roman"/>
          <w:b/>
          <w:bCs/>
        </w:rPr>
        <w:t>Error (ε):</w:t>
      </w:r>
      <w:r>
        <w:rPr>
          <w:rFonts w:ascii="Times New Roman" w:hAnsi="Times New Roman" w:cs="Times New Roman"/>
        </w:rPr>
        <w:t xml:space="preserve"> everything the model cannot see, such as floor area, condition and the circumstances of the sale.</w:t>
      </w:r>
      <w:r>
        <w:rPr>
          <w:rFonts w:ascii="Times New Roman" w:hAnsi="Times New Roman" w:cs="Times New Roman"/>
        </w:rPr>
        <w:br/>
        <w:t xml:space="preserve">Because the model is in logs, each coefficient converts to a percentage price effect with the formula (e raised to the coefficient) minus 1. For example, the </w:t>
      </w:r>
      <w:proofErr w:type="spellStart"/>
      <w:proofErr w:type="gramStart"/>
      <w:r>
        <w:rPr>
          <w:rFonts w:ascii="Times New Roman" w:hAnsi="Times New Roman" w:cs="Times New Roman"/>
        </w:rPr>
        <w:t>semi detached</w:t>
      </w:r>
      <w:proofErr w:type="spellEnd"/>
      <w:proofErr w:type="gramEnd"/>
      <w:r>
        <w:rPr>
          <w:rFonts w:ascii="Times New Roman" w:hAnsi="Times New Roman" w:cs="Times New Roman"/>
        </w:rPr>
        <w:t xml:space="preserve"> coefficient of 0.215 in Table 4 means e⁰·²¹⁵ − 1 = 0.240, so a </w:t>
      </w:r>
      <w:proofErr w:type="spellStart"/>
      <w:proofErr w:type="gramStart"/>
      <w:r>
        <w:rPr>
          <w:rFonts w:ascii="Times New Roman" w:hAnsi="Times New Roman" w:cs="Times New Roman"/>
        </w:rPr>
        <w:t>semi detached</w:t>
      </w:r>
      <w:proofErr w:type="spellEnd"/>
      <w:proofErr w:type="gramEnd"/>
      <w:r>
        <w:rPr>
          <w:rFonts w:ascii="Times New Roman" w:hAnsi="Times New Roman" w:cs="Times New Roman"/>
        </w:rPr>
        <w:t xml:space="preserve"> house sells for about 24 per cent more than an otherwise similar terraced house in the same sector and month.</w:t>
      </w:r>
      <w:r>
        <w:rPr>
          <w:rFonts w:ascii="Times New Roman" w:hAnsi="Times New Roman" w:cs="Times New Roman"/>
        </w:rPr>
        <w:br/>
      </w:r>
      <w:r>
        <w:rPr>
          <w:rFonts w:ascii="Times New Roman" w:hAnsi="Times New Roman" w:cs="Times New Roman"/>
          <w:b/>
          <w:bCs/>
        </w:rPr>
        <w:t>4.3 Tuning and testing</w:t>
      </w:r>
      <w:r>
        <w:rPr>
          <w:rFonts w:ascii="Times New Roman" w:hAnsi="Times New Roman" w:cs="Times New Roman"/>
        </w:rPr>
        <w:br/>
        <w:t xml:space="preserve">The test design follows how an AVM is used in practice. Hyperparameters and ensemble weights were chosen by training on the 31,076 sales of 2019 to 2022 and validating on the </w:t>
      </w:r>
      <w:r>
        <w:rPr>
          <w:rFonts w:ascii="Times New Roman" w:hAnsi="Times New Roman" w:cs="Times New Roman"/>
        </w:rPr>
        <w:lastRenderedPageBreak/>
        <w:t>6,908 sales of 2023. The grids were small and are reported in full in the replication files: for the random forest, minimum leaf sizes of 3 and 10 and feature fractions of 0.33 and 0.6; for gradient boosting, learning rates of 0.03 and 0.08, 31 or 63 leaves and minimum leaf sizes of 20 and 60. The selected settings were a leaf size of 3 with a feature fraction of 0.33 for the forest, and a learning rate of 0.03 with 31 leaves and a minimum leaf size of 60 for boosting. The validation set gave the ensemble weights of 0 for the hedonic model, 0.35 for the random forest and 0.65 for gradient boosting.</w:t>
      </w:r>
      <w:r>
        <w:rPr>
          <w:rFonts w:ascii="Times New Roman" w:hAnsi="Times New Roman" w:cs="Times New Roman"/>
        </w:rPr>
        <w:br/>
        <w:t>The final test is a rolling origin over the four quarters of 2024. Before each quarter, every model is refitted on all sales from January 2019 to the day before the quarter begins, then asked to value that quarter's 1,457 to 1,941 sales. In total, 6,857 sales from 2024 are valued by models that never saw them, nor any later sale.</w:t>
      </w:r>
      <w:r>
        <w:rPr>
          <w:rFonts w:ascii="Times New Roman" w:hAnsi="Times New Roman" w:cs="Times New Roman"/>
        </w:rPr>
        <w:br/>
      </w:r>
      <w:r>
        <w:rPr>
          <w:rFonts w:ascii="Times New Roman" w:hAnsi="Times New Roman" w:cs="Times New Roman"/>
          <w:b/>
          <w:bCs/>
        </w:rPr>
        <w:t>4.4 Measures of accuracy and equity</w:t>
      </w:r>
      <w:r>
        <w:rPr>
          <w:rFonts w:ascii="Times New Roman" w:hAnsi="Times New Roman" w:cs="Times New Roman"/>
        </w:rPr>
        <w:br/>
        <w:t>Accuracy is reported with the measures recommended by Steurer, Hill and Pfeifer (2021):</w:t>
      </w:r>
      <w:r>
        <w:rPr>
          <w:rFonts w:ascii="Times New Roman" w:hAnsi="Times New Roman" w:cs="Times New Roman"/>
        </w:rPr>
        <w:br/>
        <w:t>• mean absolute error (MAE) and root mean squared error (RMSE), both in pounds;</w:t>
      </w:r>
      <w:r>
        <w:rPr>
          <w:rFonts w:ascii="Times New Roman" w:hAnsi="Times New Roman" w:cs="Times New Roman"/>
        </w:rPr>
        <w:br/>
        <w:t xml:space="preserve">• mean and median absolute percentage error (MAPE and </w:t>
      </w:r>
      <w:proofErr w:type="spellStart"/>
      <w:r>
        <w:rPr>
          <w:rFonts w:ascii="Times New Roman" w:hAnsi="Times New Roman" w:cs="Times New Roman"/>
        </w:rPr>
        <w:t>MdAPE</w:t>
      </w:r>
      <w:proofErr w:type="spellEnd"/>
      <w:r>
        <w:rPr>
          <w:rFonts w:ascii="Times New Roman" w:hAnsi="Times New Roman" w:cs="Times New Roman"/>
        </w:rPr>
        <w:t>);</w:t>
      </w:r>
      <w:r>
        <w:rPr>
          <w:rFonts w:ascii="Times New Roman" w:hAnsi="Times New Roman" w:cs="Times New Roman"/>
        </w:rPr>
        <w:br/>
        <w:t>• R squared on the price scale;</w:t>
      </w:r>
      <w:r>
        <w:rPr>
          <w:rFonts w:ascii="Times New Roman" w:hAnsi="Times New Roman" w:cs="Times New Roman"/>
        </w:rPr>
        <w:br/>
        <w:t>• PE10 and PE20, the shares of valuations within 10 and 20 per cent of the sale price.</w:t>
      </w:r>
      <w:r>
        <w:rPr>
          <w:rFonts w:ascii="Times New Roman" w:hAnsi="Times New Roman" w:cs="Times New Roman"/>
        </w:rPr>
        <w:br/>
        <w:t>Equity is assessed with the ratio study measures of IAAO (2013). The ratio is the predicted value divided by the sale price. The coefficient of dispersion (COD) is the mean absolute deviation of the ratio from its median, as a percentage of the median. The price related differential (PRD) is the mean ratio divided by the ratio of summed predictions to summed prices; values above 1.03 indicate regressivity. IAAO guidance suggests a COD of 15 or below for residential property in older or more varied areas.</w:t>
      </w:r>
      <w:r>
        <w:rPr>
          <w:rFonts w:ascii="Times New Roman" w:hAnsi="Times New Roman" w:cs="Times New Roman"/>
        </w:rPr>
        <w:br/>
        <w:t>Differences in MAE between models are tested with a paired bootstrap of 2,000 resamples of the 2024 sales. Explainability is examined in two ways. The first uses the coefficients of a full sample hedonic regression with heteroskedasticity robust (HC1) standard errors. The second uses permutation importance (</w:t>
      </w:r>
      <w:proofErr w:type="spellStart"/>
      <w:r>
        <w:rPr>
          <w:rFonts w:ascii="Times New Roman" w:hAnsi="Times New Roman" w:cs="Times New Roman"/>
        </w:rPr>
        <w:t>Breiman</w:t>
      </w:r>
      <w:proofErr w:type="spellEnd"/>
      <w:r>
        <w:rPr>
          <w:rFonts w:ascii="Times New Roman" w:hAnsi="Times New Roman" w:cs="Times New Roman"/>
        </w:rPr>
        <w:t>, 2001; Fisher, Rudin and Dominici, 2019), measured as the rise in absolute error when each feature is shuffled, for the gradient boosting model of the fourth quarter. SHAP values were not computed because the SHAP library could not be installed in the computing environment; permutation importance answers the same global question with less detail on individual valuations.</w:t>
      </w:r>
      <w:r>
        <w:rPr>
          <w:rFonts w:ascii="Times New Roman" w:hAnsi="Times New Roman" w:cs="Times New Roman"/>
        </w:rPr>
        <w:br/>
      </w:r>
      <w:r>
        <w:rPr>
          <w:rFonts w:ascii="Times New Roman" w:hAnsi="Times New Roman" w:cs="Times New Roman"/>
          <w:b/>
          <w:bCs/>
        </w:rPr>
        <w:t>5. Results</w:t>
      </w:r>
      <w:r>
        <w:rPr>
          <w:rFonts w:ascii="Times New Roman" w:hAnsi="Times New Roman" w:cs="Times New Roman"/>
        </w:rPr>
        <w:br/>
      </w:r>
      <w:r>
        <w:rPr>
          <w:rFonts w:ascii="Times New Roman" w:hAnsi="Times New Roman" w:cs="Times New Roman"/>
          <w:b/>
          <w:bCs/>
        </w:rPr>
        <w:t>5.1 Overall accuracy on 2024 sales</w:t>
      </w:r>
      <w:r>
        <w:rPr>
          <w:rFonts w:ascii="Times New Roman" w:hAnsi="Times New Roman" w:cs="Times New Roman"/>
        </w:rPr>
        <w:br/>
        <w:t xml:space="preserve">The </w:t>
      </w:r>
      <w:proofErr w:type="gramStart"/>
      <w:r>
        <w:rPr>
          <w:rFonts w:ascii="Times New Roman" w:hAnsi="Times New Roman" w:cs="Times New Roman"/>
        </w:rPr>
        <w:t>tree based</w:t>
      </w:r>
      <w:proofErr w:type="gramEnd"/>
      <w:r>
        <w:rPr>
          <w:rFonts w:ascii="Times New Roman" w:hAnsi="Times New Roman" w:cs="Times New Roman"/>
        </w:rPr>
        <w:t xml:space="preserve"> models cut the typical valuation error by about a third relative to both </w:t>
      </w:r>
      <w:r>
        <w:rPr>
          <w:rFonts w:ascii="Times New Roman" w:hAnsi="Times New Roman" w:cs="Times New Roman"/>
        </w:rPr>
        <w:lastRenderedPageBreak/>
        <w:t>benchmarks. Table 2 reports the rolling origin test on all 6,857 standard sales of 2024. The ensemble's median absolute percentage error is 12.6 per cent, against 19.8 per cent for the comparable sales baseline and 20.6 per cent for the hedonic regression. Its mean absolute error is £34,006, compared with £52,707 and £54,645.</w:t>
      </w:r>
      <w:r>
        <w:rPr>
          <w:rFonts w:ascii="Times New Roman" w:hAnsi="Times New Roman" w:cs="Times New Roman"/>
        </w:rPr>
        <w:br/>
      </w:r>
      <w:r>
        <w:rPr>
          <w:rFonts w:ascii="Times New Roman" w:hAnsi="Times New Roman" w:cs="Times New Roman"/>
          <w:b/>
          <w:bCs/>
        </w:rPr>
        <w:t>Table 2. Out of time accuracy, Newcastle upon Tyne and Sunderland, all 2024 sales (n = 6,857)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1"/>
        <w:gridCol w:w="762"/>
        <w:gridCol w:w="814"/>
        <w:gridCol w:w="848"/>
        <w:gridCol w:w="981"/>
        <w:gridCol w:w="600"/>
        <w:gridCol w:w="688"/>
        <w:gridCol w:w="688"/>
        <w:gridCol w:w="945"/>
        <w:gridCol w:w="594"/>
        <w:gridCol w:w="615"/>
      </w:tblGrid>
      <w:tr w:rsidR="008643CA" w:rsidRPr="008643CA" w14:paraId="794311BF" w14:textId="77777777" w:rsidTr="005C19DE">
        <w:trPr>
          <w:tblCellSpacing w:w="15" w:type="dxa"/>
        </w:trPr>
        <w:tc>
          <w:tcPr>
            <w:tcW w:w="0" w:type="auto"/>
            <w:vAlign w:val="center"/>
            <w:hideMark/>
          </w:tcPr>
          <w:p w14:paraId="55F5C237"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Model</w:t>
            </w:r>
          </w:p>
        </w:tc>
        <w:tc>
          <w:tcPr>
            <w:tcW w:w="0" w:type="auto"/>
            <w:vAlign w:val="center"/>
            <w:hideMark/>
          </w:tcPr>
          <w:p w14:paraId="50289C75"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MAE (£)</w:t>
            </w:r>
          </w:p>
        </w:tc>
        <w:tc>
          <w:tcPr>
            <w:tcW w:w="0" w:type="auto"/>
            <w:vAlign w:val="center"/>
            <w:hideMark/>
          </w:tcPr>
          <w:p w14:paraId="41072499"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RMSE (£)</w:t>
            </w:r>
          </w:p>
        </w:tc>
        <w:tc>
          <w:tcPr>
            <w:tcW w:w="0" w:type="auto"/>
            <w:vAlign w:val="center"/>
            <w:hideMark/>
          </w:tcPr>
          <w:p w14:paraId="4A13D13B"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MAPE (%)</w:t>
            </w:r>
          </w:p>
        </w:tc>
        <w:tc>
          <w:tcPr>
            <w:tcW w:w="0" w:type="auto"/>
            <w:vAlign w:val="center"/>
            <w:hideMark/>
          </w:tcPr>
          <w:p w14:paraId="754EA17E" w14:textId="77777777" w:rsidR="008643CA" w:rsidRPr="008643CA" w:rsidRDefault="008643CA" w:rsidP="008643CA">
            <w:pPr>
              <w:spacing w:line="360" w:lineRule="auto"/>
              <w:rPr>
                <w:rFonts w:ascii="Times New Roman" w:hAnsi="Times New Roman" w:cs="Times New Roman"/>
                <w:b/>
                <w:bCs/>
              </w:rPr>
            </w:pPr>
            <w:proofErr w:type="spellStart"/>
            <w:r>
              <w:rPr>
                <w:rFonts w:ascii="Times New Roman" w:hAnsi="Times New Roman" w:cs="Times New Roman"/>
                <w:b/>
                <w:bCs/>
              </w:rPr>
              <w:t>MdAPE</w:t>
            </w:r>
            <w:proofErr w:type="spellEnd"/>
            <w:r>
              <w:rPr>
                <w:rFonts w:ascii="Times New Roman" w:hAnsi="Times New Roman" w:cs="Times New Roman"/>
                <w:b/>
                <w:bCs/>
              </w:rPr>
              <w:t xml:space="preserve"> (%)</w:t>
            </w:r>
          </w:p>
        </w:tc>
        <w:tc>
          <w:tcPr>
            <w:tcW w:w="0" w:type="auto"/>
            <w:vAlign w:val="center"/>
            <w:hideMark/>
          </w:tcPr>
          <w:p w14:paraId="64964F8A"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R²</w:t>
            </w:r>
          </w:p>
        </w:tc>
        <w:tc>
          <w:tcPr>
            <w:tcW w:w="0" w:type="auto"/>
            <w:vAlign w:val="center"/>
            <w:hideMark/>
          </w:tcPr>
          <w:p w14:paraId="75764935"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PE10 (%)</w:t>
            </w:r>
          </w:p>
        </w:tc>
        <w:tc>
          <w:tcPr>
            <w:tcW w:w="0" w:type="auto"/>
            <w:vAlign w:val="center"/>
            <w:hideMark/>
          </w:tcPr>
          <w:p w14:paraId="55E35B8E"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PE20 (%)</w:t>
            </w:r>
          </w:p>
        </w:tc>
        <w:tc>
          <w:tcPr>
            <w:tcW w:w="0" w:type="auto"/>
            <w:vAlign w:val="center"/>
            <w:hideMark/>
          </w:tcPr>
          <w:p w14:paraId="0E3C469B"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Median ratio</w:t>
            </w:r>
          </w:p>
        </w:tc>
        <w:tc>
          <w:tcPr>
            <w:tcW w:w="0" w:type="auto"/>
            <w:vAlign w:val="center"/>
            <w:hideMark/>
          </w:tcPr>
          <w:p w14:paraId="396D70FD"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COD</w:t>
            </w:r>
          </w:p>
        </w:tc>
        <w:tc>
          <w:tcPr>
            <w:tcW w:w="0" w:type="auto"/>
            <w:vAlign w:val="center"/>
            <w:hideMark/>
          </w:tcPr>
          <w:p w14:paraId="36947B18"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PRD</w:t>
            </w:r>
          </w:p>
        </w:tc>
      </w:tr>
      <w:tr w:rsidR="008643CA" w:rsidRPr="008643CA" w14:paraId="4C0DB77C" w14:textId="77777777" w:rsidTr="005C19DE">
        <w:trPr>
          <w:tblCellSpacing w:w="15" w:type="dxa"/>
        </w:trPr>
        <w:tc>
          <w:tcPr>
            <w:tcW w:w="0" w:type="auto"/>
            <w:vAlign w:val="center"/>
            <w:hideMark/>
          </w:tcPr>
          <w:p w14:paraId="1D0CB7E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Comparable sales baseline</w:t>
            </w:r>
          </w:p>
        </w:tc>
        <w:tc>
          <w:tcPr>
            <w:tcW w:w="0" w:type="auto"/>
            <w:vAlign w:val="center"/>
            <w:hideMark/>
          </w:tcPr>
          <w:p w14:paraId="0BF8324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52,707</w:t>
            </w:r>
          </w:p>
        </w:tc>
        <w:tc>
          <w:tcPr>
            <w:tcW w:w="0" w:type="auto"/>
            <w:vAlign w:val="center"/>
            <w:hideMark/>
          </w:tcPr>
          <w:p w14:paraId="4BAE607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86,592</w:t>
            </w:r>
          </w:p>
        </w:tc>
        <w:tc>
          <w:tcPr>
            <w:tcW w:w="0" w:type="auto"/>
            <w:vAlign w:val="center"/>
            <w:hideMark/>
          </w:tcPr>
          <w:p w14:paraId="7BB8247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28.3</w:t>
            </w:r>
          </w:p>
        </w:tc>
        <w:tc>
          <w:tcPr>
            <w:tcW w:w="0" w:type="auto"/>
            <w:vAlign w:val="center"/>
            <w:hideMark/>
          </w:tcPr>
          <w:p w14:paraId="625C355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19.8</w:t>
            </w:r>
          </w:p>
        </w:tc>
        <w:tc>
          <w:tcPr>
            <w:tcW w:w="0" w:type="auto"/>
            <w:vAlign w:val="center"/>
            <w:hideMark/>
          </w:tcPr>
          <w:p w14:paraId="0676F5F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0.572</w:t>
            </w:r>
          </w:p>
        </w:tc>
        <w:tc>
          <w:tcPr>
            <w:tcW w:w="0" w:type="auto"/>
            <w:vAlign w:val="center"/>
            <w:hideMark/>
          </w:tcPr>
          <w:p w14:paraId="1CC7CB4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27.1</w:t>
            </w:r>
          </w:p>
        </w:tc>
        <w:tc>
          <w:tcPr>
            <w:tcW w:w="0" w:type="auto"/>
            <w:vAlign w:val="center"/>
            <w:hideMark/>
          </w:tcPr>
          <w:p w14:paraId="37CDE02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50.4</w:t>
            </w:r>
          </w:p>
        </w:tc>
        <w:tc>
          <w:tcPr>
            <w:tcW w:w="0" w:type="auto"/>
            <w:vAlign w:val="center"/>
            <w:hideMark/>
          </w:tcPr>
          <w:p w14:paraId="701DC41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0.987</w:t>
            </w:r>
          </w:p>
        </w:tc>
        <w:tc>
          <w:tcPr>
            <w:tcW w:w="0" w:type="auto"/>
            <w:vAlign w:val="center"/>
            <w:hideMark/>
          </w:tcPr>
          <w:p w14:paraId="40F954F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28.6</w:t>
            </w:r>
          </w:p>
        </w:tc>
        <w:tc>
          <w:tcPr>
            <w:tcW w:w="0" w:type="auto"/>
            <w:vAlign w:val="center"/>
            <w:hideMark/>
          </w:tcPr>
          <w:p w14:paraId="383E60A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1.130</w:t>
            </w:r>
          </w:p>
        </w:tc>
      </w:tr>
      <w:tr w:rsidR="008643CA" w:rsidRPr="008643CA" w14:paraId="0F64324E" w14:textId="77777777" w:rsidTr="005C19DE">
        <w:trPr>
          <w:tblCellSpacing w:w="15" w:type="dxa"/>
        </w:trPr>
        <w:tc>
          <w:tcPr>
            <w:tcW w:w="0" w:type="auto"/>
            <w:vAlign w:val="center"/>
            <w:hideMark/>
          </w:tcPr>
          <w:p w14:paraId="4544F65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Hedonic regression</w:t>
            </w:r>
          </w:p>
        </w:tc>
        <w:tc>
          <w:tcPr>
            <w:tcW w:w="0" w:type="auto"/>
            <w:vAlign w:val="center"/>
            <w:hideMark/>
          </w:tcPr>
          <w:p w14:paraId="01AAA5A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54,645</w:t>
            </w:r>
          </w:p>
        </w:tc>
        <w:tc>
          <w:tcPr>
            <w:tcW w:w="0" w:type="auto"/>
            <w:vAlign w:val="center"/>
            <w:hideMark/>
          </w:tcPr>
          <w:p w14:paraId="0AA270F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89,062</w:t>
            </w:r>
          </w:p>
        </w:tc>
        <w:tc>
          <w:tcPr>
            <w:tcW w:w="0" w:type="auto"/>
            <w:vAlign w:val="center"/>
            <w:hideMark/>
          </w:tcPr>
          <w:p w14:paraId="14D426B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29.1</w:t>
            </w:r>
          </w:p>
        </w:tc>
        <w:tc>
          <w:tcPr>
            <w:tcW w:w="0" w:type="auto"/>
            <w:vAlign w:val="center"/>
            <w:hideMark/>
          </w:tcPr>
          <w:p w14:paraId="29DD544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20.6</w:t>
            </w:r>
          </w:p>
        </w:tc>
        <w:tc>
          <w:tcPr>
            <w:tcW w:w="0" w:type="auto"/>
            <w:vAlign w:val="center"/>
            <w:hideMark/>
          </w:tcPr>
          <w:p w14:paraId="2AF6AEF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0.547</w:t>
            </w:r>
          </w:p>
        </w:tc>
        <w:tc>
          <w:tcPr>
            <w:tcW w:w="0" w:type="auto"/>
            <w:vAlign w:val="center"/>
            <w:hideMark/>
          </w:tcPr>
          <w:p w14:paraId="54A2743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25.7</w:t>
            </w:r>
          </w:p>
        </w:tc>
        <w:tc>
          <w:tcPr>
            <w:tcW w:w="0" w:type="auto"/>
            <w:vAlign w:val="center"/>
            <w:hideMark/>
          </w:tcPr>
          <w:p w14:paraId="7751FCB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49.0</w:t>
            </w:r>
          </w:p>
        </w:tc>
        <w:tc>
          <w:tcPr>
            <w:tcW w:w="0" w:type="auto"/>
            <w:vAlign w:val="center"/>
            <w:hideMark/>
          </w:tcPr>
          <w:p w14:paraId="1F591BF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0.978</w:t>
            </w:r>
          </w:p>
        </w:tc>
        <w:tc>
          <w:tcPr>
            <w:tcW w:w="0" w:type="auto"/>
            <w:vAlign w:val="center"/>
            <w:hideMark/>
          </w:tcPr>
          <w:p w14:paraId="3893067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29.7</w:t>
            </w:r>
          </w:p>
        </w:tc>
        <w:tc>
          <w:tcPr>
            <w:tcW w:w="0" w:type="auto"/>
            <w:vAlign w:val="center"/>
            <w:hideMark/>
          </w:tcPr>
          <w:p w14:paraId="7B6C938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1.138</w:t>
            </w:r>
          </w:p>
        </w:tc>
      </w:tr>
      <w:tr w:rsidR="008643CA" w:rsidRPr="008643CA" w14:paraId="0A3F221C" w14:textId="77777777" w:rsidTr="005C19DE">
        <w:trPr>
          <w:tblCellSpacing w:w="15" w:type="dxa"/>
        </w:trPr>
        <w:tc>
          <w:tcPr>
            <w:tcW w:w="0" w:type="auto"/>
            <w:vAlign w:val="center"/>
            <w:hideMark/>
          </w:tcPr>
          <w:p w14:paraId="11EA9DD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Random forest</w:t>
            </w:r>
          </w:p>
        </w:tc>
        <w:tc>
          <w:tcPr>
            <w:tcW w:w="0" w:type="auto"/>
            <w:vAlign w:val="center"/>
            <w:hideMark/>
          </w:tcPr>
          <w:p w14:paraId="70B65A8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34,883</w:t>
            </w:r>
          </w:p>
        </w:tc>
        <w:tc>
          <w:tcPr>
            <w:tcW w:w="0" w:type="auto"/>
            <w:vAlign w:val="center"/>
            <w:hideMark/>
          </w:tcPr>
          <w:p w14:paraId="1EBCF9C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59,212</w:t>
            </w:r>
          </w:p>
        </w:tc>
        <w:tc>
          <w:tcPr>
            <w:tcW w:w="0" w:type="auto"/>
            <w:vAlign w:val="center"/>
            <w:hideMark/>
          </w:tcPr>
          <w:p w14:paraId="52C78C2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18.3</w:t>
            </w:r>
          </w:p>
        </w:tc>
        <w:tc>
          <w:tcPr>
            <w:tcW w:w="0" w:type="auto"/>
            <w:vAlign w:val="center"/>
            <w:hideMark/>
          </w:tcPr>
          <w:p w14:paraId="4C57AE5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13.0</w:t>
            </w:r>
          </w:p>
        </w:tc>
        <w:tc>
          <w:tcPr>
            <w:tcW w:w="0" w:type="auto"/>
            <w:vAlign w:val="center"/>
            <w:hideMark/>
          </w:tcPr>
          <w:p w14:paraId="5AC8566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0.800</w:t>
            </w:r>
          </w:p>
        </w:tc>
        <w:tc>
          <w:tcPr>
            <w:tcW w:w="0" w:type="auto"/>
            <w:vAlign w:val="center"/>
            <w:hideMark/>
          </w:tcPr>
          <w:p w14:paraId="52A8D2D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40.3</w:t>
            </w:r>
          </w:p>
        </w:tc>
        <w:tc>
          <w:tcPr>
            <w:tcW w:w="0" w:type="auto"/>
            <w:vAlign w:val="center"/>
            <w:hideMark/>
          </w:tcPr>
          <w:p w14:paraId="31AC646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68.6</w:t>
            </w:r>
          </w:p>
        </w:tc>
        <w:tc>
          <w:tcPr>
            <w:tcW w:w="0" w:type="auto"/>
            <w:vAlign w:val="center"/>
            <w:hideMark/>
          </w:tcPr>
          <w:p w14:paraId="3D93CFE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0.996</w:t>
            </w:r>
          </w:p>
        </w:tc>
        <w:tc>
          <w:tcPr>
            <w:tcW w:w="0" w:type="auto"/>
            <w:vAlign w:val="center"/>
            <w:hideMark/>
          </w:tcPr>
          <w:p w14:paraId="6A9AC12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18.4</w:t>
            </w:r>
          </w:p>
        </w:tc>
        <w:tc>
          <w:tcPr>
            <w:tcW w:w="0" w:type="auto"/>
            <w:vAlign w:val="center"/>
            <w:hideMark/>
          </w:tcPr>
          <w:p w14:paraId="4DEFF96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1.060</w:t>
            </w:r>
          </w:p>
        </w:tc>
      </w:tr>
      <w:tr w:rsidR="008643CA" w:rsidRPr="008643CA" w14:paraId="58E2E36B" w14:textId="77777777" w:rsidTr="005C19DE">
        <w:trPr>
          <w:tblCellSpacing w:w="15" w:type="dxa"/>
        </w:trPr>
        <w:tc>
          <w:tcPr>
            <w:tcW w:w="0" w:type="auto"/>
            <w:vAlign w:val="center"/>
            <w:hideMark/>
          </w:tcPr>
          <w:p w14:paraId="330C492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Gradient boosting</w:t>
            </w:r>
          </w:p>
        </w:tc>
        <w:tc>
          <w:tcPr>
            <w:tcW w:w="0" w:type="auto"/>
            <w:vAlign w:val="center"/>
            <w:hideMark/>
          </w:tcPr>
          <w:p w14:paraId="795FA48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34,144</w:t>
            </w:r>
          </w:p>
        </w:tc>
        <w:tc>
          <w:tcPr>
            <w:tcW w:w="0" w:type="auto"/>
            <w:vAlign w:val="center"/>
            <w:hideMark/>
          </w:tcPr>
          <w:p w14:paraId="65389C5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59,444</w:t>
            </w:r>
          </w:p>
        </w:tc>
        <w:tc>
          <w:tcPr>
            <w:tcW w:w="0" w:type="auto"/>
            <w:vAlign w:val="center"/>
            <w:hideMark/>
          </w:tcPr>
          <w:p w14:paraId="47D1F39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17.9</w:t>
            </w:r>
          </w:p>
        </w:tc>
        <w:tc>
          <w:tcPr>
            <w:tcW w:w="0" w:type="auto"/>
            <w:vAlign w:val="center"/>
            <w:hideMark/>
          </w:tcPr>
          <w:p w14:paraId="5C7AE71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12.4</w:t>
            </w:r>
          </w:p>
        </w:tc>
        <w:tc>
          <w:tcPr>
            <w:tcW w:w="0" w:type="auto"/>
            <w:vAlign w:val="center"/>
            <w:hideMark/>
          </w:tcPr>
          <w:p w14:paraId="71FFFAC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0.798</w:t>
            </w:r>
          </w:p>
        </w:tc>
        <w:tc>
          <w:tcPr>
            <w:tcW w:w="0" w:type="auto"/>
            <w:vAlign w:val="center"/>
            <w:hideMark/>
          </w:tcPr>
          <w:p w14:paraId="0445731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41.5</w:t>
            </w:r>
          </w:p>
        </w:tc>
        <w:tc>
          <w:tcPr>
            <w:tcW w:w="0" w:type="auto"/>
            <w:vAlign w:val="center"/>
            <w:hideMark/>
          </w:tcPr>
          <w:p w14:paraId="775C694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70.2</w:t>
            </w:r>
          </w:p>
        </w:tc>
        <w:tc>
          <w:tcPr>
            <w:tcW w:w="0" w:type="auto"/>
            <w:vAlign w:val="center"/>
            <w:hideMark/>
          </w:tcPr>
          <w:p w14:paraId="2F3EDC2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0.996</w:t>
            </w:r>
          </w:p>
        </w:tc>
        <w:tc>
          <w:tcPr>
            <w:tcW w:w="0" w:type="auto"/>
            <w:vAlign w:val="center"/>
            <w:hideMark/>
          </w:tcPr>
          <w:p w14:paraId="1990694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18.0</w:t>
            </w:r>
          </w:p>
        </w:tc>
        <w:tc>
          <w:tcPr>
            <w:tcW w:w="0" w:type="auto"/>
            <w:vAlign w:val="center"/>
            <w:hideMark/>
          </w:tcPr>
          <w:p w14:paraId="5422DF7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1.061</w:t>
            </w:r>
          </w:p>
        </w:tc>
      </w:tr>
      <w:tr w:rsidR="008643CA" w:rsidRPr="008643CA" w14:paraId="234B87B1" w14:textId="77777777" w:rsidTr="005C19DE">
        <w:trPr>
          <w:tblCellSpacing w:w="15" w:type="dxa"/>
        </w:trPr>
        <w:tc>
          <w:tcPr>
            <w:tcW w:w="0" w:type="auto"/>
            <w:vAlign w:val="center"/>
            <w:hideMark/>
          </w:tcPr>
          <w:p w14:paraId="133B52E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Ensemble</w:t>
            </w:r>
          </w:p>
        </w:tc>
        <w:tc>
          <w:tcPr>
            <w:tcW w:w="0" w:type="auto"/>
            <w:vAlign w:val="center"/>
            <w:hideMark/>
          </w:tcPr>
          <w:p w14:paraId="65E7D88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34,006</w:t>
            </w:r>
          </w:p>
        </w:tc>
        <w:tc>
          <w:tcPr>
            <w:tcW w:w="0" w:type="auto"/>
            <w:vAlign w:val="center"/>
            <w:hideMark/>
          </w:tcPr>
          <w:p w14:paraId="0A6BB6B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58,842</w:t>
            </w:r>
          </w:p>
        </w:tc>
        <w:tc>
          <w:tcPr>
            <w:tcW w:w="0" w:type="auto"/>
            <w:vAlign w:val="center"/>
            <w:hideMark/>
          </w:tcPr>
          <w:p w14:paraId="614DA9B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17.9</w:t>
            </w:r>
          </w:p>
        </w:tc>
        <w:tc>
          <w:tcPr>
            <w:tcW w:w="0" w:type="auto"/>
            <w:vAlign w:val="center"/>
            <w:hideMark/>
          </w:tcPr>
          <w:p w14:paraId="7B7437B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12.6</w:t>
            </w:r>
          </w:p>
        </w:tc>
        <w:tc>
          <w:tcPr>
            <w:tcW w:w="0" w:type="auto"/>
            <w:vAlign w:val="center"/>
            <w:hideMark/>
          </w:tcPr>
          <w:p w14:paraId="3489E20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0.802</w:t>
            </w:r>
          </w:p>
        </w:tc>
        <w:tc>
          <w:tcPr>
            <w:tcW w:w="0" w:type="auto"/>
            <w:vAlign w:val="center"/>
            <w:hideMark/>
          </w:tcPr>
          <w:p w14:paraId="28B05D0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41.4</w:t>
            </w:r>
          </w:p>
        </w:tc>
        <w:tc>
          <w:tcPr>
            <w:tcW w:w="0" w:type="auto"/>
            <w:vAlign w:val="center"/>
            <w:hideMark/>
          </w:tcPr>
          <w:p w14:paraId="10EE1B3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70.3</w:t>
            </w:r>
          </w:p>
        </w:tc>
        <w:tc>
          <w:tcPr>
            <w:tcW w:w="0" w:type="auto"/>
            <w:vAlign w:val="center"/>
            <w:hideMark/>
          </w:tcPr>
          <w:p w14:paraId="19967A2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0.994</w:t>
            </w:r>
          </w:p>
        </w:tc>
        <w:tc>
          <w:tcPr>
            <w:tcW w:w="0" w:type="auto"/>
            <w:vAlign w:val="center"/>
            <w:hideMark/>
          </w:tcPr>
          <w:p w14:paraId="3CD9D37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18.0</w:t>
            </w:r>
          </w:p>
        </w:tc>
        <w:tc>
          <w:tcPr>
            <w:tcW w:w="0" w:type="auto"/>
            <w:vAlign w:val="center"/>
            <w:hideMark/>
          </w:tcPr>
          <w:p w14:paraId="0B930C4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1.061</w:t>
            </w:r>
          </w:p>
        </w:tc>
      </w:tr>
    </w:tbl>
    <w:p w14:paraId="554DA755" w14:textId="5F52E024" w:rsidR="008643CA" w:rsidRPr="00413825" w:rsidRDefault="00413825" w:rsidP="008643CA">
      <w:pPr>
        <w:spacing w:line="360" w:lineRule="auto"/>
        <w:rPr>
          <w:rFonts w:ascii="Times New Roman" w:hAnsi="Times New Roman" w:cs="Times New Roman"/>
        </w:rPr>
      </w:pPr>
      <w:r>
        <w:rPr>
          <w:rFonts w:ascii="Times New Roman" w:hAnsi="Times New Roman" w:cs="Times New Roman"/>
        </w:rPr>
        <w:t>Notes: rolling origin by quarter; each model refitted on all sales from January 2019 to the day before the quarter. The ensemble weights are 0.35 for the random forest and 0.65 for gradient boosting; the validation year gave the hedonic model a weight of zero.</w:t>
      </w:r>
      <w:r>
        <w:rPr>
          <w:rFonts w:ascii="Times New Roman" w:hAnsi="Times New Roman" w:cs="Times New Roman"/>
        </w:rPr>
        <w:br/>
        <w:t>The gain over the benchmarks is large and precise. In the paired bootstrap, the ensemble's MAE is £20,639 lower than the hedonic model's (95 per cent interval £19,431 to £21,853) and £18,701 lower than the comparable baseline's (£17,627 to £19,808). Gains among the tree models are small. Gradient boosting beats the random forest by £740 (£361 to £1,117), and the ensemble's margin over gradient boosting alone, £138, has an interval that touches zero (−£2 to £272). The ensemble therefore adds stability rather than accuracy.</w:t>
      </w:r>
      <w:r>
        <w:rPr>
          <w:rFonts w:ascii="Times New Roman" w:hAnsi="Times New Roman" w:cs="Times New Roman"/>
        </w:rPr>
        <w:br/>
        <w:t xml:space="preserve">The results are stable. On the 2023 validation year the ensemble scored an </w:t>
      </w:r>
      <w:proofErr w:type="spellStart"/>
      <w:r>
        <w:rPr>
          <w:rFonts w:ascii="Times New Roman" w:hAnsi="Times New Roman" w:cs="Times New Roman"/>
        </w:rPr>
        <w:t>MdAPE</w:t>
      </w:r>
      <w:proofErr w:type="spellEnd"/>
      <w:r>
        <w:rPr>
          <w:rFonts w:ascii="Times New Roman" w:hAnsi="Times New Roman" w:cs="Times New Roman"/>
        </w:rPr>
        <w:t xml:space="preserve"> of 13.6 per cent and an MAE of £35,957, close to the 2024 figures. Across the four test quarters its </w:t>
      </w:r>
      <w:proofErr w:type="spellStart"/>
      <w:r>
        <w:rPr>
          <w:rFonts w:ascii="Times New Roman" w:hAnsi="Times New Roman" w:cs="Times New Roman"/>
        </w:rPr>
        <w:t>MdAPE</w:t>
      </w:r>
      <w:proofErr w:type="spellEnd"/>
      <w:r>
        <w:rPr>
          <w:rFonts w:ascii="Times New Roman" w:hAnsi="Times New Roman" w:cs="Times New Roman"/>
        </w:rPr>
        <w:t xml:space="preserve"> ranged from 12.4 to 13.1 per cent. All models are close to unbiased at the median, with median ratios between 0.978 and 0.996.</w:t>
      </w:r>
      <w:r>
        <w:rPr>
          <w:rFonts w:ascii="Times New Roman" w:hAnsi="Times New Roman" w:cs="Times New Roman"/>
        </w:rPr>
        <w:br/>
      </w:r>
      <w:r>
        <w:rPr>
          <w:rFonts w:ascii="Times New Roman" w:hAnsi="Times New Roman" w:cs="Times New Roman"/>
        </w:rPr>
        <w:lastRenderedPageBreak/>
        <w:t>These figures are useful but modest. The models see no floor area or condition, and it shows. Fewer than half of the ensemble's valuations (41.4 per cent) fall within 10 per cent of the price, and its COD of 18.0 exceeds the IAAO ceiling of 15. The models are useful for screening and triage, not for lending decisions on their own.</w:t>
      </w:r>
      <w:r>
        <w:rPr>
          <w:rFonts w:ascii="Times New Roman" w:hAnsi="Times New Roman" w:cs="Times New Roman"/>
        </w:rPr>
        <w:br/>
      </w:r>
      <w:r>
        <w:rPr>
          <w:rFonts w:ascii="Times New Roman" w:hAnsi="Times New Roman" w:cs="Times New Roman"/>
          <w:b/>
          <w:bCs/>
        </w:rPr>
        <w:t>5.2 Where errors concentrate</w:t>
      </w:r>
      <w:r>
        <w:rPr>
          <w:rFonts w:ascii="Times New Roman" w:hAnsi="Times New Roman" w:cs="Times New Roman"/>
        </w:rPr>
        <w:br/>
        <w:t>Table 3 breaks the error down by segment for the two benchmarks and the ensemble.</w:t>
      </w:r>
      <w:r>
        <w:rPr>
          <w:rFonts w:ascii="Times New Roman" w:hAnsi="Times New Roman" w:cs="Times New Roman"/>
        </w:rPr>
        <w:br/>
      </w:r>
      <w:r>
        <w:rPr>
          <w:rFonts w:ascii="Times New Roman" w:hAnsi="Times New Roman" w:cs="Times New Roman"/>
          <w:b/>
          <w:bCs/>
        </w:rPr>
        <w:t>Table 3. Accuracy by segment, 2024 sales</w:t>
      </w:r>
    </w:p>
    <w:tbl>
      <w:tblPr>
        <w:tblW w:w="9458" w:type="dxa"/>
        <w:tblCellSpacing w:w="15" w:type="dxa"/>
        <w:tblCellMar>
          <w:top w:w="15" w:type="dxa"/>
          <w:left w:w="15" w:type="dxa"/>
          <w:bottom w:w="15" w:type="dxa"/>
          <w:right w:w="15" w:type="dxa"/>
        </w:tblCellMar>
        <w:tblLook w:val="04A0" w:firstRow="1" w:lastRow="0" w:firstColumn="1" w:lastColumn="0" w:noHBand="0" w:noVBand="1"/>
      </w:tblPr>
      <w:tblGrid>
        <w:gridCol w:w="2554"/>
        <w:gridCol w:w="600"/>
        <w:gridCol w:w="1846"/>
        <w:gridCol w:w="1420"/>
        <w:gridCol w:w="1566"/>
        <w:gridCol w:w="1472"/>
      </w:tblGrid>
      <w:tr w:rsidR="008643CA" w:rsidRPr="008643CA" w14:paraId="6B115FC0" w14:textId="77777777" w:rsidTr="008643CA">
        <w:trPr>
          <w:trHeight w:val="1145"/>
          <w:tblCellSpacing w:w="15" w:type="dxa"/>
        </w:trPr>
        <w:tc>
          <w:tcPr>
            <w:tcW w:w="0" w:type="auto"/>
            <w:vAlign w:val="center"/>
            <w:hideMark/>
          </w:tcPr>
          <w:p w14:paraId="1F193848"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Segment</w:t>
            </w:r>
          </w:p>
        </w:tc>
        <w:tc>
          <w:tcPr>
            <w:tcW w:w="0" w:type="auto"/>
            <w:vAlign w:val="center"/>
            <w:hideMark/>
          </w:tcPr>
          <w:p w14:paraId="2590D1D0"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Sales</w:t>
            </w:r>
          </w:p>
        </w:tc>
        <w:tc>
          <w:tcPr>
            <w:tcW w:w="0" w:type="auto"/>
            <w:vAlign w:val="center"/>
            <w:hideMark/>
          </w:tcPr>
          <w:p w14:paraId="3FCDE01F"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 xml:space="preserve">Comparable </w:t>
            </w:r>
            <w:proofErr w:type="spellStart"/>
            <w:r>
              <w:rPr>
                <w:rFonts w:ascii="Times New Roman" w:hAnsi="Times New Roman" w:cs="Times New Roman"/>
                <w:b/>
                <w:bCs/>
              </w:rPr>
              <w:t>MdAPE</w:t>
            </w:r>
            <w:proofErr w:type="spellEnd"/>
            <w:r>
              <w:rPr>
                <w:rFonts w:ascii="Times New Roman" w:hAnsi="Times New Roman" w:cs="Times New Roman"/>
                <w:b/>
                <w:bCs/>
              </w:rPr>
              <w:t xml:space="preserve"> (%)</w:t>
            </w:r>
          </w:p>
        </w:tc>
        <w:tc>
          <w:tcPr>
            <w:tcW w:w="0" w:type="auto"/>
            <w:vAlign w:val="center"/>
            <w:hideMark/>
          </w:tcPr>
          <w:p w14:paraId="581BCAA5"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 xml:space="preserve">Hedonic </w:t>
            </w:r>
            <w:proofErr w:type="spellStart"/>
            <w:r>
              <w:rPr>
                <w:rFonts w:ascii="Times New Roman" w:hAnsi="Times New Roman" w:cs="Times New Roman"/>
                <w:b/>
                <w:bCs/>
              </w:rPr>
              <w:t>MdAPE</w:t>
            </w:r>
            <w:proofErr w:type="spellEnd"/>
            <w:r>
              <w:rPr>
                <w:rFonts w:ascii="Times New Roman" w:hAnsi="Times New Roman" w:cs="Times New Roman"/>
                <w:b/>
                <w:bCs/>
              </w:rPr>
              <w:t xml:space="preserve"> (%)</w:t>
            </w:r>
          </w:p>
        </w:tc>
        <w:tc>
          <w:tcPr>
            <w:tcW w:w="0" w:type="auto"/>
            <w:vAlign w:val="center"/>
            <w:hideMark/>
          </w:tcPr>
          <w:p w14:paraId="3D39FD6C"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 xml:space="preserve">Ensemble </w:t>
            </w:r>
            <w:proofErr w:type="spellStart"/>
            <w:r>
              <w:rPr>
                <w:rFonts w:ascii="Times New Roman" w:hAnsi="Times New Roman" w:cs="Times New Roman"/>
                <w:b/>
                <w:bCs/>
              </w:rPr>
              <w:t>MdAPE</w:t>
            </w:r>
            <w:proofErr w:type="spellEnd"/>
            <w:r>
              <w:rPr>
                <w:rFonts w:ascii="Times New Roman" w:hAnsi="Times New Roman" w:cs="Times New Roman"/>
                <w:b/>
                <w:bCs/>
              </w:rPr>
              <w:t xml:space="preserve"> (%)</w:t>
            </w:r>
          </w:p>
        </w:tc>
        <w:tc>
          <w:tcPr>
            <w:tcW w:w="0" w:type="auto"/>
            <w:vAlign w:val="center"/>
            <w:hideMark/>
          </w:tcPr>
          <w:p w14:paraId="74BBFE22"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Ensemble PE10 (%)</w:t>
            </w:r>
          </w:p>
        </w:tc>
      </w:tr>
      <w:tr w:rsidR="008643CA" w:rsidRPr="008643CA" w14:paraId="7E993349" w14:textId="77777777" w:rsidTr="008643CA">
        <w:trPr>
          <w:trHeight w:val="488"/>
          <w:tblCellSpacing w:w="15" w:type="dxa"/>
        </w:trPr>
        <w:tc>
          <w:tcPr>
            <w:tcW w:w="0" w:type="auto"/>
            <w:vAlign w:val="center"/>
            <w:hideMark/>
          </w:tcPr>
          <w:p w14:paraId="14933D4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Newcastle upon Tyne</w:t>
            </w:r>
          </w:p>
        </w:tc>
        <w:tc>
          <w:tcPr>
            <w:tcW w:w="0" w:type="auto"/>
            <w:vAlign w:val="center"/>
            <w:hideMark/>
          </w:tcPr>
          <w:p w14:paraId="6FA21E8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3,614</w:t>
            </w:r>
          </w:p>
        </w:tc>
        <w:tc>
          <w:tcPr>
            <w:tcW w:w="0" w:type="auto"/>
            <w:vAlign w:val="center"/>
            <w:hideMark/>
          </w:tcPr>
          <w:p w14:paraId="397B516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19.1</w:t>
            </w:r>
          </w:p>
        </w:tc>
        <w:tc>
          <w:tcPr>
            <w:tcW w:w="0" w:type="auto"/>
            <w:vAlign w:val="center"/>
            <w:hideMark/>
          </w:tcPr>
          <w:p w14:paraId="4AEDD2C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20.0</w:t>
            </w:r>
          </w:p>
        </w:tc>
        <w:tc>
          <w:tcPr>
            <w:tcW w:w="0" w:type="auto"/>
            <w:vAlign w:val="center"/>
            <w:hideMark/>
          </w:tcPr>
          <w:p w14:paraId="20BBDC4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11.9</w:t>
            </w:r>
          </w:p>
        </w:tc>
        <w:tc>
          <w:tcPr>
            <w:tcW w:w="0" w:type="auto"/>
            <w:vAlign w:val="center"/>
            <w:hideMark/>
          </w:tcPr>
          <w:p w14:paraId="61FE94A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43.2</w:t>
            </w:r>
          </w:p>
        </w:tc>
      </w:tr>
      <w:tr w:rsidR="008643CA" w:rsidRPr="008643CA" w14:paraId="782F662A" w14:textId="77777777" w:rsidTr="008643CA">
        <w:trPr>
          <w:trHeight w:val="488"/>
          <w:tblCellSpacing w:w="15" w:type="dxa"/>
        </w:trPr>
        <w:tc>
          <w:tcPr>
            <w:tcW w:w="0" w:type="auto"/>
            <w:vAlign w:val="center"/>
            <w:hideMark/>
          </w:tcPr>
          <w:p w14:paraId="5651844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Sunderland</w:t>
            </w:r>
          </w:p>
        </w:tc>
        <w:tc>
          <w:tcPr>
            <w:tcW w:w="0" w:type="auto"/>
            <w:vAlign w:val="center"/>
            <w:hideMark/>
          </w:tcPr>
          <w:p w14:paraId="104DB03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3,243</w:t>
            </w:r>
          </w:p>
        </w:tc>
        <w:tc>
          <w:tcPr>
            <w:tcW w:w="0" w:type="auto"/>
            <w:vAlign w:val="center"/>
            <w:hideMark/>
          </w:tcPr>
          <w:p w14:paraId="0F6E7FA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20.7</w:t>
            </w:r>
          </w:p>
        </w:tc>
        <w:tc>
          <w:tcPr>
            <w:tcW w:w="0" w:type="auto"/>
            <w:vAlign w:val="center"/>
            <w:hideMark/>
          </w:tcPr>
          <w:p w14:paraId="1D23262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21.2</w:t>
            </w:r>
          </w:p>
        </w:tc>
        <w:tc>
          <w:tcPr>
            <w:tcW w:w="0" w:type="auto"/>
            <w:vAlign w:val="center"/>
            <w:hideMark/>
          </w:tcPr>
          <w:p w14:paraId="687C21E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13.3</w:t>
            </w:r>
          </w:p>
        </w:tc>
        <w:tc>
          <w:tcPr>
            <w:tcW w:w="0" w:type="auto"/>
            <w:vAlign w:val="center"/>
            <w:hideMark/>
          </w:tcPr>
          <w:p w14:paraId="7D2E66E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39.4</w:t>
            </w:r>
          </w:p>
        </w:tc>
      </w:tr>
      <w:tr w:rsidR="008643CA" w:rsidRPr="008643CA" w14:paraId="6AFBD83A" w14:textId="77777777" w:rsidTr="008643CA">
        <w:trPr>
          <w:trHeight w:val="488"/>
          <w:tblCellSpacing w:w="15" w:type="dxa"/>
        </w:trPr>
        <w:tc>
          <w:tcPr>
            <w:tcW w:w="0" w:type="auto"/>
            <w:vAlign w:val="center"/>
            <w:hideMark/>
          </w:tcPr>
          <w:p w14:paraId="4D6F51F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Detached</w:t>
            </w:r>
          </w:p>
        </w:tc>
        <w:tc>
          <w:tcPr>
            <w:tcW w:w="0" w:type="auto"/>
            <w:vAlign w:val="center"/>
            <w:hideMark/>
          </w:tcPr>
          <w:p w14:paraId="42A8628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1,313</w:t>
            </w:r>
          </w:p>
        </w:tc>
        <w:tc>
          <w:tcPr>
            <w:tcW w:w="0" w:type="auto"/>
            <w:vAlign w:val="center"/>
            <w:hideMark/>
          </w:tcPr>
          <w:p w14:paraId="50D96B5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14.8</w:t>
            </w:r>
          </w:p>
        </w:tc>
        <w:tc>
          <w:tcPr>
            <w:tcW w:w="0" w:type="auto"/>
            <w:vAlign w:val="center"/>
            <w:hideMark/>
          </w:tcPr>
          <w:p w14:paraId="3FF7408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17.0</w:t>
            </w:r>
          </w:p>
        </w:tc>
        <w:tc>
          <w:tcPr>
            <w:tcW w:w="0" w:type="auto"/>
            <w:vAlign w:val="center"/>
            <w:hideMark/>
          </w:tcPr>
          <w:p w14:paraId="0B730157"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11.3</w:t>
            </w:r>
          </w:p>
        </w:tc>
        <w:tc>
          <w:tcPr>
            <w:tcW w:w="0" w:type="auto"/>
            <w:vAlign w:val="center"/>
            <w:hideMark/>
          </w:tcPr>
          <w:p w14:paraId="560723F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45.8</w:t>
            </w:r>
          </w:p>
        </w:tc>
      </w:tr>
      <w:tr w:rsidR="008643CA" w:rsidRPr="008643CA" w14:paraId="7B1DA3D9" w14:textId="77777777" w:rsidTr="008643CA">
        <w:trPr>
          <w:trHeight w:val="488"/>
          <w:tblCellSpacing w:w="15" w:type="dxa"/>
        </w:trPr>
        <w:tc>
          <w:tcPr>
            <w:tcW w:w="0" w:type="auto"/>
            <w:vAlign w:val="center"/>
            <w:hideMark/>
          </w:tcPr>
          <w:p w14:paraId="5AA321E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Semi detached</w:t>
            </w:r>
          </w:p>
        </w:tc>
        <w:tc>
          <w:tcPr>
            <w:tcW w:w="0" w:type="auto"/>
            <w:vAlign w:val="center"/>
            <w:hideMark/>
          </w:tcPr>
          <w:p w14:paraId="3F5980D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2,234</w:t>
            </w:r>
          </w:p>
        </w:tc>
        <w:tc>
          <w:tcPr>
            <w:tcW w:w="0" w:type="auto"/>
            <w:vAlign w:val="center"/>
            <w:hideMark/>
          </w:tcPr>
          <w:p w14:paraId="67B0F96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18.7</w:t>
            </w:r>
          </w:p>
        </w:tc>
        <w:tc>
          <w:tcPr>
            <w:tcW w:w="0" w:type="auto"/>
            <w:vAlign w:val="center"/>
            <w:hideMark/>
          </w:tcPr>
          <w:p w14:paraId="0B5D6FF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18.0</w:t>
            </w:r>
          </w:p>
        </w:tc>
        <w:tc>
          <w:tcPr>
            <w:tcW w:w="0" w:type="auto"/>
            <w:vAlign w:val="center"/>
            <w:hideMark/>
          </w:tcPr>
          <w:p w14:paraId="1A9E08E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11.8</w:t>
            </w:r>
          </w:p>
        </w:tc>
        <w:tc>
          <w:tcPr>
            <w:tcW w:w="0" w:type="auto"/>
            <w:vAlign w:val="center"/>
            <w:hideMark/>
          </w:tcPr>
          <w:p w14:paraId="3BC7CD5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44.0</w:t>
            </w:r>
          </w:p>
        </w:tc>
      </w:tr>
      <w:tr w:rsidR="008643CA" w:rsidRPr="008643CA" w14:paraId="21E75946" w14:textId="77777777" w:rsidTr="008643CA">
        <w:trPr>
          <w:trHeight w:val="473"/>
          <w:tblCellSpacing w:w="15" w:type="dxa"/>
        </w:trPr>
        <w:tc>
          <w:tcPr>
            <w:tcW w:w="0" w:type="auto"/>
            <w:vAlign w:val="center"/>
            <w:hideMark/>
          </w:tcPr>
          <w:p w14:paraId="3B23B7D7"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Terraced</w:t>
            </w:r>
          </w:p>
        </w:tc>
        <w:tc>
          <w:tcPr>
            <w:tcW w:w="0" w:type="auto"/>
            <w:vAlign w:val="center"/>
            <w:hideMark/>
          </w:tcPr>
          <w:p w14:paraId="64507E4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2,244</w:t>
            </w:r>
          </w:p>
        </w:tc>
        <w:tc>
          <w:tcPr>
            <w:tcW w:w="0" w:type="auto"/>
            <w:vAlign w:val="center"/>
            <w:hideMark/>
          </w:tcPr>
          <w:p w14:paraId="7F088AE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23.8</w:t>
            </w:r>
          </w:p>
        </w:tc>
        <w:tc>
          <w:tcPr>
            <w:tcW w:w="0" w:type="auto"/>
            <w:vAlign w:val="center"/>
            <w:hideMark/>
          </w:tcPr>
          <w:p w14:paraId="05C6CE5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24.6</w:t>
            </w:r>
          </w:p>
        </w:tc>
        <w:tc>
          <w:tcPr>
            <w:tcW w:w="0" w:type="auto"/>
            <w:vAlign w:val="center"/>
            <w:hideMark/>
          </w:tcPr>
          <w:p w14:paraId="36E5A4A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13.4</w:t>
            </w:r>
          </w:p>
        </w:tc>
        <w:tc>
          <w:tcPr>
            <w:tcW w:w="0" w:type="auto"/>
            <w:vAlign w:val="center"/>
            <w:hideMark/>
          </w:tcPr>
          <w:p w14:paraId="22EAB9D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38.7</w:t>
            </w:r>
          </w:p>
        </w:tc>
      </w:tr>
      <w:tr w:rsidR="008643CA" w:rsidRPr="008643CA" w14:paraId="6AEE7736" w14:textId="77777777" w:rsidTr="008643CA">
        <w:trPr>
          <w:trHeight w:val="488"/>
          <w:tblCellSpacing w:w="15" w:type="dxa"/>
        </w:trPr>
        <w:tc>
          <w:tcPr>
            <w:tcW w:w="0" w:type="auto"/>
            <w:vAlign w:val="center"/>
            <w:hideMark/>
          </w:tcPr>
          <w:p w14:paraId="43589DC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Flat</w:t>
            </w:r>
          </w:p>
        </w:tc>
        <w:tc>
          <w:tcPr>
            <w:tcW w:w="0" w:type="auto"/>
            <w:vAlign w:val="center"/>
            <w:hideMark/>
          </w:tcPr>
          <w:p w14:paraId="39AADDB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1,066</w:t>
            </w:r>
          </w:p>
        </w:tc>
        <w:tc>
          <w:tcPr>
            <w:tcW w:w="0" w:type="auto"/>
            <w:vAlign w:val="center"/>
            <w:hideMark/>
          </w:tcPr>
          <w:p w14:paraId="6B07EB2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21.8</w:t>
            </w:r>
          </w:p>
        </w:tc>
        <w:tc>
          <w:tcPr>
            <w:tcW w:w="0" w:type="auto"/>
            <w:vAlign w:val="center"/>
            <w:hideMark/>
          </w:tcPr>
          <w:p w14:paraId="29D509D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25.2</w:t>
            </w:r>
          </w:p>
        </w:tc>
        <w:tc>
          <w:tcPr>
            <w:tcW w:w="0" w:type="auto"/>
            <w:vAlign w:val="center"/>
            <w:hideMark/>
          </w:tcPr>
          <w:p w14:paraId="6CE657E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14.1</w:t>
            </w:r>
          </w:p>
        </w:tc>
        <w:tc>
          <w:tcPr>
            <w:tcW w:w="0" w:type="auto"/>
            <w:vAlign w:val="center"/>
            <w:hideMark/>
          </w:tcPr>
          <w:p w14:paraId="5BC68BC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36.0</w:t>
            </w:r>
          </w:p>
        </w:tc>
      </w:tr>
      <w:tr w:rsidR="008643CA" w:rsidRPr="008643CA" w14:paraId="5128E017" w14:textId="77777777" w:rsidTr="008643CA">
        <w:trPr>
          <w:trHeight w:val="488"/>
          <w:tblCellSpacing w:w="15" w:type="dxa"/>
        </w:trPr>
        <w:tc>
          <w:tcPr>
            <w:tcW w:w="0" w:type="auto"/>
            <w:vAlign w:val="center"/>
            <w:hideMark/>
          </w:tcPr>
          <w:p w14:paraId="59604BD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New build</w:t>
            </w:r>
          </w:p>
        </w:tc>
        <w:tc>
          <w:tcPr>
            <w:tcW w:w="0" w:type="auto"/>
            <w:vAlign w:val="center"/>
            <w:hideMark/>
          </w:tcPr>
          <w:p w14:paraId="5E4AC02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948</w:t>
            </w:r>
          </w:p>
        </w:tc>
        <w:tc>
          <w:tcPr>
            <w:tcW w:w="0" w:type="auto"/>
            <w:vAlign w:val="center"/>
            <w:hideMark/>
          </w:tcPr>
          <w:p w14:paraId="74B9E5AA"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14.4</w:t>
            </w:r>
          </w:p>
        </w:tc>
        <w:tc>
          <w:tcPr>
            <w:tcW w:w="0" w:type="auto"/>
            <w:vAlign w:val="center"/>
            <w:hideMark/>
          </w:tcPr>
          <w:p w14:paraId="1AAC9AA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14.1</w:t>
            </w:r>
          </w:p>
        </w:tc>
        <w:tc>
          <w:tcPr>
            <w:tcW w:w="0" w:type="auto"/>
            <w:vAlign w:val="center"/>
            <w:hideMark/>
          </w:tcPr>
          <w:p w14:paraId="6AB4CD4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9.8</w:t>
            </w:r>
          </w:p>
        </w:tc>
        <w:tc>
          <w:tcPr>
            <w:tcW w:w="0" w:type="auto"/>
            <w:vAlign w:val="center"/>
            <w:hideMark/>
          </w:tcPr>
          <w:p w14:paraId="353519B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51.7</w:t>
            </w:r>
          </w:p>
        </w:tc>
      </w:tr>
      <w:tr w:rsidR="008643CA" w:rsidRPr="008643CA" w14:paraId="51EEECDF" w14:textId="77777777" w:rsidTr="008643CA">
        <w:trPr>
          <w:trHeight w:val="488"/>
          <w:tblCellSpacing w:w="15" w:type="dxa"/>
        </w:trPr>
        <w:tc>
          <w:tcPr>
            <w:tcW w:w="0" w:type="auto"/>
            <w:vAlign w:val="center"/>
            <w:hideMark/>
          </w:tcPr>
          <w:p w14:paraId="2829C54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Existing dwelling</w:t>
            </w:r>
          </w:p>
        </w:tc>
        <w:tc>
          <w:tcPr>
            <w:tcW w:w="0" w:type="auto"/>
            <w:vAlign w:val="center"/>
            <w:hideMark/>
          </w:tcPr>
          <w:p w14:paraId="6582C08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5,909</w:t>
            </w:r>
          </w:p>
        </w:tc>
        <w:tc>
          <w:tcPr>
            <w:tcW w:w="0" w:type="auto"/>
            <w:vAlign w:val="center"/>
            <w:hideMark/>
          </w:tcPr>
          <w:p w14:paraId="64203B8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20.9</w:t>
            </w:r>
          </w:p>
        </w:tc>
        <w:tc>
          <w:tcPr>
            <w:tcW w:w="0" w:type="auto"/>
            <w:vAlign w:val="center"/>
            <w:hideMark/>
          </w:tcPr>
          <w:p w14:paraId="43979C8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22.2</w:t>
            </w:r>
          </w:p>
        </w:tc>
        <w:tc>
          <w:tcPr>
            <w:tcW w:w="0" w:type="auto"/>
            <w:vAlign w:val="center"/>
            <w:hideMark/>
          </w:tcPr>
          <w:p w14:paraId="2A5BD62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13.1</w:t>
            </w:r>
          </w:p>
        </w:tc>
        <w:tc>
          <w:tcPr>
            <w:tcW w:w="0" w:type="auto"/>
            <w:vAlign w:val="center"/>
            <w:hideMark/>
          </w:tcPr>
          <w:p w14:paraId="2032A4F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39.8</w:t>
            </w:r>
          </w:p>
        </w:tc>
      </w:tr>
      <w:tr w:rsidR="008643CA" w:rsidRPr="008643CA" w14:paraId="5C2F45B7" w14:textId="77777777" w:rsidTr="008643CA">
        <w:trPr>
          <w:trHeight w:val="488"/>
          <w:tblCellSpacing w:w="15" w:type="dxa"/>
        </w:trPr>
        <w:tc>
          <w:tcPr>
            <w:tcW w:w="0" w:type="auto"/>
            <w:vAlign w:val="center"/>
            <w:hideMark/>
          </w:tcPr>
          <w:p w14:paraId="560204B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Previous sale on record</w:t>
            </w:r>
          </w:p>
        </w:tc>
        <w:tc>
          <w:tcPr>
            <w:tcW w:w="0" w:type="auto"/>
            <w:vAlign w:val="center"/>
            <w:hideMark/>
          </w:tcPr>
          <w:p w14:paraId="267CF62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1,521</w:t>
            </w:r>
          </w:p>
        </w:tc>
        <w:tc>
          <w:tcPr>
            <w:tcW w:w="0" w:type="auto"/>
            <w:vAlign w:val="center"/>
            <w:hideMark/>
          </w:tcPr>
          <w:p w14:paraId="22FBAC5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19.0</w:t>
            </w:r>
          </w:p>
        </w:tc>
        <w:tc>
          <w:tcPr>
            <w:tcW w:w="0" w:type="auto"/>
            <w:vAlign w:val="center"/>
            <w:hideMark/>
          </w:tcPr>
          <w:p w14:paraId="2C0FDA67"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20.1</w:t>
            </w:r>
          </w:p>
        </w:tc>
        <w:tc>
          <w:tcPr>
            <w:tcW w:w="0" w:type="auto"/>
            <w:vAlign w:val="center"/>
            <w:hideMark/>
          </w:tcPr>
          <w:p w14:paraId="773A75D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9.2</w:t>
            </w:r>
          </w:p>
        </w:tc>
        <w:tc>
          <w:tcPr>
            <w:tcW w:w="0" w:type="auto"/>
            <w:vAlign w:val="center"/>
            <w:hideMark/>
          </w:tcPr>
          <w:p w14:paraId="18C86DF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53.3</w:t>
            </w:r>
          </w:p>
        </w:tc>
      </w:tr>
      <w:tr w:rsidR="008643CA" w:rsidRPr="008643CA" w14:paraId="0E7F8B86" w14:textId="77777777" w:rsidTr="008643CA">
        <w:trPr>
          <w:trHeight w:val="488"/>
          <w:tblCellSpacing w:w="15" w:type="dxa"/>
        </w:trPr>
        <w:tc>
          <w:tcPr>
            <w:tcW w:w="0" w:type="auto"/>
            <w:vAlign w:val="center"/>
            <w:hideMark/>
          </w:tcPr>
          <w:p w14:paraId="1C92650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No previous sale</w:t>
            </w:r>
          </w:p>
        </w:tc>
        <w:tc>
          <w:tcPr>
            <w:tcW w:w="0" w:type="auto"/>
            <w:vAlign w:val="center"/>
            <w:hideMark/>
          </w:tcPr>
          <w:p w14:paraId="373ABEC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5,336</w:t>
            </w:r>
          </w:p>
        </w:tc>
        <w:tc>
          <w:tcPr>
            <w:tcW w:w="0" w:type="auto"/>
            <w:vAlign w:val="center"/>
            <w:hideMark/>
          </w:tcPr>
          <w:p w14:paraId="63B6583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20.0</w:t>
            </w:r>
          </w:p>
        </w:tc>
        <w:tc>
          <w:tcPr>
            <w:tcW w:w="0" w:type="auto"/>
            <w:vAlign w:val="center"/>
            <w:hideMark/>
          </w:tcPr>
          <w:p w14:paraId="6564554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20.8</w:t>
            </w:r>
          </w:p>
        </w:tc>
        <w:tc>
          <w:tcPr>
            <w:tcW w:w="0" w:type="auto"/>
            <w:vAlign w:val="center"/>
            <w:hideMark/>
          </w:tcPr>
          <w:p w14:paraId="55298B2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13.6</w:t>
            </w:r>
          </w:p>
        </w:tc>
        <w:tc>
          <w:tcPr>
            <w:tcW w:w="0" w:type="auto"/>
            <w:vAlign w:val="center"/>
            <w:hideMark/>
          </w:tcPr>
          <w:p w14:paraId="35CCD7C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38.0</w:t>
            </w:r>
          </w:p>
        </w:tc>
      </w:tr>
      <w:tr w:rsidR="008643CA" w:rsidRPr="008643CA" w14:paraId="2C4A5085" w14:textId="77777777" w:rsidTr="008643CA">
        <w:trPr>
          <w:trHeight w:val="1130"/>
          <w:tblCellSpacing w:w="15" w:type="dxa"/>
        </w:trPr>
        <w:tc>
          <w:tcPr>
            <w:tcW w:w="0" w:type="auto"/>
            <w:vAlign w:val="center"/>
            <w:hideMark/>
          </w:tcPr>
          <w:p w14:paraId="4E18420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Thin market: under 10 prior sales of type in sector</w:t>
            </w:r>
          </w:p>
        </w:tc>
        <w:tc>
          <w:tcPr>
            <w:tcW w:w="0" w:type="auto"/>
            <w:vAlign w:val="center"/>
            <w:hideMark/>
          </w:tcPr>
          <w:p w14:paraId="13AB240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165</w:t>
            </w:r>
          </w:p>
        </w:tc>
        <w:tc>
          <w:tcPr>
            <w:tcW w:w="0" w:type="auto"/>
            <w:vAlign w:val="center"/>
            <w:hideMark/>
          </w:tcPr>
          <w:p w14:paraId="2790D2B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19.4</w:t>
            </w:r>
          </w:p>
        </w:tc>
        <w:tc>
          <w:tcPr>
            <w:tcW w:w="0" w:type="auto"/>
            <w:vAlign w:val="center"/>
            <w:hideMark/>
          </w:tcPr>
          <w:p w14:paraId="79F09197"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18.4</w:t>
            </w:r>
          </w:p>
        </w:tc>
        <w:tc>
          <w:tcPr>
            <w:tcW w:w="0" w:type="auto"/>
            <w:vAlign w:val="center"/>
            <w:hideMark/>
          </w:tcPr>
          <w:p w14:paraId="1D0E4944"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12.8</w:t>
            </w:r>
          </w:p>
        </w:tc>
        <w:tc>
          <w:tcPr>
            <w:tcW w:w="0" w:type="auto"/>
            <w:vAlign w:val="center"/>
            <w:hideMark/>
          </w:tcPr>
          <w:p w14:paraId="481D6F7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42.4</w:t>
            </w:r>
          </w:p>
        </w:tc>
      </w:tr>
      <w:tr w:rsidR="008643CA" w:rsidRPr="008643CA" w14:paraId="3AC2215F" w14:textId="77777777" w:rsidTr="008643CA">
        <w:trPr>
          <w:trHeight w:val="825"/>
          <w:tblCellSpacing w:w="15" w:type="dxa"/>
        </w:trPr>
        <w:tc>
          <w:tcPr>
            <w:tcW w:w="0" w:type="auto"/>
            <w:vAlign w:val="center"/>
            <w:hideMark/>
          </w:tcPr>
          <w:p w14:paraId="39FFD6C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Medium: 10 to 29 prior sales</w:t>
            </w:r>
          </w:p>
        </w:tc>
        <w:tc>
          <w:tcPr>
            <w:tcW w:w="0" w:type="auto"/>
            <w:vAlign w:val="center"/>
            <w:hideMark/>
          </w:tcPr>
          <w:p w14:paraId="26E08A8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662</w:t>
            </w:r>
          </w:p>
        </w:tc>
        <w:tc>
          <w:tcPr>
            <w:tcW w:w="0" w:type="auto"/>
            <w:vAlign w:val="center"/>
            <w:hideMark/>
          </w:tcPr>
          <w:p w14:paraId="0F2F5A4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20.6</w:t>
            </w:r>
          </w:p>
        </w:tc>
        <w:tc>
          <w:tcPr>
            <w:tcW w:w="0" w:type="auto"/>
            <w:vAlign w:val="center"/>
            <w:hideMark/>
          </w:tcPr>
          <w:p w14:paraId="26A610B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23.0</w:t>
            </w:r>
          </w:p>
        </w:tc>
        <w:tc>
          <w:tcPr>
            <w:tcW w:w="0" w:type="auto"/>
            <w:vAlign w:val="center"/>
            <w:hideMark/>
          </w:tcPr>
          <w:p w14:paraId="4BDCBAB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13.5</w:t>
            </w:r>
          </w:p>
        </w:tc>
        <w:tc>
          <w:tcPr>
            <w:tcW w:w="0" w:type="auto"/>
            <w:vAlign w:val="center"/>
            <w:hideMark/>
          </w:tcPr>
          <w:p w14:paraId="6DF3BDB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38.7</w:t>
            </w:r>
          </w:p>
        </w:tc>
      </w:tr>
      <w:tr w:rsidR="008643CA" w:rsidRPr="008643CA" w14:paraId="27AF15EC" w14:textId="77777777" w:rsidTr="008643CA">
        <w:trPr>
          <w:trHeight w:val="809"/>
          <w:tblCellSpacing w:w="15" w:type="dxa"/>
        </w:trPr>
        <w:tc>
          <w:tcPr>
            <w:tcW w:w="0" w:type="auto"/>
            <w:vAlign w:val="center"/>
            <w:hideMark/>
          </w:tcPr>
          <w:p w14:paraId="44871825"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lastRenderedPageBreak/>
              <w:t>Deep: 30 or more prior sales</w:t>
            </w:r>
          </w:p>
        </w:tc>
        <w:tc>
          <w:tcPr>
            <w:tcW w:w="0" w:type="auto"/>
            <w:vAlign w:val="center"/>
            <w:hideMark/>
          </w:tcPr>
          <w:p w14:paraId="0DB62D1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6,030</w:t>
            </w:r>
          </w:p>
        </w:tc>
        <w:tc>
          <w:tcPr>
            <w:tcW w:w="0" w:type="auto"/>
            <w:vAlign w:val="center"/>
            <w:hideMark/>
          </w:tcPr>
          <w:p w14:paraId="20ECA98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19.7</w:t>
            </w:r>
          </w:p>
        </w:tc>
        <w:tc>
          <w:tcPr>
            <w:tcW w:w="0" w:type="auto"/>
            <w:vAlign w:val="center"/>
            <w:hideMark/>
          </w:tcPr>
          <w:p w14:paraId="3230F95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20.3</w:t>
            </w:r>
          </w:p>
        </w:tc>
        <w:tc>
          <w:tcPr>
            <w:tcW w:w="0" w:type="auto"/>
            <w:vAlign w:val="center"/>
            <w:hideMark/>
          </w:tcPr>
          <w:p w14:paraId="1BDA28C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12.5</w:t>
            </w:r>
          </w:p>
        </w:tc>
        <w:tc>
          <w:tcPr>
            <w:tcW w:w="0" w:type="auto"/>
            <w:vAlign w:val="center"/>
            <w:hideMark/>
          </w:tcPr>
          <w:p w14:paraId="1B5BB157"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41.7</w:t>
            </w:r>
          </w:p>
        </w:tc>
      </w:tr>
    </w:tbl>
    <w:p w14:paraId="6C89D447" w14:textId="054245E4" w:rsidR="008643CA" w:rsidRPr="00413825" w:rsidRDefault="00413825" w:rsidP="008643CA">
      <w:pPr>
        <w:spacing w:line="360" w:lineRule="auto"/>
        <w:rPr>
          <w:rFonts w:ascii="Times New Roman" w:hAnsi="Times New Roman" w:cs="Times New Roman"/>
        </w:rPr>
      </w:pPr>
      <w:r>
        <w:rPr>
          <w:rFonts w:ascii="Times New Roman" w:hAnsi="Times New Roman" w:cs="Times New Roman"/>
        </w:rPr>
        <w:t xml:space="preserve">Four patterns stand out. First, terraced houses and flats are the hardest to value. These are the most varied stock, where size and condition, which the data do not record, differ most within a street. Second, new builds are the easiest, because developers sell similar units at similar prices. Third, a previous sale on record lowers the ensemble's </w:t>
      </w:r>
      <w:proofErr w:type="spellStart"/>
      <w:r>
        <w:rPr>
          <w:rFonts w:ascii="Times New Roman" w:hAnsi="Times New Roman" w:cs="Times New Roman"/>
        </w:rPr>
        <w:t>MdAPE</w:t>
      </w:r>
      <w:proofErr w:type="spellEnd"/>
      <w:r>
        <w:rPr>
          <w:rFonts w:ascii="Times New Roman" w:hAnsi="Times New Roman" w:cs="Times New Roman"/>
        </w:rPr>
        <w:t xml:space="preserve"> from 13.6 to 9.2 per cent, the largest single gain in the table. Fourth, thin markets do not collapse. The ensemble holds an </w:t>
      </w:r>
      <w:proofErr w:type="spellStart"/>
      <w:r>
        <w:rPr>
          <w:rFonts w:ascii="Times New Roman" w:hAnsi="Times New Roman" w:cs="Times New Roman"/>
        </w:rPr>
        <w:t>MdAPE</w:t>
      </w:r>
      <w:proofErr w:type="spellEnd"/>
      <w:r>
        <w:rPr>
          <w:rFonts w:ascii="Times New Roman" w:hAnsi="Times New Roman" w:cs="Times New Roman"/>
        </w:rPr>
        <w:t xml:space="preserve"> of 12.8 per cent where fewer than 10 comparable sales exist, because street and postcode unit history fill the gap. The thin group is small (165 sales), so this last result needs confirming on more data.</w:t>
      </w:r>
      <w:r>
        <w:rPr>
          <w:rFonts w:ascii="Times New Roman" w:hAnsi="Times New Roman" w:cs="Times New Roman"/>
        </w:rPr>
        <w:br/>
        <w:t>Sunderland is valued slightly less accurately than Newcastle despite its deeper sector markets. A likely reason is its lower price level: an error of £15,000 is 15 per cent of a £100,000 terrace but 6 per cent of a £250,000 semi.</w:t>
      </w:r>
      <w:r>
        <w:rPr>
          <w:rFonts w:ascii="Times New Roman" w:hAnsi="Times New Roman" w:cs="Times New Roman"/>
        </w:rPr>
        <w:br/>
      </w:r>
      <w:r>
        <w:rPr>
          <w:rFonts w:ascii="Times New Roman" w:hAnsi="Times New Roman" w:cs="Times New Roman"/>
          <w:b/>
          <w:bCs/>
        </w:rPr>
        <w:t>5.3 Vertical equity</w:t>
      </w:r>
      <w:r>
        <w:rPr>
          <w:rFonts w:ascii="Times New Roman" w:hAnsi="Times New Roman" w:cs="Times New Roman"/>
        </w:rPr>
        <w:br/>
        <w:t>Whether valuations are regressive depends on how the question is asked. Grouped by sale price, every model looks strongly regressive. In the lowest fifth of 2024 sale prices (under £110,000), the ensemble's median ratio is 1.128, an overvaluation of 12.8 per cent. In the highest fifth (over £281,910) it is 0.924, an undervaluation of 7.6 per cent. The PRD of 1.061 lies outside the IAAO range of 0.98 to 1.03.</w:t>
      </w:r>
      <w:r>
        <w:rPr>
          <w:rFonts w:ascii="Times New Roman" w:hAnsi="Times New Roman" w:cs="Times New Roman"/>
        </w:rPr>
        <w:br/>
        <w:t>Part of this pattern is mechanical. Sorting by sale price places in the bottom group the sales that happened to sell below their expected value, so the ratio rises there even for an unbiased model. Grouped instead by predicted value, the ensemble's median ratio stays between 0.979 and 1.007 across all five groups (Figure 1). Grouped that way, the comparable baseline and hedonic model still drift, with ratios between 0.963 and 1.014. The ensemble's PRD of 1.061 is, however, much lower than the 1.130 and 1.138 of the benchmarks, so it is the least regressive of the five on either measure. For lending, the overvaluation of the cheapest homes remains a risk that any user of these models should test for in their own portfolio.</w:t>
      </w:r>
      <w:r>
        <w:rPr>
          <w:rFonts w:ascii="Times New Roman" w:hAnsi="Times New Roman" w:cs="Times New Roman"/>
        </w:rPr>
        <w:br/>
      </w:r>
      <w:r>
        <w:rPr>
          <w:rFonts w:ascii="Times New Roman" w:hAnsi="Times New Roman" w:cs="Times New Roman"/>
          <w:b/>
          <w:bCs/>
        </w:rPr>
        <w:t xml:space="preserve">Figure 1. </w:t>
      </w:r>
      <w:r>
        <w:rPr>
          <w:rFonts w:ascii="Times New Roman" w:hAnsi="Times New Roman" w:cs="Times New Roman"/>
        </w:rPr>
        <w:t>Median ratio of the ensemble value to the sale price, by fifth of the 2024 sales, grouped two ways.</w:t>
      </w:r>
      <w:r>
        <w:rPr>
          <w:rFonts w:ascii="Times New Roman" w:hAnsi="Times New Roman" w:cs="Times New Roman"/>
        </w:rPr>
        <w:br/>
      </w:r>
      <w:r>
        <w:rPr>
          <w:rFonts w:ascii="Times New Roman" w:hAnsi="Times New Roman" w:cs="Times New Roman"/>
          <w:b/>
          <w:bCs/>
          <w:noProof/>
        </w:rPr>
        <w:lastRenderedPageBreak/>
        <w:drawing>
          <wp:inline distT="0" distB="0" distL="0" distR="0" wp14:anchorId="5FD47B46" wp14:editId="41F4A916">
            <wp:extent cx="5553075" cy="3318623"/>
            <wp:effectExtent l="0" t="0" r="0" b="0"/>
            <wp:docPr id="411133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65505" cy="3326051"/>
                    </a:xfrm>
                    <a:prstGeom prst="rect">
                      <a:avLst/>
                    </a:prstGeom>
                    <a:noFill/>
                    <a:ln>
                      <a:noFill/>
                    </a:ln>
                  </pic:spPr>
                </pic:pic>
              </a:graphicData>
            </a:graphic>
          </wp:inline>
        </w:drawing>
      </w:r>
      <w:r>
        <w:rPr>
          <w:rFonts w:ascii="Times New Roman" w:hAnsi="Times New Roman" w:cs="Times New Roman"/>
          <w:b/>
          <w:bCs/>
        </w:rPr>
        <w:br/>
        <w:t>5.4 Does Bank Rate help?</w:t>
      </w:r>
      <w:r>
        <w:rPr>
          <w:rFonts w:ascii="Times New Roman" w:hAnsi="Times New Roman" w:cs="Times New Roman"/>
        </w:rPr>
        <w:br/>
        <w:t xml:space="preserve">Adding Bank Rate to the gradient boosting model left accuracy unchanged: the MAE moved by £40, with a 95 per cent interval of −£135 to £60, and the </w:t>
      </w:r>
      <w:proofErr w:type="spellStart"/>
      <w:r>
        <w:rPr>
          <w:rFonts w:ascii="Times New Roman" w:hAnsi="Times New Roman" w:cs="Times New Roman"/>
        </w:rPr>
        <w:t>MdAPE</w:t>
      </w:r>
      <w:proofErr w:type="spellEnd"/>
      <w:r>
        <w:rPr>
          <w:rFonts w:ascii="Times New Roman" w:hAnsi="Times New Roman" w:cs="Times New Roman"/>
        </w:rPr>
        <w:t xml:space="preserve"> moved from 12.4 to 12.5 per cent. This is not evidence that interest rates do not matter. Their effect on prices is already captured by the </w:t>
      </w:r>
      <w:proofErr w:type="gramStart"/>
      <w:r>
        <w:rPr>
          <w:rFonts w:ascii="Times New Roman" w:hAnsi="Times New Roman" w:cs="Times New Roman"/>
        </w:rPr>
        <w:t>6 month</w:t>
      </w:r>
      <w:proofErr w:type="gramEnd"/>
      <w:r>
        <w:rPr>
          <w:rFonts w:ascii="Times New Roman" w:hAnsi="Times New Roman" w:cs="Times New Roman"/>
        </w:rPr>
        <w:t xml:space="preserve"> market anchor, which moves as the market reacts to rate changes. Over a horizon of one quarter, the recent level of local prices carries the information that the policy rate would add.</w:t>
      </w:r>
      <w:r>
        <w:rPr>
          <w:rFonts w:ascii="Times New Roman" w:hAnsi="Times New Roman" w:cs="Times New Roman"/>
        </w:rPr>
        <w:br/>
      </w:r>
      <w:r>
        <w:rPr>
          <w:rFonts w:ascii="Times New Roman" w:hAnsi="Times New Roman" w:cs="Times New Roman"/>
          <w:b/>
          <w:bCs/>
        </w:rPr>
        <w:t>5.5 What drives the valuations</w:t>
      </w:r>
      <w:r>
        <w:rPr>
          <w:rFonts w:ascii="Times New Roman" w:hAnsi="Times New Roman" w:cs="Times New Roman"/>
        </w:rPr>
        <w:br/>
        <w:t>The full sample hedonic regression (44,841 sales from 2019 to 2024, with district by quarter and 90 location effects; R² of 0.636 on log price) gives economically sensible implicit prices. Table 4 reports them against an existing freehold terraced house.</w:t>
      </w:r>
      <w:r>
        <w:rPr>
          <w:rFonts w:ascii="Times New Roman" w:hAnsi="Times New Roman" w:cs="Times New Roman"/>
        </w:rPr>
        <w:br/>
      </w:r>
      <w:r>
        <w:rPr>
          <w:rFonts w:ascii="Times New Roman" w:hAnsi="Times New Roman" w:cs="Times New Roman"/>
          <w:b/>
          <w:bCs/>
        </w:rPr>
        <w:t>Table 4. Hedonic implicit prices, 2019 to 2024</w:t>
      </w:r>
    </w:p>
    <w:tbl>
      <w:tblPr>
        <w:tblW w:w="8382" w:type="dxa"/>
        <w:tblCellSpacing w:w="15" w:type="dxa"/>
        <w:tblCellMar>
          <w:top w:w="15" w:type="dxa"/>
          <w:left w:w="15" w:type="dxa"/>
          <w:bottom w:w="15" w:type="dxa"/>
          <w:right w:w="15" w:type="dxa"/>
        </w:tblCellMar>
        <w:tblLook w:val="04A0" w:firstRow="1" w:lastRow="0" w:firstColumn="1" w:lastColumn="0" w:noHBand="0" w:noVBand="1"/>
      </w:tblPr>
      <w:tblGrid>
        <w:gridCol w:w="3118"/>
        <w:gridCol w:w="1968"/>
        <w:gridCol w:w="1352"/>
        <w:gridCol w:w="1944"/>
      </w:tblGrid>
      <w:tr w:rsidR="008643CA" w:rsidRPr="008643CA" w14:paraId="3E52B41E" w14:textId="77777777" w:rsidTr="008643CA">
        <w:trPr>
          <w:trHeight w:val="509"/>
          <w:tblCellSpacing w:w="15" w:type="dxa"/>
        </w:trPr>
        <w:tc>
          <w:tcPr>
            <w:tcW w:w="0" w:type="auto"/>
            <w:vAlign w:val="center"/>
            <w:hideMark/>
          </w:tcPr>
          <w:p w14:paraId="7EA18932"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Attribute</w:t>
            </w:r>
          </w:p>
        </w:tc>
        <w:tc>
          <w:tcPr>
            <w:tcW w:w="0" w:type="auto"/>
            <w:vAlign w:val="center"/>
            <w:hideMark/>
          </w:tcPr>
          <w:p w14:paraId="16194877"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Coefficient (log)</w:t>
            </w:r>
          </w:p>
        </w:tc>
        <w:tc>
          <w:tcPr>
            <w:tcW w:w="0" w:type="auto"/>
            <w:vAlign w:val="center"/>
            <w:hideMark/>
          </w:tcPr>
          <w:p w14:paraId="62FDB619"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 xml:space="preserve">Robust </w:t>
            </w:r>
            <w:proofErr w:type="spellStart"/>
            <w:r>
              <w:rPr>
                <w:rFonts w:ascii="Times New Roman" w:hAnsi="Times New Roman" w:cs="Times New Roman"/>
                <w:b/>
                <w:bCs/>
              </w:rPr>
              <w:t>s.e.</w:t>
            </w:r>
            <w:proofErr w:type="spellEnd"/>
          </w:p>
        </w:tc>
        <w:tc>
          <w:tcPr>
            <w:tcW w:w="0" w:type="auto"/>
            <w:vAlign w:val="center"/>
            <w:hideMark/>
          </w:tcPr>
          <w:p w14:paraId="3A3FD81D" w14:textId="77777777" w:rsidR="008643CA" w:rsidRPr="008643CA" w:rsidRDefault="008643CA" w:rsidP="008643CA">
            <w:pPr>
              <w:spacing w:line="360" w:lineRule="auto"/>
              <w:rPr>
                <w:rFonts w:ascii="Times New Roman" w:hAnsi="Times New Roman" w:cs="Times New Roman"/>
                <w:b/>
                <w:bCs/>
              </w:rPr>
            </w:pPr>
            <w:r>
              <w:rPr>
                <w:rFonts w:ascii="Times New Roman" w:hAnsi="Times New Roman" w:cs="Times New Roman"/>
                <w:b/>
                <w:bCs/>
              </w:rPr>
              <w:t>Price effect (%)</w:t>
            </w:r>
          </w:p>
        </w:tc>
      </w:tr>
      <w:tr w:rsidR="008643CA" w:rsidRPr="008643CA" w14:paraId="363029B8" w14:textId="77777777" w:rsidTr="008643CA">
        <w:trPr>
          <w:trHeight w:val="509"/>
          <w:tblCellSpacing w:w="15" w:type="dxa"/>
        </w:trPr>
        <w:tc>
          <w:tcPr>
            <w:tcW w:w="0" w:type="auto"/>
            <w:vAlign w:val="center"/>
            <w:hideMark/>
          </w:tcPr>
          <w:p w14:paraId="05D4A5B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Detached</w:t>
            </w:r>
          </w:p>
        </w:tc>
        <w:tc>
          <w:tcPr>
            <w:tcW w:w="0" w:type="auto"/>
            <w:vAlign w:val="center"/>
            <w:hideMark/>
          </w:tcPr>
          <w:p w14:paraId="49E6F80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0.757</w:t>
            </w:r>
          </w:p>
        </w:tc>
        <w:tc>
          <w:tcPr>
            <w:tcW w:w="0" w:type="auto"/>
            <w:vAlign w:val="center"/>
            <w:hideMark/>
          </w:tcPr>
          <w:p w14:paraId="3CC649D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0.007</w:t>
            </w:r>
          </w:p>
        </w:tc>
        <w:tc>
          <w:tcPr>
            <w:tcW w:w="0" w:type="auto"/>
            <w:vAlign w:val="center"/>
            <w:hideMark/>
          </w:tcPr>
          <w:p w14:paraId="1E0B650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+113.3</w:t>
            </w:r>
          </w:p>
        </w:tc>
      </w:tr>
      <w:tr w:rsidR="008643CA" w:rsidRPr="008643CA" w14:paraId="71E452CA" w14:textId="77777777" w:rsidTr="008643CA">
        <w:trPr>
          <w:trHeight w:val="509"/>
          <w:tblCellSpacing w:w="15" w:type="dxa"/>
        </w:trPr>
        <w:tc>
          <w:tcPr>
            <w:tcW w:w="0" w:type="auto"/>
            <w:vAlign w:val="center"/>
            <w:hideMark/>
          </w:tcPr>
          <w:p w14:paraId="70BD3FB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Semi detached</w:t>
            </w:r>
          </w:p>
        </w:tc>
        <w:tc>
          <w:tcPr>
            <w:tcW w:w="0" w:type="auto"/>
            <w:vAlign w:val="center"/>
            <w:hideMark/>
          </w:tcPr>
          <w:p w14:paraId="27419749"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0.215</w:t>
            </w:r>
          </w:p>
        </w:tc>
        <w:tc>
          <w:tcPr>
            <w:tcW w:w="0" w:type="auto"/>
            <w:vAlign w:val="center"/>
            <w:hideMark/>
          </w:tcPr>
          <w:p w14:paraId="1A559CA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0.005</w:t>
            </w:r>
          </w:p>
        </w:tc>
        <w:tc>
          <w:tcPr>
            <w:tcW w:w="0" w:type="auto"/>
            <w:vAlign w:val="center"/>
            <w:hideMark/>
          </w:tcPr>
          <w:p w14:paraId="61681B1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+24.0</w:t>
            </w:r>
          </w:p>
        </w:tc>
      </w:tr>
      <w:tr w:rsidR="008643CA" w:rsidRPr="008643CA" w14:paraId="57E3C6DF" w14:textId="77777777" w:rsidTr="008643CA">
        <w:trPr>
          <w:trHeight w:val="509"/>
          <w:tblCellSpacing w:w="15" w:type="dxa"/>
        </w:trPr>
        <w:tc>
          <w:tcPr>
            <w:tcW w:w="0" w:type="auto"/>
            <w:vAlign w:val="center"/>
            <w:hideMark/>
          </w:tcPr>
          <w:p w14:paraId="5F48FEE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Flat</w:t>
            </w:r>
          </w:p>
        </w:tc>
        <w:tc>
          <w:tcPr>
            <w:tcW w:w="0" w:type="auto"/>
            <w:vAlign w:val="center"/>
            <w:hideMark/>
          </w:tcPr>
          <w:p w14:paraId="0E66BC0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−0.485</w:t>
            </w:r>
          </w:p>
        </w:tc>
        <w:tc>
          <w:tcPr>
            <w:tcW w:w="0" w:type="auto"/>
            <w:vAlign w:val="center"/>
            <w:hideMark/>
          </w:tcPr>
          <w:p w14:paraId="16474A0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0.009</w:t>
            </w:r>
          </w:p>
        </w:tc>
        <w:tc>
          <w:tcPr>
            <w:tcW w:w="0" w:type="auto"/>
            <w:vAlign w:val="center"/>
            <w:hideMark/>
          </w:tcPr>
          <w:p w14:paraId="47EFDC5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−38.4</w:t>
            </w:r>
          </w:p>
        </w:tc>
      </w:tr>
      <w:tr w:rsidR="008643CA" w:rsidRPr="008643CA" w14:paraId="1B86E2E7" w14:textId="77777777" w:rsidTr="008643CA">
        <w:trPr>
          <w:trHeight w:val="509"/>
          <w:tblCellSpacing w:w="15" w:type="dxa"/>
        </w:trPr>
        <w:tc>
          <w:tcPr>
            <w:tcW w:w="0" w:type="auto"/>
            <w:vAlign w:val="center"/>
            <w:hideMark/>
          </w:tcPr>
          <w:p w14:paraId="585142B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New build (terraced)</w:t>
            </w:r>
          </w:p>
        </w:tc>
        <w:tc>
          <w:tcPr>
            <w:tcW w:w="0" w:type="auto"/>
            <w:vAlign w:val="center"/>
            <w:hideMark/>
          </w:tcPr>
          <w:p w14:paraId="407A0B73"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0.272</w:t>
            </w:r>
          </w:p>
        </w:tc>
        <w:tc>
          <w:tcPr>
            <w:tcW w:w="0" w:type="auto"/>
            <w:vAlign w:val="center"/>
            <w:hideMark/>
          </w:tcPr>
          <w:p w14:paraId="25161CDC"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0.010</w:t>
            </w:r>
          </w:p>
        </w:tc>
        <w:tc>
          <w:tcPr>
            <w:tcW w:w="0" w:type="auto"/>
            <w:vAlign w:val="center"/>
            <w:hideMark/>
          </w:tcPr>
          <w:p w14:paraId="5C5DF4D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+31.2</w:t>
            </w:r>
          </w:p>
        </w:tc>
      </w:tr>
      <w:tr w:rsidR="008643CA" w:rsidRPr="008643CA" w14:paraId="12D8EDE9" w14:textId="77777777" w:rsidTr="008643CA">
        <w:trPr>
          <w:trHeight w:val="509"/>
          <w:tblCellSpacing w:w="15" w:type="dxa"/>
        </w:trPr>
        <w:tc>
          <w:tcPr>
            <w:tcW w:w="0" w:type="auto"/>
            <w:vAlign w:val="center"/>
            <w:hideMark/>
          </w:tcPr>
          <w:p w14:paraId="20BB88F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lastRenderedPageBreak/>
              <w:t>New build × detached</w:t>
            </w:r>
          </w:p>
        </w:tc>
        <w:tc>
          <w:tcPr>
            <w:tcW w:w="0" w:type="auto"/>
            <w:vAlign w:val="center"/>
            <w:hideMark/>
          </w:tcPr>
          <w:p w14:paraId="55834047"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−0.213</w:t>
            </w:r>
          </w:p>
        </w:tc>
        <w:tc>
          <w:tcPr>
            <w:tcW w:w="0" w:type="auto"/>
            <w:vAlign w:val="center"/>
            <w:hideMark/>
          </w:tcPr>
          <w:p w14:paraId="2745D2FD"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0.012</w:t>
            </w:r>
          </w:p>
        </w:tc>
        <w:tc>
          <w:tcPr>
            <w:tcW w:w="0" w:type="auto"/>
            <w:vAlign w:val="center"/>
            <w:hideMark/>
          </w:tcPr>
          <w:p w14:paraId="3CBBFCAB"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−19.2</w:t>
            </w:r>
          </w:p>
        </w:tc>
      </w:tr>
      <w:tr w:rsidR="008643CA" w:rsidRPr="008643CA" w14:paraId="6BA13CC7" w14:textId="77777777" w:rsidTr="008643CA">
        <w:trPr>
          <w:trHeight w:val="509"/>
          <w:tblCellSpacing w:w="15" w:type="dxa"/>
        </w:trPr>
        <w:tc>
          <w:tcPr>
            <w:tcW w:w="0" w:type="auto"/>
            <w:vAlign w:val="center"/>
            <w:hideMark/>
          </w:tcPr>
          <w:p w14:paraId="272BC98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New build × semi detached</w:t>
            </w:r>
          </w:p>
        </w:tc>
        <w:tc>
          <w:tcPr>
            <w:tcW w:w="0" w:type="auto"/>
            <w:vAlign w:val="center"/>
            <w:hideMark/>
          </w:tcPr>
          <w:p w14:paraId="55E0121E"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−0.061</w:t>
            </w:r>
          </w:p>
        </w:tc>
        <w:tc>
          <w:tcPr>
            <w:tcW w:w="0" w:type="auto"/>
            <w:vAlign w:val="center"/>
            <w:hideMark/>
          </w:tcPr>
          <w:p w14:paraId="1023F85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0.011</w:t>
            </w:r>
          </w:p>
        </w:tc>
        <w:tc>
          <w:tcPr>
            <w:tcW w:w="0" w:type="auto"/>
            <w:vAlign w:val="center"/>
            <w:hideMark/>
          </w:tcPr>
          <w:p w14:paraId="4EFA191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−5.9</w:t>
            </w:r>
          </w:p>
        </w:tc>
      </w:tr>
      <w:tr w:rsidR="008643CA" w:rsidRPr="008643CA" w14:paraId="54FCA3C3" w14:textId="77777777" w:rsidTr="008643CA">
        <w:trPr>
          <w:trHeight w:val="509"/>
          <w:tblCellSpacing w:w="15" w:type="dxa"/>
        </w:trPr>
        <w:tc>
          <w:tcPr>
            <w:tcW w:w="0" w:type="auto"/>
            <w:vAlign w:val="center"/>
            <w:hideMark/>
          </w:tcPr>
          <w:p w14:paraId="23A58BB1"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New build × flat</w:t>
            </w:r>
          </w:p>
        </w:tc>
        <w:tc>
          <w:tcPr>
            <w:tcW w:w="0" w:type="auto"/>
            <w:vAlign w:val="center"/>
            <w:hideMark/>
          </w:tcPr>
          <w:p w14:paraId="20ECC04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−0.005</w:t>
            </w:r>
          </w:p>
        </w:tc>
        <w:tc>
          <w:tcPr>
            <w:tcW w:w="0" w:type="auto"/>
            <w:vAlign w:val="center"/>
            <w:hideMark/>
          </w:tcPr>
          <w:p w14:paraId="3598EF0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0.024</w:t>
            </w:r>
          </w:p>
        </w:tc>
        <w:tc>
          <w:tcPr>
            <w:tcW w:w="0" w:type="auto"/>
            <w:vAlign w:val="center"/>
            <w:hideMark/>
          </w:tcPr>
          <w:p w14:paraId="4716E930"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−0.5</w:t>
            </w:r>
          </w:p>
        </w:tc>
      </w:tr>
      <w:tr w:rsidR="008643CA" w:rsidRPr="008643CA" w14:paraId="15D87925" w14:textId="77777777" w:rsidTr="008643CA">
        <w:trPr>
          <w:trHeight w:val="509"/>
          <w:tblCellSpacing w:w="15" w:type="dxa"/>
        </w:trPr>
        <w:tc>
          <w:tcPr>
            <w:tcW w:w="0" w:type="auto"/>
            <w:vAlign w:val="center"/>
            <w:hideMark/>
          </w:tcPr>
          <w:p w14:paraId="7B235B0F"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Leasehold</w:t>
            </w:r>
          </w:p>
        </w:tc>
        <w:tc>
          <w:tcPr>
            <w:tcW w:w="0" w:type="auto"/>
            <w:vAlign w:val="center"/>
            <w:hideMark/>
          </w:tcPr>
          <w:p w14:paraId="16694BE2"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0.004</w:t>
            </w:r>
          </w:p>
        </w:tc>
        <w:tc>
          <w:tcPr>
            <w:tcW w:w="0" w:type="auto"/>
            <w:vAlign w:val="center"/>
            <w:hideMark/>
          </w:tcPr>
          <w:p w14:paraId="6090D346"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0.007</w:t>
            </w:r>
          </w:p>
        </w:tc>
        <w:tc>
          <w:tcPr>
            <w:tcW w:w="0" w:type="auto"/>
            <w:vAlign w:val="center"/>
            <w:hideMark/>
          </w:tcPr>
          <w:p w14:paraId="2F060AC8" w14:textId="77777777" w:rsidR="008643CA" w:rsidRPr="008643CA" w:rsidRDefault="008643CA" w:rsidP="008643CA">
            <w:pPr>
              <w:spacing w:line="360" w:lineRule="auto"/>
              <w:rPr>
                <w:rFonts w:ascii="Times New Roman" w:hAnsi="Times New Roman" w:cs="Times New Roman"/>
              </w:rPr>
            </w:pPr>
            <w:r>
              <w:rPr>
                <w:rFonts w:ascii="Times New Roman" w:hAnsi="Times New Roman" w:cs="Times New Roman"/>
              </w:rPr>
              <w:t>+0.4</w:t>
            </w:r>
          </w:p>
        </w:tc>
      </w:tr>
    </w:tbl>
    <w:p w14:paraId="48864EAA" w14:textId="1A7AB73D" w:rsidR="00EF162C" w:rsidRDefault="00413825" w:rsidP="00D93CF2">
      <w:pPr>
        <w:spacing w:line="360" w:lineRule="auto"/>
        <w:rPr>
          <w:rFonts w:ascii="Times New Roman" w:hAnsi="Times New Roman" w:cs="Times New Roman"/>
        </w:rPr>
      </w:pPr>
      <w:r>
        <w:rPr>
          <w:rFonts w:ascii="Times New Roman" w:hAnsi="Times New Roman" w:cs="Times New Roman"/>
        </w:rPr>
        <w:t xml:space="preserve">Notes: the dependent variable is </w:t>
      </w:r>
      <w:proofErr w:type="gramStart"/>
      <w:r>
        <w:rPr>
          <w:rFonts w:ascii="Times New Roman" w:hAnsi="Times New Roman" w:cs="Times New Roman"/>
        </w:rPr>
        <w:t>log</w:t>
      </w:r>
      <w:proofErr w:type="gramEnd"/>
      <w:r>
        <w:rPr>
          <w:rFonts w:ascii="Times New Roman" w:hAnsi="Times New Roman" w:cs="Times New Roman"/>
        </w:rPr>
        <w:t xml:space="preserve"> price; HC1 standard errors; the price effect is the exponential of the coefficient minus one.</w:t>
      </w:r>
      <w:r>
        <w:rPr>
          <w:rFonts w:ascii="Times New Roman" w:hAnsi="Times New Roman" w:cs="Times New Roman"/>
        </w:rPr>
        <w:br/>
        <w:t xml:space="preserve">The new build premium is about 31 per cent for terraced houses and flats, 23 per cent for </w:t>
      </w:r>
      <w:proofErr w:type="spellStart"/>
      <w:r>
        <w:rPr>
          <w:rFonts w:ascii="Times New Roman" w:hAnsi="Times New Roman" w:cs="Times New Roman"/>
        </w:rPr>
        <w:t>semi detached</w:t>
      </w:r>
      <w:proofErr w:type="spellEnd"/>
      <w:r>
        <w:rPr>
          <w:rFonts w:ascii="Times New Roman" w:hAnsi="Times New Roman" w:cs="Times New Roman"/>
        </w:rPr>
        <w:t xml:space="preserve"> houses and 6 per cent for detached houses. Once location and type are held fixed, leasehold carries no measurable discount, perhaps because most leasehold sales here are flats, whose discount the </w:t>
      </w:r>
      <w:proofErr w:type="gramStart"/>
      <w:r>
        <w:rPr>
          <w:rFonts w:ascii="Times New Roman" w:hAnsi="Times New Roman" w:cs="Times New Roman"/>
        </w:rPr>
        <w:t>type</w:t>
      </w:r>
      <w:proofErr w:type="gramEnd"/>
      <w:r>
        <w:rPr>
          <w:rFonts w:ascii="Times New Roman" w:hAnsi="Times New Roman" w:cs="Times New Roman"/>
        </w:rPr>
        <w:t xml:space="preserve"> effect already captures. Location effects are wide: the 90th percentile sector effect is about three times the 10th.</w:t>
      </w:r>
      <w:r>
        <w:rPr>
          <w:rFonts w:ascii="Times New Roman" w:hAnsi="Times New Roman" w:cs="Times New Roman"/>
        </w:rPr>
        <w:br/>
        <w:t>Permutation importance for the gradient boosting model (Figure 2) tells the same story from the machine learning side. The model relies most on the price history of the same postcode unit, then on property type, the dwelling's own previous sale, and street and sector premia. Calendar time and district carry no importance once the market anchor is in place. This is what a valuer would expect: what nearby, similar homes sold for, and what this home sold for last time.</w:t>
      </w:r>
      <w:r>
        <w:rPr>
          <w:rFonts w:ascii="Times New Roman" w:hAnsi="Times New Roman" w:cs="Times New Roman"/>
        </w:rPr>
        <w:br/>
      </w:r>
      <w:r>
        <w:rPr>
          <w:rFonts w:ascii="Times New Roman" w:hAnsi="Times New Roman" w:cs="Times New Roman"/>
          <w:b/>
          <w:bCs/>
        </w:rPr>
        <w:t xml:space="preserve">Figure 2. </w:t>
      </w:r>
      <w:r>
        <w:rPr>
          <w:rFonts w:ascii="Times New Roman" w:hAnsi="Times New Roman" w:cs="Times New Roman"/>
        </w:rPr>
        <w:t>Permutation importance of the gradient boosting model for the fourth quarter of 2024. The eight lowest features are combined into one bar.</w:t>
      </w:r>
      <w:r>
        <w:rPr>
          <w:rFonts w:ascii="Times New Roman" w:hAnsi="Times New Roman" w:cs="Times New Roman"/>
        </w:rPr>
        <w:br/>
      </w:r>
      <w:r>
        <w:rPr>
          <w:rFonts w:ascii="Times New Roman" w:hAnsi="Times New Roman" w:cs="Times New Roman"/>
          <w:noProof/>
        </w:rPr>
        <w:lastRenderedPageBreak/>
        <w:drawing>
          <wp:inline distT="0" distB="0" distL="0" distR="0" wp14:anchorId="758A13C1" wp14:editId="6CF30430">
            <wp:extent cx="5619750" cy="3639457"/>
            <wp:effectExtent l="0" t="0" r="0" b="0"/>
            <wp:docPr id="1894021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9939" cy="3646055"/>
                    </a:xfrm>
                    <a:prstGeom prst="rect">
                      <a:avLst/>
                    </a:prstGeom>
                    <a:noFill/>
                    <a:ln>
                      <a:noFill/>
                    </a:ln>
                  </pic:spPr>
                </pic:pic>
              </a:graphicData>
            </a:graphic>
          </wp:inline>
        </w:drawing>
      </w:r>
      <w:r>
        <w:rPr>
          <w:rFonts w:ascii="Times New Roman" w:hAnsi="Times New Roman" w:cs="Times New Roman"/>
        </w:rPr>
        <w:br/>
      </w:r>
      <w:r>
        <w:rPr>
          <w:rFonts w:ascii="Times New Roman" w:hAnsi="Times New Roman" w:cs="Times New Roman"/>
          <w:b/>
          <w:bCs/>
        </w:rPr>
        <w:t>6. Discussion</w:t>
      </w:r>
      <w:r>
        <w:rPr>
          <w:rFonts w:ascii="Times New Roman" w:hAnsi="Times New Roman" w:cs="Times New Roman"/>
        </w:rPr>
        <w:br/>
      </w:r>
      <w:r>
        <w:rPr>
          <w:rFonts w:ascii="Times New Roman" w:hAnsi="Times New Roman" w:cs="Times New Roman"/>
          <w:b/>
          <w:bCs/>
        </w:rPr>
        <w:t>6.1 What the evidence supports</w:t>
      </w:r>
      <w:r>
        <w:rPr>
          <w:rFonts w:ascii="Times New Roman" w:hAnsi="Times New Roman" w:cs="Times New Roman"/>
        </w:rPr>
        <w:br/>
        <w:t>Three findings are robust. First, tree ensembles built on open transaction data value homes in these two districts far better than a hedonic regression or a simple comparable approach on the same inputs, with a reduction in typical error of about a third. Second, the gain comes mainly from fine grained price history: the postcode unit, the street and the dwelling's own previous sale. This matches the case for local, repeat sales information in the literature (Case and Shiller, 1989; Bourassa, Cantoni and Hoesli, 2010). Third, the ensemble is less regressive than the benchmarks, and much of its apparent regressivity is the artefact of grouping by sale price.</w:t>
      </w:r>
      <w:r>
        <w:rPr>
          <w:rFonts w:ascii="Times New Roman" w:hAnsi="Times New Roman" w:cs="Times New Roman"/>
        </w:rPr>
        <w:br/>
        <w:t>The paper does not support several stronger claims. It does not show that the models match the accuracy a lender needs for a decision without inspection. A COD of 18.0 and a PE10 of 41.4 per cent are well short of that standard. Nor does it show that macroeconomic data improve valuation over a horizon of weeks. Finally, it does not show that the method generalises beyond Tyne and Wear.</w:t>
      </w:r>
      <w:r>
        <w:rPr>
          <w:rFonts w:ascii="Times New Roman" w:hAnsi="Times New Roman" w:cs="Times New Roman"/>
        </w:rPr>
        <w:br/>
      </w:r>
      <w:r>
        <w:rPr>
          <w:rFonts w:ascii="Times New Roman" w:hAnsi="Times New Roman" w:cs="Times New Roman"/>
          <w:b/>
          <w:bCs/>
        </w:rPr>
        <w:t>6.2 Limitations</w:t>
      </w:r>
      <w:r>
        <w:rPr>
          <w:rFonts w:ascii="Times New Roman" w:hAnsi="Times New Roman" w:cs="Times New Roman"/>
        </w:rPr>
        <w:br/>
        <w:t xml:space="preserve">1. </w:t>
      </w:r>
      <w:r>
        <w:rPr>
          <w:rFonts w:ascii="Times New Roman" w:hAnsi="Times New Roman" w:cs="Times New Roman"/>
          <w:b/>
          <w:bCs/>
        </w:rPr>
        <w:t>Missing physical attributes.</w:t>
      </w:r>
      <w:r>
        <w:rPr>
          <w:rFonts w:ascii="Times New Roman" w:hAnsi="Times New Roman" w:cs="Times New Roman"/>
        </w:rPr>
        <w:t xml:space="preserve"> Price Paid Data contain no floor area, rooms, condition or energy rating. Much of the remaining error is the variation in size and condition within a street. Linking Energy Performance Certificate records, which hold floor area and energy </w:t>
      </w:r>
      <w:r>
        <w:rPr>
          <w:rFonts w:ascii="Times New Roman" w:hAnsi="Times New Roman" w:cs="Times New Roman"/>
        </w:rPr>
        <w:lastRenderedPageBreak/>
        <w:t>rating, is the clearest route to better accuracy (Fuerst et al., 2015).</w:t>
      </w:r>
      <w:r>
        <w:rPr>
          <w:rFonts w:ascii="Times New Roman" w:hAnsi="Times New Roman" w:cs="Times New Roman"/>
        </w:rPr>
        <w:br/>
        <w:t xml:space="preserve">2. </w:t>
      </w:r>
      <w:r>
        <w:rPr>
          <w:rFonts w:ascii="Times New Roman" w:hAnsi="Times New Roman" w:cs="Times New Roman"/>
          <w:b/>
          <w:bCs/>
        </w:rPr>
        <w:t>Short sale history.</w:t>
      </w:r>
      <w:r>
        <w:rPr>
          <w:rFonts w:ascii="Times New Roman" w:hAnsi="Times New Roman" w:cs="Times New Roman"/>
        </w:rPr>
        <w:t xml:space="preserve"> Repeat sales are identified only within 2018 to 2024, so 77.8 per cent of 2024 sales have no previous price in the data. Adding the Price Paid files back to 1995 would raise this coverage.</w:t>
      </w:r>
      <w:r>
        <w:rPr>
          <w:rFonts w:ascii="Times New Roman" w:hAnsi="Times New Roman" w:cs="Times New Roman"/>
        </w:rPr>
        <w:br/>
        <w:t xml:space="preserve">3. </w:t>
      </w:r>
      <w:r>
        <w:rPr>
          <w:rFonts w:ascii="Times New Roman" w:hAnsi="Times New Roman" w:cs="Times New Roman"/>
          <w:b/>
          <w:bCs/>
        </w:rPr>
        <w:t>Two districts, one region.</w:t>
      </w:r>
      <w:r>
        <w:rPr>
          <w:rFonts w:ascii="Times New Roman" w:hAnsi="Times New Roman" w:cs="Times New Roman"/>
        </w:rPr>
        <w:t xml:space="preserve"> The results describe Newcastle upon Tyne and Sunderland. Markets with different stock, such as London flats or rural detached houses, may behave differently.</w:t>
      </w:r>
      <w:r>
        <w:rPr>
          <w:rFonts w:ascii="Times New Roman" w:hAnsi="Times New Roman" w:cs="Times New Roman"/>
        </w:rPr>
        <w:br/>
        <w:t xml:space="preserve">4. </w:t>
      </w:r>
      <w:r>
        <w:rPr>
          <w:rFonts w:ascii="Times New Roman" w:hAnsi="Times New Roman" w:cs="Times New Roman"/>
          <w:b/>
          <w:bCs/>
        </w:rPr>
        <w:t>Standard sales only.</w:t>
      </w:r>
      <w:r>
        <w:rPr>
          <w:rFonts w:ascii="Times New Roman" w:hAnsi="Times New Roman" w:cs="Times New Roman"/>
        </w:rPr>
        <w:t xml:space="preserve"> Category B transactions, including repossessions and many buy to let purchases, were excluded. The models are not tested on these.</w:t>
      </w:r>
      <w:r>
        <w:rPr>
          <w:rFonts w:ascii="Times New Roman" w:hAnsi="Times New Roman" w:cs="Times New Roman"/>
        </w:rPr>
        <w:br/>
        <w:t xml:space="preserve">5. </w:t>
      </w:r>
      <w:r>
        <w:rPr>
          <w:rFonts w:ascii="Times New Roman" w:hAnsi="Times New Roman" w:cs="Times New Roman"/>
          <w:b/>
          <w:bCs/>
        </w:rPr>
        <w:t>Matching on address text.</w:t>
      </w:r>
      <w:r>
        <w:rPr>
          <w:rFonts w:ascii="Times New Roman" w:hAnsi="Times New Roman" w:cs="Times New Roman"/>
        </w:rPr>
        <w:t xml:space="preserve"> Previous sales are matched on postcode, house number or name and flat identifier. Changes in address format can break a match, which would understate repeat sale coverage.</w:t>
      </w:r>
      <w:r>
        <w:rPr>
          <w:rFonts w:ascii="Times New Roman" w:hAnsi="Times New Roman" w:cs="Times New Roman"/>
        </w:rPr>
        <w:br/>
        <w:t xml:space="preserve">6. </w:t>
      </w:r>
      <w:r>
        <w:rPr>
          <w:rFonts w:ascii="Times New Roman" w:hAnsi="Times New Roman" w:cs="Times New Roman"/>
          <w:b/>
          <w:bCs/>
        </w:rPr>
        <w:t>Small thin market sample.</w:t>
      </w:r>
      <w:r>
        <w:rPr>
          <w:rFonts w:ascii="Times New Roman" w:hAnsi="Times New Roman" w:cs="Times New Roman"/>
        </w:rPr>
        <w:t xml:space="preserve"> Only 165 test sales fell in the thinnest group, so the finding that accuracy holds in thin markets is provisional.</w:t>
      </w:r>
      <w:r>
        <w:rPr>
          <w:rFonts w:ascii="Times New Roman" w:hAnsi="Times New Roman" w:cs="Times New Roman"/>
        </w:rPr>
        <w:br/>
        <w:t xml:space="preserve">7. </w:t>
      </w:r>
      <w:r>
        <w:rPr>
          <w:rFonts w:ascii="Times New Roman" w:hAnsi="Times New Roman" w:cs="Times New Roman"/>
          <w:b/>
          <w:bCs/>
        </w:rPr>
        <w:t>Limited tuning.</w:t>
      </w:r>
      <w:r>
        <w:rPr>
          <w:rFonts w:ascii="Times New Roman" w:hAnsi="Times New Roman" w:cs="Times New Roman"/>
        </w:rPr>
        <w:t xml:space="preserve"> The hyperparameter grids were small. A wider search could improve the tree models slightly, though the gap between random forest and boosting suggests limited room.</w:t>
      </w:r>
      <w:r>
        <w:rPr>
          <w:rFonts w:ascii="Times New Roman" w:hAnsi="Times New Roman" w:cs="Times New Roman"/>
        </w:rPr>
        <w:br/>
        <w:t xml:space="preserve">8. </w:t>
      </w:r>
      <w:r>
        <w:rPr>
          <w:rFonts w:ascii="Times New Roman" w:hAnsi="Times New Roman" w:cs="Times New Roman"/>
          <w:b/>
          <w:bCs/>
        </w:rPr>
        <w:t>Explainability.</w:t>
      </w:r>
      <w:r>
        <w:rPr>
          <w:rFonts w:ascii="Times New Roman" w:hAnsi="Times New Roman" w:cs="Times New Roman"/>
        </w:rPr>
        <w:t xml:space="preserve"> Permutation importance gives a global view only. Individual valuation explanations, such as SHAP values (Lundberg and Lee, 2017), were not computed here.</w:t>
      </w:r>
      <w:r>
        <w:rPr>
          <w:rFonts w:ascii="Times New Roman" w:hAnsi="Times New Roman" w:cs="Times New Roman"/>
        </w:rPr>
        <w:br/>
        <w:t xml:space="preserve">9. </w:t>
      </w:r>
      <w:r>
        <w:rPr>
          <w:rFonts w:ascii="Times New Roman" w:hAnsi="Times New Roman" w:cs="Times New Roman"/>
          <w:b/>
          <w:bCs/>
        </w:rPr>
        <w:t>Prices, not values.</w:t>
      </w:r>
      <w:r>
        <w:rPr>
          <w:rFonts w:ascii="Times New Roman" w:hAnsi="Times New Roman" w:cs="Times New Roman"/>
        </w:rPr>
        <w:t xml:space="preserve"> The target is the recorded price, which can depart from market value through incentives, related party sales or atypical motivation. This is a standard limitation of </w:t>
      </w:r>
      <w:proofErr w:type="gramStart"/>
      <w:r>
        <w:rPr>
          <w:rFonts w:ascii="Times New Roman" w:hAnsi="Times New Roman" w:cs="Times New Roman"/>
        </w:rPr>
        <w:t>transaction based</w:t>
      </w:r>
      <w:proofErr w:type="gramEnd"/>
      <w:r>
        <w:rPr>
          <w:rFonts w:ascii="Times New Roman" w:hAnsi="Times New Roman" w:cs="Times New Roman"/>
        </w:rPr>
        <w:t xml:space="preserve"> AVMs.</w:t>
      </w:r>
      <w:r>
        <w:rPr>
          <w:rFonts w:ascii="Times New Roman" w:hAnsi="Times New Roman" w:cs="Times New Roman"/>
        </w:rPr>
        <w:br/>
      </w:r>
      <w:r>
        <w:rPr>
          <w:rFonts w:ascii="Times New Roman" w:hAnsi="Times New Roman" w:cs="Times New Roman"/>
          <w:b/>
          <w:bCs/>
        </w:rPr>
        <w:t>6.3 Implications for practice</w:t>
      </w:r>
      <w:r>
        <w:rPr>
          <w:rFonts w:ascii="Times New Roman" w:hAnsi="Times New Roman" w:cs="Times New Roman"/>
        </w:rPr>
        <w:br/>
        <w:t xml:space="preserve">For lenders and valuers, the results suggest a triage role. A model of this kind can flag valuations that depart sharply from local </w:t>
      </w:r>
      <w:proofErr w:type="gramStart"/>
      <w:r>
        <w:rPr>
          <w:rFonts w:ascii="Times New Roman" w:hAnsi="Times New Roman" w:cs="Times New Roman"/>
        </w:rPr>
        <w:t>evidence, and</w:t>
      </w:r>
      <w:proofErr w:type="gramEnd"/>
      <w:r>
        <w:rPr>
          <w:rFonts w:ascii="Times New Roman" w:hAnsi="Times New Roman" w:cs="Times New Roman"/>
        </w:rPr>
        <w:t xml:space="preserve"> prioritise inspection where the model is least certain: terraced houses and flats, homes without a recent sale, and the cheapest fifth of the market. It should not replace a valuation by a RICS registered valuer, whose standards also require inspection and professional judgement (RICS, 2024).</w:t>
      </w:r>
      <w:r>
        <w:rPr>
          <w:rFonts w:ascii="Times New Roman" w:hAnsi="Times New Roman" w:cs="Times New Roman"/>
        </w:rPr>
        <w:br/>
        <w:t xml:space="preserve">For developers of AVMs, two lessons follow. Test designs must be time ordered, and accuracy must be reported by segment and with ratio study measures, not as a single headline figure. The </w:t>
      </w:r>
      <w:proofErr w:type="spellStart"/>
      <w:r>
        <w:rPr>
          <w:rFonts w:ascii="Times New Roman" w:hAnsi="Times New Roman" w:cs="Times New Roman"/>
        </w:rPr>
        <w:t>ValuInsight</w:t>
      </w:r>
      <w:proofErr w:type="spellEnd"/>
      <w:r>
        <w:rPr>
          <w:rFonts w:ascii="Times New Roman" w:hAnsi="Times New Roman" w:cs="Times New Roman"/>
        </w:rPr>
        <w:t xml:space="preserve"> AI prototype will be revised on this basis: its published accuracy statements will be limited to figures that can be reproduced from this study's code and data.</w:t>
      </w:r>
      <w:r>
        <w:rPr>
          <w:rFonts w:ascii="Times New Roman" w:hAnsi="Times New Roman" w:cs="Times New Roman"/>
        </w:rPr>
        <w:br/>
      </w:r>
      <w:r>
        <w:rPr>
          <w:rFonts w:ascii="Times New Roman" w:hAnsi="Times New Roman" w:cs="Times New Roman"/>
          <w:b/>
          <w:bCs/>
        </w:rPr>
        <w:t>7. Conclusion</w:t>
      </w:r>
      <w:r>
        <w:rPr>
          <w:rFonts w:ascii="Times New Roman" w:hAnsi="Times New Roman" w:cs="Times New Roman"/>
        </w:rPr>
        <w:br/>
        <w:t xml:space="preserve">Open British transaction data, used carefully, support a useful but limited valuation model for </w:t>
      </w:r>
      <w:r>
        <w:rPr>
          <w:rFonts w:ascii="Times New Roman" w:hAnsi="Times New Roman" w:cs="Times New Roman"/>
        </w:rPr>
        <w:lastRenderedPageBreak/>
        <w:t>Newcastle upon Tyne and Sunderland. Tested strictly out of time on all 6,857 standard sales of 2024, an ensemble of gradient boosting and random forests valued half of all homes within 12.6 per cent of the price and cut the typical error of a hedonic benchmark by about a third. Its accuracy rests on fine grained local price history, it holds up in thin sector markets, and it is less regressive than the benchmarks. It does not reach the accuracy needed to replace an inspection, and Bank Rate adds nothing over a horizon of one quarter. The next steps are to link Energy Performance Certificate data for floor area, extend the sale history back to 1995, and repeat the test in other regions.</w:t>
      </w:r>
      <w:r>
        <w:rPr>
          <w:rFonts w:ascii="Times New Roman" w:hAnsi="Times New Roman" w:cs="Times New Roman"/>
        </w:rPr>
        <w:br/>
      </w:r>
      <w:r>
        <w:rPr>
          <w:rFonts w:ascii="Times New Roman" w:hAnsi="Times New Roman" w:cs="Times New Roman"/>
          <w:b/>
          <w:bCs/>
        </w:rPr>
        <w:t>Data and code availability</w:t>
      </w:r>
      <w:r>
        <w:rPr>
          <w:rFonts w:ascii="Times New Roman" w:hAnsi="Times New Roman" w:cs="Times New Roman"/>
        </w:rPr>
        <w:br/>
        <w:t>The data are HM Land Registry Price Paid Data, yearly files for 2018 to 2024, available free under the Open Government Licence v3.0 (HM Land Registry, 2025a). Contains HM Land Registry data © Crown copyright and database right 2025. This data is licensed under the Open Government Licence v3.0. Bank Rate is taken from the Bank of England (2025).</w:t>
      </w:r>
      <w:r>
        <w:rPr>
          <w:rFonts w:ascii="Times New Roman" w:hAnsi="Times New Roman" w:cs="Times New Roman"/>
        </w:rPr>
        <w:br/>
        <w:t>The analysis code is provided as seven Python scripts that reproduce every table and figure: data preparation, feature construction, model tuning and testing, descriptive statistics and hedonic estimation, results, the vertical equity check, and the figures. The analysis used Python 3.13, NumPy 2.5, SciPy 1.18, pandas 3.0 and scikit-learn 1.9, with a random seed of 2025. The code and the cleaned data are available from the author on request and will be deposited in a public repository on acceptance.</w:t>
      </w:r>
      <w:r>
        <w:rPr>
          <w:rFonts w:ascii="Times New Roman" w:hAnsi="Times New Roman" w:cs="Times New Roman"/>
          <w:b/>
          <w:bCs/>
        </w:rPr>
        <w:br/>
      </w:r>
      <w:r>
        <w:rPr>
          <w:rFonts w:ascii="Times New Roman" w:hAnsi="Times New Roman" w:cs="Times New Roman"/>
          <w:b/>
          <w:bCs/>
        </w:rPr>
        <w:br/>
        <w:t>Declarations</w:t>
      </w:r>
      <w:r>
        <w:rPr>
          <w:rFonts w:ascii="Times New Roman" w:hAnsi="Times New Roman" w:cs="Times New Roman"/>
          <w:b/>
          <w:bCs/>
        </w:rPr>
        <w:br/>
        <w:t>Funding.</w:t>
      </w:r>
      <w:r>
        <w:rPr>
          <w:rFonts w:ascii="Times New Roman" w:hAnsi="Times New Roman" w:cs="Times New Roman"/>
        </w:rPr>
        <w:t xml:space="preserve"> This research received no specific grant from any funding agency in the public, commercial or not for profit sectors.</w:t>
      </w:r>
      <w:r>
        <w:rPr>
          <w:rFonts w:ascii="Times New Roman" w:hAnsi="Times New Roman" w:cs="Times New Roman"/>
        </w:rPr>
        <w:br/>
      </w:r>
      <w:r>
        <w:rPr>
          <w:rFonts w:ascii="Times New Roman" w:hAnsi="Times New Roman" w:cs="Times New Roman"/>
          <w:b/>
          <w:bCs/>
        </w:rPr>
        <w:t>Use of generative AI.</w:t>
      </w:r>
      <w:r>
        <w:rPr>
          <w:rFonts w:ascii="Times New Roman" w:hAnsi="Times New Roman" w:cs="Times New Roman"/>
        </w:rPr>
        <w:t xml:space="preserve"> The author used Claude (Anthropic) to assist with </w:t>
      </w:r>
      <w:r w:rsidR="00E444A6">
        <w:rPr>
          <w:rFonts w:ascii="Times New Roman" w:hAnsi="Times New Roman" w:cs="Times New Roman"/>
        </w:rPr>
        <w:t>generating</w:t>
      </w:r>
      <w:r>
        <w:rPr>
          <w:rFonts w:ascii="Times New Roman" w:hAnsi="Times New Roman" w:cs="Times New Roman"/>
        </w:rPr>
        <w:t xml:space="preserve"> code. The author reviewed all code, results and text and takes full responsibility for the content.</w:t>
      </w:r>
    </w:p>
    <w:p w14:paraId="56E9905E" w14:textId="63A704BB" w:rsidR="002E18B8" w:rsidRDefault="002E18B8" w:rsidP="00D93CF2">
      <w:pPr>
        <w:spacing w:line="360" w:lineRule="auto"/>
        <w:rPr>
          <w:rFonts w:ascii="Times New Roman" w:hAnsi="Times New Roman" w:cs="Times New Roman"/>
        </w:rPr>
      </w:pPr>
      <w:r>
        <w:rPr>
          <w:rFonts w:ascii="Times New Roman" w:hAnsi="Times New Roman" w:cs="Times New Roman"/>
          <w:b/>
          <w:bCs/>
        </w:rPr>
        <w:t>Relationship to an earlier article.</w:t>
      </w:r>
      <w:r>
        <w:rPr>
          <w:rFonts w:ascii="Times New Roman" w:hAnsi="Times New Roman" w:cs="Times New Roman"/>
        </w:rPr>
        <w:t xml:space="preserve"> This study builds on Obasse (2025), which set out the conceptual case for the </w:t>
      </w:r>
      <w:proofErr w:type="spellStart"/>
      <w:r>
        <w:rPr>
          <w:rFonts w:ascii="Times New Roman" w:hAnsi="Times New Roman" w:cs="Times New Roman"/>
        </w:rPr>
        <w:t>ValuInsight</w:t>
      </w:r>
      <w:proofErr w:type="spellEnd"/>
      <w:r>
        <w:rPr>
          <w:rFonts w:ascii="Times New Roman" w:hAnsi="Times New Roman" w:cs="Times New Roman"/>
        </w:rPr>
        <w:t xml:space="preserve"> AI approach. The present article is the first full empirical test of that approach. It uses new data, new models and a new test design, and its results supersede the performance figures reported in the earlier article.</w:t>
      </w:r>
    </w:p>
    <w:p w14:paraId="052371A9" w14:textId="1712D51C" w:rsidR="00EF162C" w:rsidRDefault="00413825" w:rsidP="00D93CF2">
      <w:pPr>
        <w:spacing w:line="360" w:lineRule="auto"/>
        <w:rPr>
          <w:rFonts w:ascii="Times New Roman" w:hAnsi="Times New Roman" w:cs="Times New Roman"/>
        </w:rPr>
      </w:pPr>
      <w:r>
        <w:rPr>
          <w:rFonts w:ascii="Times New Roman" w:hAnsi="Times New Roman" w:cs="Times New Roman"/>
          <w:b/>
          <w:bCs/>
        </w:rPr>
        <w:t>Ethics.</w:t>
      </w:r>
      <w:r>
        <w:rPr>
          <w:rFonts w:ascii="Times New Roman" w:hAnsi="Times New Roman" w:cs="Times New Roman"/>
        </w:rPr>
        <w:t xml:space="preserve"> The study uses only published, property level data with no personal information about buyers or sellers.</w:t>
      </w:r>
    </w:p>
    <w:p w14:paraId="40CA8636" w14:textId="77777777" w:rsidR="00EF162C" w:rsidRDefault="00EF162C" w:rsidP="00D93CF2">
      <w:pPr>
        <w:spacing w:line="360" w:lineRule="auto"/>
        <w:rPr>
          <w:rFonts w:ascii="Times New Roman" w:hAnsi="Times New Roman" w:cs="Times New Roman"/>
        </w:rPr>
      </w:pPr>
      <w:r>
        <w:rPr>
          <w:rFonts w:ascii="Times New Roman" w:hAnsi="Times New Roman" w:cs="Times New Roman"/>
          <w:b/>
          <w:bCs/>
        </w:rPr>
        <w:lastRenderedPageBreak/>
        <w:t>Competing interests.</w:t>
      </w:r>
      <w:r>
        <w:rPr>
          <w:rFonts w:ascii="Times New Roman" w:hAnsi="Times New Roman" w:cs="Times New Roman"/>
        </w:rPr>
        <w:t xml:space="preserve"> The author developed </w:t>
      </w:r>
      <w:proofErr w:type="spellStart"/>
      <w:r>
        <w:rPr>
          <w:rFonts w:ascii="Times New Roman" w:hAnsi="Times New Roman" w:cs="Times New Roman"/>
        </w:rPr>
        <w:t>ValuInsight</w:t>
      </w:r>
      <w:proofErr w:type="spellEnd"/>
      <w:r>
        <w:rPr>
          <w:rFonts w:ascii="Times New Roman" w:hAnsi="Times New Roman" w:cs="Times New Roman"/>
        </w:rPr>
        <w:t xml:space="preserve"> AI (</w:t>
      </w:r>
      <w:hyperlink r:id="rId8" w:history="1">
        <w:r>
          <w:rPr>
            <w:rStyle w:val="Hyperlink"/>
            <w:rFonts w:ascii="Times New Roman" w:hAnsi="Times New Roman" w:cs="Times New Roman"/>
          </w:rPr>
          <w:t>www.valuinsight-ai.com</w:t>
        </w:r>
      </w:hyperlink>
      <w:r>
        <w:rPr>
          <w:rFonts w:ascii="Times New Roman" w:hAnsi="Times New Roman" w:cs="Times New Roman"/>
        </w:rPr>
        <w:t>), a property valuation prototype based on the methods evaluated here.</w:t>
      </w:r>
    </w:p>
    <w:p w14:paraId="7133CE85" w14:textId="699AB0DA" w:rsidR="00D93CF2" w:rsidRDefault="00413825" w:rsidP="00D93CF2">
      <w:pPr>
        <w:spacing w:line="360" w:lineRule="auto"/>
        <w:rPr>
          <w:rFonts w:ascii="Times New Roman" w:hAnsi="Times New Roman" w:cs="Times New Roman"/>
        </w:rPr>
      </w:pPr>
      <w:r>
        <w:rPr>
          <w:rFonts w:ascii="Times New Roman" w:hAnsi="Times New Roman" w:cs="Times New Roman"/>
        </w:rPr>
        <w:br/>
      </w:r>
      <w:r>
        <w:rPr>
          <w:rFonts w:ascii="Times New Roman" w:hAnsi="Times New Roman" w:cs="Times New Roman"/>
          <w:b/>
          <w:bCs/>
        </w:rPr>
        <w:t>References</w:t>
      </w:r>
      <w:r>
        <w:rPr>
          <w:rFonts w:ascii="Times New Roman" w:hAnsi="Times New Roman" w:cs="Times New Roman"/>
        </w:rPr>
        <w:br/>
        <w:t xml:space="preserve">Antipov, E.A. and </w:t>
      </w:r>
      <w:proofErr w:type="spellStart"/>
      <w:r>
        <w:rPr>
          <w:rFonts w:ascii="Times New Roman" w:hAnsi="Times New Roman" w:cs="Times New Roman"/>
        </w:rPr>
        <w:t>Pokryshevskaya</w:t>
      </w:r>
      <w:proofErr w:type="spellEnd"/>
      <w:r>
        <w:rPr>
          <w:rFonts w:ascii="Times New Roman" w:hAnsi="Times New Roman" w:cs="Times New Roman"/>
        </w:rPr>
        <w:t xml:space="preserve">, E.B. (2012) 'Mass appraisal of residential apartments: an application of Random forest for valuation and a CART-based approach for model diagnostics', </w:t>
      </w:r>
      <w:r>
        <w:rPr>
          <w:rFonts w:ascii="Times New Roman" w:hAnsi="Times New Roman" w:cs="Times New Roman"/>
          <w:i/>
          <w:iCs/>
        </w:rPr>
        <w:t>Expert Systems with Applications</w:t>
      </w:r>
      <w:r>
        <w:rPr>
          <w:rFonts w:ascii="Times New Roman" w:hAnsi="Times New Roman" w:cs="Times New Roman"/>
        </w:rPr>
        <w:t>, 39(2), pp. 1772–1778.</w:t>
      </w:r>
      <w:r>
        <w:rPr>
          <w:rFonts w:ascii="Times New Roman" w:hAnsi="Times New Roman" w:cs="Times New Roman"/>
        </w:rPr>
        <w:br/>
        <w:t xml:space="preserve">Bailey, M.J., Muth, R.F. and Nourse, H.O. (1963) 'A regression method for real estate price index construction', </w:t>
      </w:r>
      <w:r>
        <w:rPr>
          <w:rFonts w:ascii="Times New Roman" w:hAnsi="Times New Roman" w:cs="Times New Roman"/>
          <w:i/>
          <w:iCs/>
        </w:rPr>
        <w:t>Journal of the American Statistical Association</w:t>
      </w:r>
      <w:r>
        <w:rPr>
          <w:rFonts w:ascii="Times New Roman" w:hAnsi="Times New Roman" w:cs="Times New Roman"/>
        </w:rPr>
        <w:t>, 58(304), pp. 933–942.</w:t>
      </w:r>
      <w:r>
        <w:rPr>
          <w:rFonts w:ascii="Times New Roman" w:hAnsi="Times New Roman" w:cs="Times New Roman"/>
        </w:rPr>
        <w:br/>
        <w:t xml:space="preserve">Bank of England (2025) </w:t>
      </w:r>
      <w:r>
        <w:rPr>
          <w:rFonts w:ascii="Times New Roman" w:hAnsi="Times New Roman" w:cs="Times New Roman"/>
          <w:i/>
          <w:iCs/>
        </w:rPr>
        <w:t>Official Bank Rate history</w:t>
      </w:r>
      <w:r>
        <w:rPr>
          <w:rFonts w:ascii="Times New Roman" w:hAnsi="Times New Roman" w:cs="Times New Roman"/>
        </w:rPr>
        <w:t xml:space="preserve">. Available at: https://www.bankofengland.co.uk/boeapps/database/Bank-Rate.asp (Accessed: </w:t>
      </w:r>
      <w:r w:rsidR="00E444A6">
        <w:rPr>
          <w:rFonts w:ascii="Times New Roman" w:hAnsi="Times New Roman" w:cs="Times New Roman"/>
        </w:rPr>
        <w:t>11</w:t>
      </w:r>
      <w:r>
        <w:rPr>
          <w:rFonts w:ascii="Times New Roman" w:hAnsi="Times New Roman" w:cs="Times New Roman"/>
        </w:rPr>
        <w:t xml:space="preserve"> </w:t>
      </w:r>
      <w:r w:rsidR="00E444A6">
        <w:rPr>
          <w:rFonts w:ascii="Times New Roman" w:hAnsi="Times New Roman" w:cs="Times New Roman"/>
        </w:rPr>
        <w:t>July</w:t>
      </w:r>
      <w:r>
        <w:rPr>
          <w:rFonts w:ascii="Times New Roman" w:hAnsi="Times New Roman" w:cs="Times New Roman"/>
        </w:rPr>
        <w:t xml:space="preserve"> 2026).</w:t>
      </w:r>
      <w:r>
        <w:rPr>
          <w:rFonts w:ascii="Times New Roman" w:hAnsi="Times New Roman" w:cs="Times New Roman"/>
        </w:rPr>
        <w:br/>
        <w:t xml:space="preserve">Besley, T., Meads, N. and Surico, P. (2014) 'The incidence of transaction taxes: evidence from a stamp duty holiday', </w:t>
      </w:r>
      <w:r>
        <w:rPr>
          <w:rFonts w:ascii="Times New Roman" w:hAnsi="Times New Roman" w:cs="Times New Roman"/>
          <w:i/>
          <w:iCs/>
        </w:rPr>
        <w:t>Journal of Public Economics</w:t>
      </w:r>
      <w:r>
        <w:rPr>
          <w:rFonts w:ascii="Times New Roman" w:hAnsi="Times New Roman" w:cs="Times New Roman"/>
        </w:rPr>
        <w:t>, 119, pp. 61–70.</w:t>
      </w:r>
      <w:r>
        <w:rPr>
          <w:rFonts w:ascii="Times New Roman" w:hAnsi="Times New Roman" w:cs="Times New Roman"/>
        </w:rPr>
        <w:br/>
        <w:t xml:space="preserve">Best, M.C. and Kleven, H.J. (2018) 'Housing market responses to transaction taxes: evidence from notches and stimulus in the UK', </w:t>
      </w:r>
      <w:r>
        <w:rPr>
          <w:rFonts w:ascii="Times New Roman" w:hAnsi="Times New Roman" w:cs="Times New Roman"/>
          <w:i/>
          <w:iCs/>
        </w:rPr>
        <w:t>Review of Economic Studies</w:t>
      </w:r>
      <w:r>
        <w:rPr>
          <w:rFonts w:ascii="Times New Roman" w:hAnsi="Times New Roman" w:cs="Times New Roman"/>
        </w:rPr>
        <w:t>, 85(1), pp. 157–193.</w:t>
      </w:r>
      <w:r>
        <w:rPr>
          <w:rFonts w:ascii="Times New Roman" w:hAnsi="Times New Roman" w:cs="Times New Roman"/>
        </w:rPr>
        <w:br/>
        <w:t xml:space="preserve">Bourassa, S.C., Cantoni, E. and Hoesli, M. (2010) 'Predicting house prices with spatial dependence: a comparison of alternative methods', </w:t>
      </w:r>
      <w:r>
        <w:rPr>
          <w:rFonts w:ascii="Times New Roman" w:hAnsi="Times New Roman" w:cs="Times New Roman"/>
          <w:i/>
          <w:iCs/>
        </w:rPr>
        <w:t>Journal of Real Estate Research,</w:t>
      </w:r>
      <w:r>
        <w:rPr>
          <w:rFonts w:ascii="Times New Roman" w:hAnsi="Times New Roman" w:cs="Times New Roman"/>
        </w:rPr>
        <w:t xml:space="preserve"> 32(2), pp. 139–159.</w:t>
      </w:r>
      <w:r>
        <w:rPr>
          <w:rFonts w:ascii="Times New Roman" w:hAnsi="Times New Roman" w:cs="Times New Roman"/>
        </w:rPr>
        <w:br/>
      </w:r>
      <w:proofErr w:type="spellStart"/>
      <w:r>
        <w:rPr>
          <w:rFonts w:ascii="Times New Roman" w:hAnsi="Times New Roman" w:cs="Times New Roman"/>
        </w:rPr>
        <w:t>Breiman</w:t>
      </w:r>
      <w:proofErr w:type="spellEnd"/>
      <w:r>
        <w:rPr>
          <w:rFonts w:ascii="Times New Roman" w:hAnsi="Times New Roman" w:cs="Times New Roman"/>
        </w:rPr>
        <w:t xml:space="preserve">, L. (2001) 'Random forests', </w:t>
      </w:r>
      <w:r>
        <w:rPr>
          <w:rFonts w:ascii="Times New Roman" w:hAnsi="Times New Roman" w:cs="Times New Roman"/>
          <w:i/>
          <w:iCs/>
        </w:rPr>
        <w:t>Machine Learning</w:t>
      </w:r>
      <w:r>
        <w:rPr>
          <w:rFonts w:ascii="Times New Roman" w:hAnsi="Times New Roman" w:cs="Times New Roman"/>
        </w:rPr>
        <w:t>, 45(1), pp. 5–32.</w:t>
      </w:r>
      <w:r>
        <w:rPr>
          <w:rFonts w:ascii="Times New Roman" w:hAnsi="Times New Roman" w:cs="Times New Roman"/>
        </w:rPr>
        <w:br/>
        <w:t xml:space="preserve">Case, K.E. and Shiller, R.J. (1989) 'The efficiency of the market for single-family homes', </w:t>
      </w:r>
      <w:r>
        <w:rPr>
          <w:rFonts w:ascii="Times New Roman" w:hAnsi="Times New Roman" w:cs="Times New Roman"/>
          <w:i/>
          <w:iCs/>
        </w:rPr>
        <w:t>American Economic Review</w:t>
      </w:r>
      <w:r>
        <w:rPr>
          <w:rFonts w:ascii="Times New Roman" w:hAnsi="Times New Roman" w:cs="Times New Roman"/>
        </w:rPr>
        <w:t>, 79(1), pp. 125–137.</w:t>
      </w:r>
      <w:r>
        <w:rPr>
          <w:rFonts w:ascii="Times New Roman" w:hAnsi="Times New Roman" w:cs="Times New Roman"/>
        </w:rPr>
        <w:br/>
        <w:t xml:space="preserve">Chen, T. and </w:t>
      </w:r>
      <w:proofErr w:type="spellStart"/>
      <w:r>
        <w:rPr>
          <w:rFonts w:ascii="Times New Roman" w:hAnsi="Times New Roman" w:cs="Times New Roman"/>
        </w:rPr>
        <w:t>Guestrin</w:t>
      </w:r>
      <w:proofErr w:type="spellEnd"/>
      <w:r>
        <w:rPr>
          <w:rFonts w:ascii="Times New Roman" w:hAnsi="Times New Roman" w:cs="Times New Roman"/>
        </w:rPr>
        <w:t>, C. (2016) '</w:t>
      </w:r>
      <w:proofErr w:type="spellStart"/>
      <w:r>
        <w:rPr>
          <w:rFonts w:ascii="Times New Roman" w:hAnsi="Times New Roman" w:cs="Times New Roman"/>
        </w:rPr>
        <w:t>XGBoost</w:t>
      </w:r>
      <w:proofErr w:type="spellEnd"/>
      <w:r>
        <w:rPr>
          <w:rFonts w:ascii="Times New Roman" w:hAnsi="Times New Roman" w:cs="Times New Roman"/>
        </w:rPr>
        <w:t xml:space="preserve">: a scalable tree boosting system', in </w:t>
      </w:r>
      <w:r>
        <w:rPr>
          <w:rFonts w:ascii="Times New Roman" w:hAnsi="Times New Roman" w:cs="Times New Roman"/>
          <w:i/>
          <w:iCs/>
        </w:rPr>
        <w:t xml:space="preserve">Proceedings of the 22nd ACM SIGKDD International Conference on Knowledge Discovery and Data Mining. </w:t>
      </w:r>
      <w:r>
        <w:rPr>
          <w:rFonts w:ascii="Times New Roman" w:hAnsi="Times New Roman" w:cs="Times New Roman"/>
        </w:rPr>
        <w:t>New York: ACM, pp. 785–794.</w:t>
      </w:r>
      <w:r>
        <w:rPr>
          <w:rFonts w:ascii="Times New Roman" w:hAnsi="Times New Roman" w:cs="Times New Roman"/>
        </w:rPr>
        <w:br/>
        <w:t xml:space="preserve">Cheshire, P. and Sheppard, S. (1995) 'On the price of land and the value of amenities', </w:t>
      </w:r>
      <w:r>
        <w:rPr>
          <w:rFonts w:ascii="Times New Roman" w:hAnsi="Times New Roman" w:cs="Times New Roman"/>
          <w:i/>
          <w:iCs/>
        </w:rPr>
        <w:t>Economica</w:t>
      </w:r>
      <w:r>
        <w:rPr>
          <w:rFonts w:ascii="Times New Roman" w:hAnsi="Times New Roman" w:cs="Times New Roman"/>
        </w:rPr>
        <w:t>, 62(246), pp. 247–267.</w:t>
      </w:r>
      <w:r>
        <w:rPr>
          <w:rFonts w:ascii="Times New Roman" w:hAnsi="Times New Roman" w:cs="Times New Roman"/>
        </w:rPr>
        <w:br/>
        <w:t xml:space="preserve">Fisher, A., Rudin, C. and Dominici, F. (2019) 'All models are wrong, but many are useful: learning a variable's importance by studying an entire class of prediction models simultaneously', </w:t>
      </w:r>
      <w:r>
        <w:rPr>
          <w:rFonts w:ascii="Times New Roman" w:hAnsi="Times New Roman" w:cs="Times New Roman"/>
          <w:i/>
          <w:iCs/>
        </w:rPr>
        <w:t>Journal of Machine Learning Research</w:t>
      </w:r>
      <w:r>
        <w:rPr>
          <w:rFonts w:ascii="Times New Roman" w:hAnsi="Times New Roman" w:cs="Times New Roman"/>
        </w:rPr>
        <w:t>, 20(177), pp. 1–81.</w:t>
      </w:r>
      <w:r>
        <w:rPr>
          <w:rFonts w:ascii="Times New Roman" w:hAnsi="Times New Roman" w:cs="Times New Roman"/>
        </w:rPr>
        <w:br/>
        <w:t xml:space="preserve">Friedman, J.H. (2001) 'Greedy function approximation: a gradient boosting machine', </w:t>
      </w:r>
      <w:r>
        <w:rPr>
          <w:rFonts w:ascii="Times New Roman" w:hAnsi="Times New Roman" w:cs="Times New Roman"/>
          <w:i/>
          <w:iCs/>
        </w:rPr>
        <w:t>Annals of Statistics,</w:t>
      </w:r>
      <w:r>
        <w:rPr>
          <w:rFonts w:ascii="Times New Roman" w:hAnsi="Times New Roman" w:cs="Times New Roman"/>
        </w:rPr>
        <w:t xml:space="preserve"> 29(5), pp. 1189–1232.</w:t>
      </w:r>
      <w:r>
        <w:rPr>
          <w:rFonts w:ascii="Times New Roman" w:hAnsi="Times New Roman" w:cs="Times New Roman"/>
        </w:rPr>
        <w:br/>
        <w:t xml:space="preserve">Fuerst, F., McAllister, P., Nanda, A. and Wyatt, P. (2015) 'Does energy efficiency matter to home-buyers? An investigation of EPC ratings and transaction prices in England', </w:t>
      </w:r>
      <w:r>
        <w:rPr>
          <w:rFonts w:ascii="Times New Roman" w:hAnsi="Times New Roman" w:cs="Times New Roman"/>
          <w:i/>
          <w:iCs/>
        </w:rPr>
        <w:t xml:space="preserve">Energy </w:t>
      </w:r>
      <w:r>
        <w:rPr>
          <w:rFonts w:ascii="Times New Roman" w:hAnsi="Times New Roman" w:cs="Times New Roman"/>
          <w:i/>
          <w:iCs/>
        </w:rPr>
        <w:lastRenderedPageBreak/>
        <w:t>Economics</w:t>
      </w:r>
      <w:r>
        <w:rPr>
          <w:rFonts w:ascii="Times New Roman" w:hAnsi="Times New Roman" w:cs="Times New Roman"/>
        </w:rPr>
        <w:t>, 48, pp. 145–156.</w:t>
      </w:r>
      <w:r>
        <w:rPr>
          <w:rFonts w:ascii="Times New Roman" w:hAnsi="Times New Roman" w:cs="Times New Roman"/>
        </w:rPr>
        <w:br/>
        <w:t xml:space="preserve">Gibbons, S. and Machin, S. (2003) 'Valuing English primary schools', </w:t>
      </w:r>
      <w:r>
        <w:rPr>
          <w:rFonts w:ascii="Times New Roman" w:hAnsi="Times New Roman" w:cs="Times New Roman"/>
          <w:i/>
          <w:iCs/>
        </w:rPr>
        <w:t>Journal of Urban Economics,</w:t>
      </w:r>
      <w:r>
        <w:rPr>
          <w:rFonts w:ascii="Times New Roman" w:hAnsi="Times New Roman" w:cs="Times New Roman"/>
        </w:rPr>
        <w:t xml:space="preserve"> 53(2), pp. 197–219.</w:t>
      </w:r>
      <w:r>
        <w:rPr>
          <w:rFonts w:ascii="Times New Roman" w:hAnsi="Times New Roman" w:cs="Times New Roman"/>
        </w:rPr>
        <w:br/>
        <w:t xml:space="preserve">Gibbons, S. and Machin, S. (2005) 'Valuing rail access using transport innovations', </w:t>
      </w:r>
      <w:r>
        <w:rPr>
          <w:rFonts w:ascii="Times New Roman" w:hAnsi="Times New Roman" w:cs="Times New Roman"/>
          <w:i/>
          <w:iCs/>
        </w:rPr>
        <w:t>Journal of Urban Economics,</w:t>
      </w:r>
      <w:r>
        <w:rPr>
          <w:rFonts w:ascii="Times New Roman" w:hAnsi="Times New Roman" w:cs="Times New Roman"/>
        </w:rPr>
        <w:t xml:space="preserve"> 57(1), pp. 148–169.</w:t>
      </w:r>
      <w:r>
        <w:rPr>
          <w:rFonts w:ascii="Times New Roman" w:hAnsi="Times New Roman" w:cs="Times New Roman"/>
        </w:rPr>
        <w:br/>
        <w:t xml:space="preserve">Glumac, B. and Des </w:t>
      </w:r>
      <w:proofErr w:type="spellStart"/>
      <w:r>
        <w:rPr>
          <w:rFonts w:ascii="Times New Roman" w:hAnsi="Times New Roman" w:cs="Times New Roman"/>
        </w:rPr>
        <w:t>Rosiers</w:t>
      </w:r>
      <w:proofErr w:type="spellEnd"/>
      <w:r>
        <w:rPr>
          <w:rFonts w:ascii="Times New Roman" w:hAnsi="Times New Roman" w:cs="Times New Roman"/>
        </w:rPr>
        <w:t xml:space="preserve">, F. (2021) 'Practice briefing – Automated valuation models (AVMs): their role, their advantages and their limitations', </w:t>
      </w:r>
      <w:r>
        <w:rPr>
          <w:rFonts w:ascii="Times New Roman" w:hAnsi="Times New Roman" w:cs="Times New Roman"/>
          <w:i/>
          <w:iCs/>
        </w:rPr>
        <w:t>Journal of Property Investment &amp; Finance,</w:t>
      </w:r>
      <w:r>
        <w:rPr>
          <w:rFonts w:ascii="Times New Roman" w:hAnsi="Times New Roman" w:cs="Times New Roman"/>
        </w:rPr>
        <w:t xml:space="preserve"> 39(5), pp. 481–491. doi:10.1108/JPIF-07-2020-0086.</w:t>
      </w:r>
      <w:r>
        <w:rPr>
          <w:rFonts w:ascii="Times New Roman" w:hAnsi="Times New Roman" w:cs="Times New Roman"/>
        </w:rPr>
        <w:br/>
        <w:t xml:space="preserve">Hill, R.J. (2013) 'Hedonic price indexes for residential housing: a survey, evaluation and taxonomy', </w:t>
      </w:r>
      <w:r>
        <w:rPr>
          <w:rFonts w:ascii="Times New Roman" w:hAnsi="Times New Roman" w:cs="Times New Roman"/>
          <w:i/>
          <w:iCs/>
        </w:rPr>
        <w:t>Journal of Economic Surveys</w:t>
      </w:r>
      <w:r>
        <w:rPr>
          <w:rFonts w:ascii="Times New Roman" w:hAnsi="Times New Roman" w:cs="Times New Roman"/>
        </w:rPr>
        <w:t>, 27(5), pp. 879–914.</w:t>
      </w:r>
      <w:r>
        <w:rPr>
          <w:rFonts w:ascii="Times New Roman" w:hAnsi="Times New Roman" w:cs="Times New Roman"/>
        </w:rPr>
        <w:br/>
        <w:t xml:space="preserve">HM Land Registry (2025a) </w:t>
      </w:r>
      <w:r>
        <w:rPr>
          <w:rFonts w:ascii="Times New Roman" w:hAnsi="Times New Roman" w:cs="Times New Roman"/>
          <w:i/>
          <w:iCs/>
        </w:rPr>
        <w:t>Price Paid Data</w:t>
      </w:r>
      <w:r>
        <w:rPr>
          <w:rFonts w:ascii="Times New Roman" w:hAnsi="Times New Roman" w:cs="Times New Roman"/>
        </w:rPr>
        <w:t xml:space="preserve">. Available at: https://www.gov.uk/government/statistical-data-sets/price-paid-data-downloads (Accessed: </w:t>
      </w:r>
      <w:r w:rsidR="00E444A6">
        <w:rPr>
          <w:rFonts w:ascii="Times New Roman" w:hAnsi="Times New Roman" w:cs="Times New Roman"/>
        </w:rPr>
        <w:t>11 July 2026</w:t>
      </w:r>
      <w:r>
        <w:rPr>
          <w:rFonts w:ascii="Times New Roman" w:hAnsi="Times New Roman" w:cs="Times New Roman"/>
        </w:rPr>
        <w:t>).</w:t>
      </w:r>
      <w:r>
        <w:rPr>
          <w:rFonts w:ascii="Times New Roman" w:hAnsi="Times New Roman" w:cs="Times New Roman"/>
        </w:rPr>
        <w:br/>
        <w:t xml:space="preserve">HM Land Registry (2025b) </w:t>
      </w:r>
      <w:r>
        <w:rPr>
          <w:rFonts w:ascii="Times New Roman" w:hAnsi="Times New Roman" w:cs="Times New Roman"/>
          <w:i/>
          <w:iCs/>
        </w:rPr>
        <w:t>About the Price Paid Data</w:t>
      </w:r>
      <w:r>
        <w:rPr>
          <w:rFonts w:ascii="Times New Roman" w:hAnsi="Times New Roman" w:cs="Times New Roman"/>
        </w:rPr>
        <w:t xml:space="preserve">. Available at: https://www.gov.uk/about-the-price-paid-data (Accessed: </w:t>
      </w:r>
      <w:r w:rsidR="00E444A6">
        <w:rPr>
          <w:rFonts w:ascii="Times New Roman" w:hAnsi="Times New Roman" w:cs="Times New Roman"/>
        </w:rPr>
        <w:t>11 July 2026</w:t>
      </w:r>
      <w:r>
        <w:rPr>
          <w:rFonts w:ascii="Times New Roman" w:hAnsi="Times New Roman" w:cs="Times New Roman"/>
        </w:rPr>
        <w:t>).</w:t>
      </w:r>
      <w:r>
        <w:rPr>
          <w:rFonts w:ascii="Times New Roman" w:hAnsi="Times New Roman" w:cs="Times New Roman"/>
        </w:rPr>
        <w:br/>
        <w:t xml:space="preserve">International Association of Assessing Officers (IAAO) (2013) </w:t>
      </w:r>
      <w:r>
        <w:rPr>
          <w:rFonts w:ascii="Times New Roman" w:hAnsi="Times New Roman" w:cs="Times New Roman"/>
          <w:i/>
          <w:iCs/>
        </w:rPr>
        <w:t>Standard on Ratio Studies</w:t>
      </w:r>
      <w:r>
        <w:rPr>
          <w:rFonts w:ascii="Times New Roman" w:hAnsi="Times New Roman" w:cs="Times New Roman"/>
        </w:rPr>
        <w:t>. Kansas City, MO: IAAO.</w:t>
      </w:r>
      <w:r>
        <w:rPr>
          <w:rFonts w:ascii="Times New Roman" w:hAnsi="Times New Roman" w:cs="Times New Roman"/>
        </w:rPr>
        <w:br/>
        <w:t>Ke, G., Meng, Q., Finley, T., Wang, T., Chen, W., Ma, W., Ye, Q. and Liu, T.-Y. (2017) '</w:t>
      </w:r>
      <w:proofErr w:type="spellStart"/>
      <w:r>
        <w:rPr>
          <w:rFonts w:ascii="Times New Roman" w:hAnsi="Times New Roman" w:cs="Times New Roman"/>
        </w:rPr>
        <w:t>LightGBM</w:t>
      </w:r>
      <w:proofErr w:type="spellEnd"/>
      <w:r>
        <w:rPr>
          <w:rFonts w:ascii="Times New Roman" w:hAnsi="Times New Roman" w:cs="Times New Roman"/>
        </w:rPr>
        <w:t xml:space="preserve">: a highly efficient gradient boosting decision tree', in </w:t>
      </w:r>
      <w:r>
        <w:rPr>
          <w:rFonts w:ascii="Times New Roman" w:hAnsi="Times New Roman" w:cs="Times New Roman"/>
          <w:i/>
          <w:iCs/>
        </w:rPr>
        <w:t>Advances in Neural Information Processing Systems 30,</w:t>
      </w:r>
      <w:r>
        <w:rPr>
          <w:rFonts w:ascii="Times New Roman" w:hAnsi="Times New Roman" w:cs="Times New Roman"/>
        </w:rPr>
        <w:t xml:space="preserve"> pp. 3146–3154.</w:t>
      </w:r>
      <w:r>
        <w:rPr>
          <w:rFonts w:ascii="Times New Roman" w:hAnsi="Times New Roman" w:cs="Times New Roman"/>
        </w:rPr>
        <w:br/>
        <w:t xml:space="preserve">Kok, N., Koponen, E.-L. and Martínez-Barbosa, C.A. (2017) 'Big data in real estate? From manual appraisal to automated valuation', </w:t>
      </w:r>
      <w:r>
        <w:rPr>
          <w:rFonts w:ascii="Times New Roman" w:hAnsi="Times New Roman" w:cs="Times New Roman"/>
          <w:i/>
          <w:iCs/>
        </w:rPr>
        <w:t>Journal of Portfolio Management</w:t>
      </w:r>
      <w:r>
        <w:rPr>
          <w:rFonts w:ascii="Times New Roman" w:hAnsi="Times New Roman" w:cs="Times New Roman"/>
        </w:rPr>
        <w:t>, 43(6), pp. 202–211.</w:t>
      </w:r>
      <w:r>
        <w:rPr>
          <w:rFonts w:ascii="Times New Roman" w:hAnsi="Times New Roman" w:cs="Times New Roman"/>
        </w:rPr>
        <w:br/>
        <w:t xml:space="preserve">Lundberg, S.M. and Lee, S.-I. (2017) 'A unified approach to interpreting model predictions', in </w:t>
      </w:r>
      <w:r>
        <w:rPr>
          <w:rFonts w:ascii="Times New Roman" w:hAnsi="Times New Roman" w:cs="Times New Roman"/>
          <w:i/>
          <w:iCs/>
        </w:rPr>
        <w:t>Advances in Neural Information Processing Systems 30</w:t>
      </w:r>
      <w:r>
        <w:rPr>
          <w:rFonts w:ascii="Times New Roman" w:hAnsi="Times New Roman" w:cs="Times New Roman"/>
        </w:rPr>
        <w:t>, pp. 4765–4774.</w:t>
      </w:r>
      <w:r>
        <w:rPr>
          <w:rFonts w:ascii="Times New Roman" w:hAnsi="Times New Roman" w:cs="Times New Roman"/>
        </w:rPr>
        <w:br/>
        <w:t xml:space="preserve">Malpezzi, S. (2003) 'Hedonic pricing models: a selective and applied review', in O'Sullivan, T. and Gibb, K. (eds) </w:t>
      </w:r>
      <w:r>
        <w:rPr>
          <w:rFonts w:ascii="Times New Roman" w:hAnsi="Times New Roman" w:cs="Times New Roman"/>
          <w:i/>
          <w:iCs/>
        </w:rPr>
        <w:t>Housing Economics and Public Policy</w:t>
      </w:r>
      <w:r>
        <w:rPr>
          <w:rFonts w:ascii="Times New Roman" w:hAnsi="Times New Roman" w:cs="Times New Roman"/>
        </w:rPr>
        <w:t>. Oxford: Blackwell, pp. 67–89.</w:t>
      </w:r>
      <w:r>
        <w:rPr>
          <w:rFonts w:ascii="Times New Roman" w:hAnsi="Times New Roman" w:cs="Times New Roman"/>
        </w:rPr>
        <w:br/>
        <w:t xml:space="preserve">Mayer, M., Bourassa, S.C., Hoesli, M. and Scognamiglio, D. (2019) 'Estimation and updating methods for hedonic valuation', </w:t>
      </w:r>
      <w:r>
        <w:rPr>
          <w:rFonts w:ascii="Times New Roman" w:hAnsi="Times New Roman" w:cs="Times New Roman"/>
          <w:i/>
          <w:iCs/>
        </w:rPr>
        <w:t>Journal of European Real Estate Research</w:t>
      </w:r>
      <w:r>
        <w:rPr>
          <w:rFonts w:ascii="Times New Roman" w:hAnsi="Times New Roman" w:cs="Times New Roman"/>
        </w:rPr>
        <w:t>, 12(1), pp. 134–150. doi:10.1108/JERER-08-2018-0035.</w:t>
      </w:r>
      <w:r>
        <w:rPr>
          <w:rFonts w:ascii="Times New Roman" w:hAnsi="Times New Roman" w:cs="Times New Roman"/>
        </w:rPr>
        <w:br/>
        <w:t xml:space="preserve">McMillen, D. and Singh, R. (2020) 'Assessment regressivity and property taxation', </w:t>
      </w:r>
      <w:r>
        <w:rPr>
          <w:rFonts w:ascii="Times New Roman" w:hAnsi="Times New Roman" w:cs="Times New Roman"/>
          <w:i/>
          <w:iCs/>
        </w:rPr>
        <w:t>Journal of Real Estate Finance and Economics,</w:t>
      </w:r>
      <w:r>
        <w:rPr>
          <w:rFonts w:ascii="Times New Roman" w:hAnsi="Times New Roman" w:cs="Times New Roman"/>
        </w:rPr>
        <w:t xml:space="preserve"> 60(1), pp. 155–169. doi:10.1007/s11146-019-09715-x.</w:t>
      </w:r>
      <w:r>
        <w:rPr>
          <w:rFonts w:ascii="Times New Roman" w:hAnsi="Times New Roman" w:cs="Times New Roman"/>
        </w:rPr>
        <w:br/>
      </w:r>
      <w:proofErr w:type="spellStart"/>
      <w:r>
        <w:rPr>
          <w:rFonts w:ascii="Times New Roman" w:hAnsi="Times New Roman" w:cs="Times New Roman"/>
        </w:rPr>
        <w:t>Muellbauer</w:t>
      </w:r>
      <w:proofErr w:type="spellEnd"/>
      <w:r>
        <w:rPr>
          <w:rFonts w:ascii="Times New Roman" w:hAnsi="Times New Roman" w:cs="Times New Roman"/>
        </w:rPr>
        <w:t xml:space="preserve">, J. and Murphy, A. (1997) 'Booms and busts in the UK housing market', </w:t>
      </w:r>
      <w:r>
        <w:rPr>
          <w:rFonts w:ascii="Times New Roman" w:hAnsi="Times New Roman" w:cs="Times New Roman"/>
          <w:i/>
          <w:iCs/>
        </w:rPr>
        <w:lastRenderedPageBreak/>
        <w:t>Economic Journal,</w:t>
      </w:r>
      <w:r>
        <w:rPr>
          <w:rFonts w:ascii="Times New Roman" w:hAnsi="Times New Roman" w:cs="Times New Roman"/>
        </w:rPr>
        <w:t xml:space="preserve"> 107(445), pp. 1701–1727.</w:t>
      </w:r>
      <w:r>
        <w:rPr>
          <w:rFonts w:ascii="Times New Roman" w:hAnsi="Times New Roman" w:cs="Times New Roman"/>
        </w:rPr>
        <w:br/>
        <w:t xml:space="preserve">Mullainathan, S. and Spiess, J. (2017) 'Machine learning: an applied econometric approach', </w:t>
      </w:r>
      <w:r>
        <w:rPr>
          <w:rFonts w:ascii="Times New Roman" w:hAnsi="Times New Roman" w:cs="Times New Roman"/>
          <w:i/>
          <w:iCs/>
        </w:rPr>
        <w:t>Journal of Economic Perspectives,</w:t>
      </w:r>
      <w:r>
        <w:rPr>
          <w:rFonts w:ascii="Times New Roman" w:hAnsi="Times New Roman" w:cs="Times New Roman"/>
        </w:rPr>
        <w:t xml:space="preserve"> 31(2), pp. 87–106.</w:t>
      </w:r>
      <w:r>
        <w:rPr>
          <w:rFonts w:ascii="Times New Roman" w:hAnsi="Times New Roman" w:cs="Times New Roman"/>
        </w:rPr>
        <w:br/>
        <w:t>Obasse, V.J. (2025) '</w:t>
      </w:r>
      <w:proofErr w:type="spellStart"/>
      <w:r>
        <w:rPr>
          <w:rFonts w:ascii="Times New Roman" w:hAnsi="Times New Roman" w:cs="Times New Roman"/>
        </w:rPr>
        <w:t>ValuInsight</w:t>
      </w:r>
      <w:proofErr w:type="spellEnd"/>
      <w:r>
        <w:rPr>
          <w:rFonts w:ascii="Times New Roman" w:hAnsi="Times New Roman" w:cs="Times New Roman"/>
        </w:rPr>
        <w:t xml:space="preserve"> AI: a catalyst for the UK's real estate economy', </w:t>
      </w:r>
      <w:r>
        <w:rPr>
          <w:rFonts w:ascii="Times New Roman" w:hAnsi="Times New Roman" w:cs="Times New Roman"/>
          <w:i/>
          <w:iCs/>
        </w:rPr>
        <w:t>TAJMMR: Trans Asian Journal of Marketing &amp; Management Research,</w:t>
      </w:r>
      <w:r>
        <w:rPr>
          <w:rFonts w:ascii="Times New Roman" w:hAnsi="Times New Roman" w:cs="Times New Roman"/>
        </w:rPr>
        <w:t xml:space="preserve"> 14(10–12). doi:10.5958/2279-0667.2025.00014.5.</w:t>
      </w:r>
      <w:r>
        <w:rPr>
          <w:rFonts w:ascii="Times New Roman" w:hAnsi="Times New Roman" w:cs="Times New Roman"/>
        </w:rPr>
        <w:br/>
        <w:t xml:space="preserve">Pedregosa, F. et al. (2011) 'Scikit-learn: machine learning in Python', </w:t>
      </w:r>
      <w:r>
        <w:rPr>
          <w:rFonts w:ascii="Times New Roman" w:hAnsi="Times New Roman" w:cs="Times New Roman"/>
          <w:i/>
          <w:iCs/>
        </w:rPr>
        <w:t>Journal of Machine Learning Research,</w:t>
      </w:r>
      <w:r>
        <w:rPr>
          <w:rFonts w:ascii="Times New Roman" w:hAnsi="Times New Roman" w:cs="Times New Roman"/>
        </w:rPr>
        <w:t xml:space="preserve"> 12, pp. 2825–2830.</w:t>
      </w:r>
      <w:r>
        <w:rPr>
          <w:rFonts w:ascii="Times New Roman" w:hAnsi="Times New Roman" w:cs="Times New Roman"/>
        </w:rPr>
        <w:br/>
        <w:t xml:space="preserve">RICS (2024) </w:t>
      </w:r>
      <w:r>
        <w:rPr>
          <w:rFonts w:ascii="Times New Roman" w:hAnsi="Times New Roman" w:cs="Times New Roman"/>
          <w:i/>
          <w:iCs/>
        </w:rPr>
        <w:t>RICS Valuation – Global Standards</w:t>
      </w:r>
      <w:r>
        <w:rPr>
          <w:rFonts w:ascii="Times New Roman" w:hAnsi="Times New Roman" w:cs="Times New Roman"/>
        </w:rPr>
        <w:t>. London: Royal Institution of Chartered Surveyors. Effective from 31 January 2025.</w:t>
      </w:r>
      <w:r>
        <w:rPr>
          <w:rFonts w:ascii="Times New Roman" w:hAnsi="Times New Roman" w:cs="Times New Roman"/>
        </w:rPr>
        <w:br/>
        <w:t xml:space="preserve">Rosen, S. (1974) 'Hedonic prices and implicit markets: product differentiation in pure competition', </w:t>
      </w:r>
      <w:r>
        <w:rPr>
          <w:rFonts w:ascii="Times New Roman" w:hAnsi="Times New Roman" w:cs="Times New Roman"/>
          <w:i/>
          <w:iCs/>
        </w:rPr>
        <w:t>Journal of Political Economy</w:t>
      </w:r>
      <w:r>
        <w:rPr>
          <w:rFonts w:ascii="Times New Roman" w:hAnsi="Times New Roman" w:cs="Times New Roman"/>
        </w:rPr>
        <w:t>, 82(1), pp. 34–55.</w:t>
      </w:r>
      <w:r>
        <w:rPr>
          <w:rFonts w:ascii="Times New Roman" w:hAnsi="Times New Roman" w:cs="Times New Roman"/>
        </w:rPr>
        <w:br/>
        <w:t xml:space="preserve">Rudin, C. (2019) 'Stop explaining black box machine learning models for high stakes decisions and use interpretable models instead', </w:t>
      </w:r>
      <w:r>
        <w:rPr>
          <w:rFonts w:ascii="Times New Roman" w:hAnsi="Times New Roman" w:cs="Times New Roman"/>
          <w:i/>
          <w:iCs/>
        </w:rPr>
        <w:t>Nature Machine Intelligence</w:t>
      </w:r>
      <w:r>
        <w:rPr>
          <w:rFonts w:ascii="Times New Roman" w:hAnsi="Times New Roman" w:cs="Times New Roman"/>
        </w:rPr>
        <w:t>, 1(5), pp. 206–215.</w:t>
      </w:r>
      <w:r>
        <w:rPr>
          <w:rFonts w:ascii="Times New Roman" w:hAnsi="Times New Roman" w:cs="Times New Roman"/>
        </w:rPr>
        <w:br/>
        <w:t xml:space="preserve">Sirmans, G.S., Macpherson, D.A. and Zietz, E.N. (2005) 'The composition of hedonic pricing models', </w:t>
      </w:r>
      <w:r>
        <w:rPr>
          <w:rFonts w:ascii="Times New Roman" w:hAnsi="Times New Roman" w:cs="Times New Roman"/>
          <w:i/>
          <w:iCs/>
        </w:rPr>
        <w:t>Journal of Real Estate Literature</w:t>
      </w:r>
      <w:r>
        <w:rPr>
          <w:rFonts w:ascii="Times New Roman" w:hAnsi="Times New Roman" w:cs="Times New Roman"/>
        </w:rPr>
        <w:t>, 13(1), pp. 3–43.</w:t>
      </w:r>
      <w:r>
        <w:rPr>
          <w:rFonts w:ascii="Times New Roman" w:hAnsi="Times New Roman" w:cs="Times New Roman"/>
        </w:rPr>
        <w:br/>
        <w:t xml:space="preserve">Steurer, M., Hill, R.J. and Pfeifer, N. (2021) 'Metrics for evaluating the performance of machine learning based automated valuation models', </w:t>
      </w:r>
      <w:r>
        <w:rPr>
          <w:rFonts w:ascii="Times New Roman" w:hAnsi="Times New Roman" w:cs="Times New Roman"/>
          <w:i/>
          <w:iCs/>
        </w:rPr>
        <w:t>Journal of Property Research,</w:t>
      </w:r>
      <w:r>
        <w:rPr>
          <w:rFonts w:ascii="Times New Roman" w:hAnsi="Times New Roman" w:cs="Times New Roman"/>
        </w:rPr>
        <w:t xml:space="preserve"> 38(2), pp. 99–129.</w:t>
      </w:r>
      <w:r>
        <w:rPr>
          <w:rFonts w:ascii="Times New Roman" w:hAnsi="Times New Roman" w:cs="Times New Roman"/>
        </w:rPr>
        <w:br/>
      </w:r>
    </w:p>
    <w:p w14:paraId="4D24BF76" w14:textId="6B86B395" w:rsidR="00413825" w:rsidRPr="00D93CF2" w:rsidRDefault="00413825" w:rsidP="008643CA">
      <w:pPr>
        <w:spacing w:line="360" w:lineRule="auto"/>
        <w:rPr>
          <w:rFonts w:ascii="Times New Roman" w:hAnsi="Times New Roman" w:cs="Times New Roman"/>
          <w:b/>
          <w:bCs/>
        </w:rPr>
      </w:pPr>
      <w:r>
        <w:rPr>
          <w:rFonts w:ascii="Times New Roman" w:hAnsi="Times New Roman" w:cs="Times New Roman"/>
        </w:rPr>
        <w:t> </w:t>
      </w:r>
      <w:r>
        <w:rPr>
          <w:rFonts w:ascii="Times New Roman" w:hAnsi="Times New Roman" w:cs="Times New Roman"/>
          <w:b/>
          <w:bCs/>
        </w:rPr>
        <w:t>Appendix A. Glossary of terms and abbreviations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8"/>
        <w:gridCol w:w="6858"/>
      </w:tblGrid>
      <w:tr w:rsidR="00D93CF2" w:rsidRPr="00D93CF2" w14:paraId="1A30D809" w14:textId="77777777">
        <w:trPr>
          <w:tblCellSpacing w:w="15" w:type="dxa"/>
        </w:trPr>
        <w:tc>
          <w:tcPr>
            <w:tcW w:w="0" w:type="auto"/>
            <w:vAlign w:val="center"/>
            <w:hideMark/>
          </w:tcPr>
          <w:p w14:paraId="2D93EFC6" w14:textId="77777777" w:rsidR="00D93CF2" w:rsidRPr="00D93CF2" w:rsidRDefault="00D93CF2" w:rsidP="00D93CF2">
            <w:pPr>
              <w:spacing w:line="360" w:lineRule="auto"/>
              <w:rPr>
                <w:rFonts w:ascii="Times New Roman" w:hAnsi="Times New Roman" w:cs="Times New Roman"/>
                <w:b/>
                <w:bCs/>
              </w:rPr>
            </w:pPr>
            <w:r>
              <w:rPr>
                <w:rFonts w:ascii="Times New Roman" w:hAnsi="Times New Roman" w:cs="Times New Roman"/>
                <w:b/>
                <w:bCs/>
              </w:rPr>
              <w:t>Term</w:t>
            </w:r>
          </w:p>
        </w:tc>
        <w:tc>
          <w:tcPr>
            <w:tcW w:w="0" w:type="auto"/>
            <w:vAlign w:val="center"/>
            <w:hideMark/>
          </w:tcPr>
          <w:p w14:paraId="1F6253AD" w14:textId="77777777" w:rsidR="00D93CF2" w:rsidRPr="00D93CF2" w:rsidRDefault="00D93CF2" w:rsidP="00D93CF2">
            <w:pPr>
              <w:spacing w:line="360" w:lineRule="auto"/>
              <w:rPr>
                <w:rFonts w:ascii="Times New Roman" w:hAnsi="Times New Roman" w:cs="Times New Roman"/>
                <w:b/>
                <w:bCs/>
              </w:rPr>
            </w:pPr>
            <w:r>
              <w:rPr>
                <w:rFonts w:ascii="Times New Roman" w:hAnsi="Times New Roman" w:cs="Times New Roman"/>
                <w:b/>
                <w:bCs/>
              </w:rPr>
              <w:t>Meaning in this paper</w:t>
            </w:r>
          </w:p>
        </w:tc>
      </w:tr>
      <w:tr w:rsidR="00D93CF2" w:rsidRPr="00D93CF2" w14:paraId="01BCD571" w14:textId="77777777">
        <w:trPr>
          <w:tblCellSpacing w:w="15" w:type="dxa"/>
        </w:trPr>
        <w:tc>
          <w:tcPr>
            <w:tcW w:w="0" w:type="auto"/>
            <w:vAlign w:val="center"/>
            <w:hideMark/>
          </w:tcPr>
          <w:p w14:paraId="5EDC8FFC"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Anchor (market anchor)</w:t>
            </w:r>
          </w:p>
        </w:tc>
        <w:tc>
          <w:tcPr>
            <w:tcW w:w="0" w:type="auto"/>
            <w:vAlign w:val="center"/>
            <w:hideMark/>
          </w:tcPr>
          <w:p w14:paraId="4E8C91A9"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The average log price of the same property type in the same district over the six months before a sale. It sets the general price level for each valuation.</w:t>
            </w:r>
          </w:p>
        </w:tc>
      </w:tr>
      <w:tr w:rsidR="00D93CF2" w:rsidRPr="00D93CF2" w14:paraId="45BC68CC" w14:textId="77777777">
        <w:trPr>
          <w:tblCellSpacing w:w="15" w:type="dxa"/>
        </w:trPr>
        <w:tc>
          <w:tcPr>
            <w:tcW w:w="0" w:type="auto"/>
            <w:vAlign w:val="center"/>
            <w:hideMark/>
          </w:tcPr>
          <w:p w14:paraId="445509BF"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AVM</w:t>
            </w:r>
          </w:p>
        </w:tc>
        <w:tc>
          <w:tcPr>
            <w:tcW w:w="0" w:type="auto"/>
            <w:vAlign w:val="center"/>
            <w:hideMark/>
          </w:tcPr>
          <w:p w14:paraId="0D63B8FD"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Automated valuation model: software that estimates a property's value from data, without an inspection.</w:t>
            </w:r>
          </w:p>
        </w:tc>
      </w:tr>
      <w:tr w:rsidR="00D93CF2" w:rsidRPr="00D93CF2" w14:paraId="29153C78" w14:textId="77777777">
        <w:trPr>
          <w:tblCellSpacing w:w="15" w:type="dxa"/>
        </w:trPr>
        <w:tc>
          <w:tcPr>
            <w:tcW w:w="0" w:type="auto"/>
            <w:vAlign w:val="center"/>
            <w:hideMark/>
          </w:tcPr>
          <w:p w14:paraId="680D3E5C"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Bank Rate</w:t>
            </w:r>
          </w:p>
        </w:tc>
        <w:tc>
          <w:tcPr>
            <w:tcW w:w="0" w:type="auto"/>
            <w:vAlign w:val="center"/>
            <w:hideMark/>
          </w:tcPr>
          <w:p w14:paraId="5F1E50F9"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The interest rate set by the Bank of England's Monetary Policy Committee, which influences mortgage rates.</w:t>
            </w:r>
          </w:p>
        </w:tc>
      </w:tr>
      <w:tr w:rsidR="00D93CF2" w:rsidRPr="00D93CF2" w14:paraId="356BD4F7" w14:textId="77777777">
        <w:trPr>
          <w:tblCellSpacing w:w="15" w:type="dxa"/>
        </w:trPr>
        <w:tc>
          <w:tcPr>
            <w:tcW w:w="0" w:type="auto"/>
            <w:vAlign w:val="center"/>
            <w:hideMark/>
          </w:tcPr>
          <w:p w14:paraId="2EBDA388"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lastRenderedPageBreak/>
              <w:t>Bootstrap (paired)</w:t>
            </w:r>
          </w:p>
        </w:tc>
        <w:tc>
          <w:tcPr>
            <w:tcW w:w="0" w:type="auto"/>
            <w:vAlign w:val="center"/>
            <w:hideMark/>
          </w:tcPr>
          <w:p w14:paraId="3C376D60"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method that resamples the test sales many times to measure how certain a difference in error between two models is.</w:t>
            </w:r>
          </w:p>
        </w:tc>
      </w:tr>
      <w:tr w:rsidR="00D93CF2" w:rsidRPr="00D93CF2" w14:paraId="39193E26" w14:textId="77777777">
        <w:trPr>
          <w:tblCellSpacing w:w="15" w:type="dxa"/>
        </w:trPr>
        <w:tc>
          <w:tcPr>
            <w:tcW w:w="0" w:type="auto"/>
            <w:vAlign w:val="center"/>
            <w:hideMark/>
          </w:tcPr>
          <w:p w14:paraId="04D5E073"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Category A and B sales</w:t>
            </w:r>
          </w:p>
        </w:tc>
        <w:tc>
          <w:tcPr>
            <w:tcW w:w="0" w:type="auto"/>
            <w:vAlign w:val="center"/>
            <w:hideMark/>
          </w:tcPr>
          <w:p w14:paraId="1C1051A7"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HM Land Registry's split between standard sales at full market value (A) and additional entries such as repossessions, some buy to let purchases and transfers to companies (B).</w:t>
            </w:r>
          </w:p>
        </w:tc>
      </w:tr>
      <w:tr w:rsidR="00D93CF2" w:rsidRPr="00D93CF2" w14:paraId="0E431593" w14:textId="77777777">
        <w:trPr>
          <w:tblCellSpacing w:w="15" w:type="dxa"/>
        </w:trPr>
        <w:tc>
          <w:tcPr>
            <w:tcW w:w="0" w:type="auto"/>
            <w:vAlign w:val="center"/>
            <w:hideMark/>
          </w:tcPr>
          <w:p w14:paraId="1872006A"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COD</w:t>
            </w:r>
          </w:p>
        </w:tc>
        <w:tc>
          <w:tcPr>
            <w:tcW w:w="0" w:type="auto"/>
            <w:vAlign w:val="center"/>
            <w:hideMark/>
          </w:tcPr>
          <w:p w14:paraId="6886965B"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Coefficient of dispersion: the average distance of valuation ratios from their median, as a percentage. Lower means more uniform valuations.</w:t>
            </w:r>
          </w:p>
        </w:tc>
      </w:tr>
      <w:tr w:rsidR="00D93CF2" w:rsidRPr="00D93CF2" w14:paraId="1B315A48" w14:textId="77777777">
        <w:trPr>
          <w:tblCellSpacing w:w="15" w:type="dxa"/>
        </w:trPr>
        <w:tc>
          <w:tcPr>
            <w:tcW w:w="0" w:type="auto"/>
            <w:vAlign w:val="center"/>
            <w:hideMark/>
          </w:tcPr>
          <w:p w14:paraId="3E9F6D30"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Comparable sales</w:t>
            </w:r>
          </w:p>
        </w:tc>
        <w:tc>
          <w:tcPr>
            <w:tcW w:w="0" w:type="auto"/>
            <w:vAlign w:val="center"/>
            <w:hideMark/>
          </w:tcPr>
          <w:p w14:paraId="052C9A8A"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Recent sales of similar homes nearby, used as evidence of value.</w:t>
            </w:r>
          </w:p>
        </w:tc>
      </w:tr>
      <w:tr w:rsidR="00D93CF2" w:rsidRPr="00D93CF2" w14:paraId="46919FB1" w14:textId="77777777">
        <w:trPr>
          <w:tblCellSpacing w:w="15" w:type="dxa"/>
        </w:trPr>
        <w:tc>
          <w:tcPr>
            <w:tcW w:w="0" w:type="auto"/>
            <w:vAlign w:val="center"/>
            <w:hideMark/>
          </w:tcPr>
          <w:p w14:paraId="4F612DD5"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Ensemble</w:t>
            </w:r>
          </w:p>
        </w:tc>
        <w:tc>
          <w:tcPr>
            <w:tcW w:w="0" w:type="auto"/>
            <w:vAlign w:val="center"/>
            <w:hideMark/>
          </w:tcPr>
          <w:p w14:paraId="5E282EA0"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model that combines the predictions of several models, here by a weighted average.</w:t>
            </w:r>
          </w:p>
        </w:tc>
      </w:tr>
      <w:tr w:rsidR="00D93CF2" w:rsidRPr="00D93CF2" w14:paraId="71D5C039" w14:textId="77777777">
        <w:trPr>
          <w:tblCellSpacing w:w="15" w:type="dxa"/>
        </w:trPr>
        <w:tc>
          <w:tcPr>
            <w:tcW w:w="0" w:type="auto"/>
            <w:vAlign w:val="center"/>
            <w:hideMark/>
          </w:tcPr>
          <w:p w14:paraId="5BA834E5"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Feature</w:t>
            </w:r>
          </w:p>
        </w:tc>
        <w:tc>
          <w:tcPr>
            <w:tcW w:w="0" w:type="auto"/>
            <w:vAlign w:val="center"/>
            <w:hideMark/>
          </w:tcPr>
          <w:p w14:paraId="5F022F19"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An input the model uses to make a prediction, such as property type or the street's price history.</w:t>
            </w:r>
          </w:p>
        </w:tc>
      </w:tr>
      <w:tr w:rsidR="00D93CF2" w:rsidRPr="00D93CF2" w14:paraId="3EF9BE08" w14:textId="77777777">
        <w:trPr>
          <w:tblCellSpacing w:w="15" w:type="dxa"/>
        </w:trPr>
        <w:tc>
          <w:tcPr>
            <w:tcW w:w="0" w:type="auto"/>
            <w:vAlign w:val="center"/>
            <w:hideMark/>
          </w:tcPr>
          <w:p w14:paraId="303C4B5C"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Fixed effect</w:t>
            </w:r>
          </w:p>
        </w:tc>
        <w:tc>
          <w:tcPr>
            <w:tcW w:w="0" w:type="auto"/>
            <w:vAlign w:val="center"/>
            <w:hideMark/>
          </w:tcPr>
          <w:p w14:paraId="1423DD9E"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separate constant for each group, such as each postcode sector or month, that absorbs everything common to that group.</w:t>
            </w:r>
          </w:p>
        </w:tc>
      </w:tr>
      <w:tr w:rsidR="00D93CF2" w:rsidRPr="00D93CF2" w14:paraId="1894D386" w14:textId="77777777">
        <w:trPr>
          <w:tblCellSpacing w:w="15" w:type="dxa"/>
        </w:trPr>
        <w:tc>
          <w:tcPr>
            <w:tcW w:w="0" w:type="auto"/>
            <w:vAlign w:val="center"/>
            <w:hideMark/>
          </w:tcPr>
          <w:p w14:paraId="0DFC0543"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Gradient boosting</w:t>
            </w:r>
          </w:p>
        </w:tc>
        <w:tc>
          <w:tcPr>
            <w:tcW w:w="0" w:type="auto"/>
            <w:vAlign w:val="center"/>
            <w:hideMark/>
          </w:tcPr>
          <w:p w14:paraId="18629257"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machine learning method that builds many small decision trees in sequence, each correcting the errors of the ones before.</w:t>
            </w:r>
          </w:p>
        </w:tc>
      </w:tr>
      <w:tr w:rsidR="00D93CF2" w:rsidRPr="00D93CF2" w14:paraId="426888AB" w14:textId="77777777">
        <w:trPr>
          <w:tblCellSpacing w:w="15" w:type="dxa"/>
        </w:trPr>
        <w:tc>
          <w:tcPr>
            <w:tcW w:w="0" w:type="auto"/>
            <w:vAlign w:val="center"/>
            <w:hideMark/>
          </w:tcPr>
          <w:p w14:paraId="20836CD6"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HC1 standard errors</w:t>
            </w:r>
          </w:p>
        </w:tc>
        <w:tc>
          <w:tcPr>
            <w:tcW w:w="0" w:type="auto"/>
            <w:vAlign w:val="center"/>
            <w:hideMark/>
          </w:tcPr>
          <w:p w14:paraId="6CF30736"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Standard errors that remain reliable when the spread of errors differs across homes.</w:t>
            </w:r>
          </w:p>
        </w:tc>
      </w:tr>
      <w:tr w:rsidR="00D93CF2" w:rsidRPr="00D93CF2" w14:paraId="4A05F6B8" w14:textId="77777777">
        <w:trPr>
          <w:tblCellSpacing w:w="15" w:type="dxa"/>
        </w:trPr>
        <w:tc>
          <w:tcPr>
            <w:tcW w:w="0" w:type="auto"/>
            <w:vAlign w:val="center"/>
            <w:hideMark/>
          </w:tcPr>
          <w:p w14:paraId="3F4FF13F"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Hedonic regression</w:t>
            </w:r>
          </w:p>
        </w:tc>
        <w:tc>
          <w:tcPr>
            <w:tcW w:w="0" w:type="auto"/>
            <w:vAlign w:val="center"/>
            <w:hideMark/>
          </w:tcPr>
          <w:p w14:paraId="78E6D1A7"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model that explains price as the sum of the values of a home's characteristics, such as type and location.</w:t>
            </w:r>
          </w:p>
        </w:tc>
      </w:tr>
      <w:tr w:rsidR="00D93CF2" w:rsidRPr="00D93CF2" w14:paraId="4F38888D" w14:textId="77777777">
        <w:trPr>
          <w:tblCellSpacing w:w="15" w:type="dxa"/>
        </w:trPr>
        <w:tc>
          <w:tcPr>
            <w:tcW w:w="0" w:type="auto"/>
            <w:vAlign w:val="center"/>
            <w:hideMark/>
          </w:tcPr>
          <w:p w14:paraId="61D6BED8"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Hyperparameter</w:t>
            </w:r>
          </w:p>
        </w:tc>
        <w:tc>
          <w:tcPr>
            <w:tcW w:w="0" w:type="auto"/>
            <w:vAlign w:val="center"/>
            <w:hideMark/>
          </w:tcPr>
          <w:p w14:paraId="066441AF"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setting chosen before training, such as the number of leaves in a tree, rather than learned from the data.</w:t>
            </w:r>
          </w:p>
        </w:tc>
      </w:tr>
      <w:tr w:rsidR="00D93CF2" w:rsidRPr="00D93CF2" w14:paraId="30E2D1CD" w14:textId="77777777">
        <w:trPr>
          <w:tblCellSpacing w:w="15" w:type="dxa"/>
        </w:trPr>
        <w:tc>
          <w:tcPr>
            <w:tcW w:w="0" w:type="auto"/>
            <w:vAlign w:val="center"/>
            <w:hideMark/>
          </w:tcPr>
          <w:p w14:paraId="46DB68FB"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IAAO</w:t>
            </w:r>
          </w:p>
        </w:tc>
        <w:tc>
          <w:tcPr>
            <w:tcW w:w="0" w:type="auto"/>
            <w:vAlign w:val="center"/>
            <w:hideMark/>
          </w:tcPr>
          <w:p w14:paraId="6A574444"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International Association of Assessing Officers, which publishes standards for valuation accuracy and fairness.</w:t>
            </w:r>
          </w:p>
        </w:tc>
      </w:tr>
      <w:tr w:rsidR="00D93CF2" w:rsidRPr="00D93CF2" w14:paraId="4FA5106D" w14:textId="77777777">
        <w:trPr>
          <w:tblCellSpacing w:w="15" w:type="dxa"/>
        </w:trPr>
        <w:tc>
          <w:tcPr>
            <w:tcW w:w="0" w:type="auto"/>
            <w:vAlign w:val="center"/>
            <w:hideMark/>
          </w:tcPr>
          <w:p w14:paraId="08976AEF"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lastRenderedPageBreak/>
              <w:t>Leakage</w:t>
            </w:r>
          </w:p>
        </w:tc>
        <w:tc>
          <w:tcPr>
            <w:tcW w:w="0" w:type="auto"/>
            <w:vAlign w:val="center"/>
            <w:hideMark/>
          </w:tcPr>
          <w:p w14:paraId="33EE14E9"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When a model is trained with information it would not have had at the time of valuation, which makes test results look better than real use.</w:t>
            </w:r>
          </w:p>
        </w:tc>
      </w:tr>
      <w:tr w:rsidR="00D93CF2" w:rsidRPr="00D93CF2" w14:paraId="7ED47B83" w14:textId="77777777">
        <w:trPr>
          <w:tblCellSpacing w:w="15" w:type="dxa"/>
        </w:trPr>
        <w:tc>
          <w:tcPr>
            <w:tcW w:w="0" w:type="auto"/>
            <w:vAlign w:val="center"/>
            <w:hideMark/>
          </w:tcPr>
          <w:p w14:paraId="0A740104"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Log price (ln)</w:t>
            </w:r>
          </w:p>
        </w:tc>
        <w:tc>
          <w:tcPr>
            <w:tcW w:w="0" w:type="auto"/>
            <w:vAlign w:val="center"/>
            <w:hideMark/>
          </w:tcPr>
          <w:p w14:paraId="1F579AA5"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The natural logarithm of price. Differences in log price read approximately as percentage differences.</w:t>
            </w:r>
          </w:p>
        </w:tc>
      </w:tr>
      <w:tr w:rsidR="00D93CF2" w:rsidRPr="00D93CF2" w14:paraId="38DC0C99" w14:textId="77777777">
        <w:trPr>
          <w:tblCellSpacing w:w="15" w:type="dxa"/>
        </w:trPr>
        <w:tc>
          <w:tcPr>
            <w:tcW w:w="0" w:type="auto"/>
            <w:vAlign w:val="center"/>
            <w:hideMark/>
          </w:tcPr>
          <w:p w14:paraId="38934D0C"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MAE</w:t>
            </w:r>
          </w:p>
        </w:tc>
        <w:tc>
          <w:tcPr>
            <w:tcW w:w="0" w:type="auto"/>
            <w:vAlign w:val="center"/>
            <w:hideMark/>
          </w:tcPr>
          <w:p w14:paraId="05FF93F7"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Mean absolute error: the average size of the valuation error in pounds.</w:t>
            </w:r>
          </w:p>
        </w:tc>
      </w:tr>
      <w:tr w:rsidR="00D93CF2" w:rsidRPr="00D93CF2" w14:paraId="44B49B23" w14:textId="77777777">
        <w:trPr>
          <w:tblCellSpacing w:w="15" w:type="dxa"/>
        </w:trPr>
        <w:tc>
          <w:tcPr>
            <w:tcW w:w="0" w:type="auto"/>
            <w:vAlign w:val="center"/>
            <w:hideMark/>
          </w:tcPr>
          <w:p w14:paraId="6CDC2751"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MAPE</w:t>
            </w:r>
          </w:p>
        </w:tc>
        <w:tc>
          <w:tcPr>
            <w:tcW w:w="0" w:type="auto"/>
            <w:vAlign w:val="center"/>
            <w:hideMark/>
          </w:tcPr>
          <w:p w14:paraId="54DD312E"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Mean absolute percentage error: the average size of the error as a percentage of the sale price.</w:t>
            </w:r>
          </w:p>
        </w:tc>
      </w:tr>
      <w:tr w:rsidR="00D93CF2" w:rsidRPr="00D93CF2" w14:paraId="09F24788" w14:textId="77777777">
        <w:trPr>
          <w:tblCellSpacing w:w="15" w:type="dxa"/>
        </w:trPr>
        <w:tc>
          <w:tcPr>
            <w:tcW w:w="0" w:type="auto"/>
            <w:vAlign w:val="center"/>
            <w:hideMark/>
          </w:tcPr>
          <w:p w14:paraId="5FB056FE" w14:textId="77777777" w:rsidR="00D93CF2" w:rsidRPr="00D93CF2" w:rsidRDefault="00D93CF2" w:rsidP="00D93CF2">
            <w:pPr>
              <w:spacing w:line="360" w:lineRule="auto"/>
              <w:rPr>
                <w:rFonts w:ascii="Times New Roman" w:hAnsi="Times New Roman" w:cs="Times New Roman"/>
              </w:rPr>
            </w:pPr>
            <w:proofErr w:type="spellStart"/>
            <w:r>
              <w:rPr>
                <w:rFonts w:ascii="Times New Roman" w:hAnsi="Times New Roman" w:cs="Times New Roman"/>
              </w:rPr>
              <w:t>MdAPE</w:t>
            </w:r>
            <w:proofErr w:type="spellEnd"/>
          </w:p>
        </w:tc>
        <w:tc>
          <w:tcPr>
            <w:tcW w:w="0" w:type="auto"/>
            <w:vAlign w:val="center"/>
            <w:hideMark/>
          </w:tcPr>
          <w:p w14:paraId="0B0640D8"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Median absolute percentage error: the typical percentage error; half of valuations are closer than this, half further away.</w:t>
            </w:r>
          </w:p>
        </w:tc>
      </w:tr>
      <w:tr w:rsidR="00D93CF2" w:rsidRPr="00D93CF2" w14:paraId="6FF45924" w14:textId="77777777">
        <w:trPr>
          <w:tblCellSpacing w:w="15" w:type="dxa"/>
        </w:trPr>
        <w:tc>
          <w:tcPr>
            <w:tcW w:w="0" w:type="auto"/>
            <w:vAlign w:val="center"/>
            <w:hideMark/>
          </w:tcPr>
          <w:p w14:paraId="2EAEF490"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Median ratio</w:t>
            </w:r>
          </w:p>
        </w:tc>
        <w:tc>
          <w:tcPr>
            <w:tcW w:w="0" w:type="auto"/>
            <w:vAlign w:val="center"/>
            <w:hideMark/>
          </w:tcPr>
          <w:p w14:paraId="08E90F15"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The middle value of the predicted value divided by the sale price. A value of 1.00 means no overall over or undervaluation.</w:t>
            </w:r>
          </w:p>
        </w:tc>
      </w:tr>
      <w:tr w:rsidR="00D93CF2" w:rsidRPr="00D93CF2" w14:paraId="1D875369" w14:textId="77777777">
        <w:trPr>
          <w:tblCellSpacing w:w="15" w:type="dxa"/>
        </w:trPr>
        <w:tc>
          <w:tcPr>
            <w:tcW w:w="0" w:type="auto"/>
            <w:vAlign w:val="center"/>
            <w:hideMark/>
          </w:tcPr>
          <w:p w14:paraId="0C0CA2FB"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Momentum</w:t>
            </w:r>
          </w:p>
        </w:tc>
        <w:tc>
          <w:tcPr>
            <w:tcW w:w="0" w:type="auto"/>
            <w:vAlign w:val="center"/>
            <w:hideMark/>
          </w:tcPr>
          <w:p w14:paraId="5BD5360C"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 xml:space="preserve">The gap between the six month and </w:t>
            </w:r>
            <w:proofErr w:type="gramStart"/>
            <w:r>
              <w:rPr>
                <w:rFonts w:ascii="Times New Roman" w:hAnsi="Times New Roman" w:cs="Times New Roman"/>
              </w:rPr>
              <w:t>24 month</w:t>
            </w:r>
            <w:proofErr w:type="gramEnd"/>
            <w:r>
              <w:rPr>
                <w:rFonts w:ascii="Times New Roman" w:hAnsi="Times New Roman" w:cs="Times New Roman"/>
              </w:rPr>
              <w:t xml:space="preserve"> average log prices, showing whether the local market is rising or falling.</w:t>
            </w:r>
          </w:p>
        </w:tc>
      </w:tr>
      <w:tr w:rsidR="00D93CF2" w:rsidRPr="00D93CF2" w14:paraId="4EA601C2" w14:textId="77777777">
        <w:trPr>
          <w:tblCellSpacing w:w="15" w:type="dxa"/>
        </w:trPr>
        <w:tc>
          <w:tcPr>
            <w:tcW w:w="0" w:type="auto"/>
            <w:vAlign w:val="center"/>
            <w:hideMark/>
          </w:tcPr>
          <w:p w14:paraId="6B97AFF2"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Out of time test</w:t>
            </w:r>
          </w:p>
        </w:tc>
        <w:tc>
          <w:tcPr>
            <w:tcW w:w="0" w:type="auto"/>
            <w:vAlign w:val="center"/>
            <w:hideMark/>
          </w:tcPr>
          <w:p w14:paraId="3545B7B9"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test on sales that took place after all the data used to train the model.</w:t>
            </w:r>
          </w:p>
        </w:tc>
      </w:tr>
      <w:tr w:rsidR="00D93CF2" w:rsidRPr="00D93CF2" w14:paraId="21658095" w14:textId="77777777">
        <w:trPr>
          <w:tblCellSpacing w:w="15" w:type="dxa"/>
        </w:trPr>
        <w:tc>
          <w:tcPr>
            <w:tcW w:w="0" w:type="auto"/>
            <w:vAlign w:val="center"/>
            <w:hideMark/>
          </w:tcPr>
          <w:p w14:paraId="519E493D"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PE10, PE20</w:t>
            </w:r>
          </w:p>
        </w:tc>
        <w:tc>
          <w:tcPr>
            <w:tcW w:w="0" w:type="auto"/>
            <w:vAlign w:val="center"/>
            <w:hideMark/>
          </w:tcPr>
          <w:p w14:paraId="406C9A3A"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The share of valuations within 10 per cent and 20 per cent of the sale price.</w:t>
            </w:r>
          </w:p>
        </w:tc>
      </w:tr>
      <w:tr w:rsidR="00D93CF2" w:rsidRPr="00D93CF2" w14:paraId="48650E16" w14:textId="77777777">
        <w:trPr>
          <w:tblCellSpacing w:w="15" w:type="dxa"/>
        </w:trPr>
        <w:tc>
          <w:tcPr>
            <w:tcW w:w="0" w:type="auto"/>
            <w:vAlign w:val="center"/>
            <w:hideMark/>
          </w:tcPr>
          <w:p w14:paraId="4E02A1FB"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Permutation importance</w:t>
            </w:r>
          </w:p>
        </w:tc>
        <w:tc>
          <w:tcPr>
            <w:tcW w:w="0" w:type="auto"/>
            <w:vAlign w:val="center"/>
            <w:hideMark/>
          </w:tcPr>
          <w:p w14:paraId="560CE975"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How much a model's error rises when one input is randomly shuffled; a larger rise means the model relies more on that input.</w:t>
            </w:r>
          </w:p>
        </w:tc>
      </w:tr>
      <w:tr w:rsidR="00D93CF2" w:rsidRPr="00D93CF2" w14:paraId="043F5292" w14:textId="77777777">
        <w:trPr>
          <w:tblCellSpacing w:w="15" w:type="dxa"/>
        </w:trPr>
        <w:tc>
          <w:tcPr>
            <w:tcW w:w="0" w:type="auto"/>
            <w:vAlign w:val="center"/>
            <w:hideMark/>
          </w:tcPr>
          <w:p w14:paraId="67DA4100"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Postcode sector, district and unit</w:t>
            </w:r>
          </w:p>
        </w:tc>
        <w:tc>
          <w:tcPr>
            <w:tcW w:w="0" w:type="auto"/>
            <w:vAlign w:val="center"/>
            <w:hideMark/>
          </w:tcPr>
          <w:p w14:paraId="3AFC8321"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Levels of the UK postcode. In NE3 1AB, the district is NE3, the sector is NE3 1 and the unit is the full postcode, usually a handful of addresses.</w:t>
            </w:r>
          </w:p>
        </w:tc>
      </w:tr>
      <w:tr w:rsidR="00D93CF2" w:rsidRPr="00D93CF2" w14:paraId="09ABCDBE" w14:textId="77777777">
        <w:trPr>
          <w:tblCellSpacing w:w="15" w:type="dxa"/>
        </w:trPr>
        <w:tc>
          <w:tcPr>
            <w:tcW w:w="0" w:type="auto"/>
            <w:vAlign w:val="center"/>
            <w:hideMark/>
          </w:tcPr>
          <w:p w14:paraId="0C4F6CC1"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PRD</w:t>
            </w:r>
          </w:p>
        </w:tc>
        <w:tc>
          <w:tcPr>
            <w:tcW w:w="0" w:type="auto"/>
            <w:vAlign w:val="center"/>
            <w:hideMark/>
          </w:tcPr>
          <w:p w14:paraId="5E0BE70D"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Price related differential: a test of whether cheaper homes are valued higher, relative to price, than expensive ones. IAAO guidance is 0.98 to 1.03.</w:t>
            </w:r>
          </w:p>
        </w:tc>
      </w:tr>
      <w:tr w:rsidR="00D93CF2" w:rsidRPr="00D93CF2" w14:paraId="09DD0D6F" w14:textId="77777777">
        <w:trPr>
          <w:tblCellSpacing w:w="15" w:type="dxa"/>
        </w:trPr>
        <w:tc>
          <w:tcPr>
            <w:tcW w:w="0" w:type="auto"/>
            <w:vAlign w:val="center"/>
            <w:hideMark/>
          </w:tcPr>
          <w:p w14:paraId="1F00BAB5"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lastRenderedPageBreak/>
              <w:t>Price Paid Data</w:t>
            </w:r>
          </w:p>
        </w:tc>
        <w:tc>
          <w:tcPr>
            <w:tcW w:w="0" w:type="auto"/>
            <w:vAlign w:val="center"/>
            <w:hideMark/>
          </w:tcPr>
          <w:p w14:paraId="7A076C92"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HM Land Registry's public record of residential sales in England and Wales.</w:t>
            </w:r>
          </w:p>
        </w:tc>
      </w:tr>
      <w:tr w:rsidR="00D93CF2" w:rsidRPr="00D93CF2" w14:paraId="108B2308" w14:textId="77777777">
        <w:trPr>
          <w:tblCellSpacing w:w="15" w:type="dxa"/>
        </w:trPr>
        <w:tc>
          <w:tcPr>
            <w:tcW w:w="0" w:type="auto"/>
            <w:vAlign w:val="center"/>
            <w:hideMark/>
          </w:tcPr>
          <w:p w14:paraId="0059207D"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R² (R squared)</w:t>
            </w:r>
          </w:p>
        </w:tc>
        <w:tc>
          <w:tcPr>
            <w:tcW w:w="0" w:type="auto"/>
            <w:vAlign w:val="center"/>
            <w:hideMark/>
          </w:tcPr>
          <w:p w14:paraId="7640019F"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The share of the variation in prices that a model explains, from 0 to 1.</w:t>
            </w:r>
          </w:p>
        </w:tc>
      </w:tr>
      <w:tr w:rsidR="00D93CF2" w:rsidRPr="00D93CF2" w14:paraId="145EB79C" w14:textId="77777777">
        <w:trPr>
          <w:tblCellSpacing w:w="15" w:type="dxa"/>
        </w:trPr>
        <w:tc>
          <w:tcPr>
            <w:tcW w:w="0" w:type="auto"/>
            <w:vAlign w:val="center"/>
            <w:hideMark/>
          </w:tcPr>
          <w:p w14:paraId="44CBABEB"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Random forest</w:t>
            </w:r>
          </w:p>
        </w:tc>
        <w:tc>
          <w:tcPr>
            <w:tcW w:w="0" w:type="auto"/>
            <w:vAlign w:val="center"/>
            <w:hideMark/>
          </w:tcPr>
          <w:p w14:paraId="548F312F"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machine learning method that averages many decision trees, each built on a random sample of the data.</w:t>
            </w:r>
          </w:p>
        </w:tc>
      </w:tr>
      <w:tr w:rsidR="00D93CF2" w:rsidRPr="00D93CF2" w14:paraId="4D8B5495" w14:textId="77777777">
        <w:trPr>
          <w:tblCellSpacing w:w="15" w:type="dxa"/>
        </w:trPr>
        <w:tc>
          <w:tcPr>
            <w:tcW w:w="0" w:type="auto"/>
            <w:vAlign w:val="center"/>
            <w:hideMark/>
          </w:tcPr>
          <w:p w14:paraId="10B6A5DB"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Ratio study</w:t>
            </w:r>
          </w:p>
        </w:tc>
        <w:tc>
          <w:tcPr>
            <w:tcW w:w="0" w:type="auto"/>
            <w:vAlign w:val="center"/>
            <w:hideMark/>
          </w:tcPr>
          <w:p w14:paraId="4A056F4A"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An assessment of valuation quality based on the ratio of predicted value to sale price.</w:t>
            </w:r>
          </w:p>
        </w:tc>
      </w:tr>
      <w:tr w:rsidR="00D93CF2" w:rsidRPr="00D93CF2" w14:paraId="0A5B93FD" w14:textId="77777777">
        <w:trPr>
          <w:tblCellSpacing w:w="15" w:type="dxa"/>
        </w:trPr>
        <w:tc>
          <w:tcPr>
            <w:tcW w:w="0" w:type="auto"/>
            <w:vAlign w:val="center"/>
            <w:hideMark/>
          </w:tcPr>
          <w:p w14:paraId="7538A4C7"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Regressive valuation</w:t>
            </w:r>
          </w:p>
        </w:tc>
        <w:tc>
          <w:tcPr>
            <w:tcW w:w="0" w:type="auto"/>
            <w:vAlign w:val="center"/>
            <w:hideMark/>
          </w:tcPr>
          <w:p w14:paraId="19165F88"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pattern in which cheaper homes are overvalued and expensive homes undervalued.</w:t>
            </w:r>
          </w:p>
        </w:tc>
      </w:tr>
      <w:tr w:rsidR="00D93CF2" w:rsidRPr="00D93CF2" w14:paraId="3465788C" w14:textId="77777777">
        <w:trPr>
          <w:tblCellSpacing w:w="15" w:type="dxa"/>
        </w:trPr>
        <w:tc>
          <w:tcPr>
            <w:tcW w:w="0" w:type="auto"/>
            <w:vAlign w:val="center"/>
            <w:hideMark/>
          </w:tcPr>
          <w:p w14:paraId="7649117F"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Repeat sale</w:t>
            </w:r>
          </w:p>
        </w:tc>
        <w:tc>
          <w:tcPr>
            <w:tcW w:w="0" w:type="auto"/>
            <w:vAlign w:val="center"/>
            <w:hideMark/>
          </w:tcPr>
          <w:p w14:paraId="6C312501"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home that sold more than once within the data, so its earlier price can inform its later value.</w:t>
            </w:r>
          </w:p>
        </w:tc>
      </w:tr>
      <w:tr w:rsidR="00D93CF2" w:rsidRPr="00D93CF2" w14:paraId="0BF22F62" w14:textId="77777777">
        <w:trPr>
          <w:tblCellSpacing w:w="15" w:type="dxa"/>
        </w:trPr>
        <w:tc>
          <w:tcPr>
            <w:tcW w:w="0" w:type="auto"/>
            <w:vAlign w:val="center"/>
            <w:hideMark/>
          </w:tcPr>
          <w:p w14:paraId="33CE5CF7"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RICS</w:t>
            </w:r>
          </w:p>
        </w:tc>
        <w:tc>
          <w:tcPr>
            <w:tcW w:w="0" w:type="auto"/>
            <w:vAlign w:val="center"/>
            <w:hideMark/>
          </w:tcPr>
          <w:p w14:paraId="0ED13BDC"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Royal Institution of Chartered Surveyors, the UK professional body for valuers.</w:t>
            </w:r>
          </w:p>
        </w:tc>
      </w:tr>
      <w:tr w:rsidR="00D93CF2" w:rsidRPr="00D93CF2" w14:paraId="5C11285E" w14:textId="77777777">
        <w:trPr>
          <w:tblCellSpacing w:w="15" w:type="dxa"/>
        </w:trPr>
        <w:tc>
          <w:tcPr>
            <w:tcW w:w="0" w:type="auto"/>
            <w:vAlign w:val="center"/>
            <w:hideMark/>
          </w:tcPr>
          <w:p w14:paraId="65106883"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RMSE</w:t>
            </w:r>
          </w:p>
        </w:tc>
        <w:tc>
          <w:tcPr>
            <w:tcW w:w="0" w:type="auto"/>
            <w:vAlign w:val="center"/>
            <w:hideMark/>
          </w:tcPr>
          <w:p w14:paraId="41866658"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 xml:space="preserve">Root mean squared error: like </w:t>
            </w:r>
            <w:proofErr w:type="gramStart"/>
            <w:r>
              <w:rPr>
                <w:rFonts w:ascii="Times New Roman" w:hAnsi="Times New Roman" w:cs="Times New Roman"/>
              </w:rPr>
              <w:t>MAE, but</w:t>
            </w:r>
            <w:proofErr w:type="gramEnd"/>
            <w:r>
              <w:rPr>
                <w:rFonts w:ascii="Times New Roman" w:hAnsi="Times New Roman" w:cs="Times New Roman"/>
              </w:rPr>
              <w:t xml:space="preserve"> gives more weight to large errors.</w:t>
            </w:r>
          </w:p>
        </w:tc>
      </w:tr>
      <w:tr w:rsidR="00D93CF2" w:rsidRPr="00D93CF2" w14:paraId="299AA775" w14:textId="77777777">
        <w:trPr>
          <w:tblCellSpacing w:w="15" w:type="dxa"/>
        </w:trPr>
        <w:tc>
          <w:tcPr>
            <w:tcW w:w="0" w:type="auto"/>
            <w:vAlign w:val="center"/>
            <w:hideMark/>
          </w:tcPr>
          <w:p w14:paraId="1946754B"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Rolling origin</w:t>
            </w:r>
          </w:p>
        </w:tc>
        <w:tc>
          <w:tcPr>
            <w:tcW w:w="0" w:type="auto"/>
            <w:vAlign w:val="center"/>
            <w:hideMark/>
          </w:tcPr>
          <w:p w14:paraId="3F0E7B3D"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 test design in which the model is retrained before each period, here each quarter, using only earlier data.</w:t>
            </w:r>
          </w:p>
        </w:tc>
      </w:tr>
      <w:tr w:rsidR="00D93CF2" w:rsidRPr="00D93CF2" w14:paraId="204B6D99" w14:textId="77777777">
        <w:trPr>
          <w:tblCellSpacing w:w="15" w:type="dxa"/>
        </w:trPr>
        <w:tc>
          <w:tcPr>
            <w:tcW w:w="0" w:type="auto"/>
            <w:vAlign w:val="center"/>
            <w:hideMark/>
          </w:tcPr>
          <w:p w14:paraId="2D16F43E"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SHAP</w:t>
            </w:r>
          </w:p>
        </w:tc>
        <w:tc>
          <w:tcPr>
            <w:tcW w:w="0" w:type="auto"/>
            <w:vAlign w:val="center"/>
            <w:hideMark/>
          </w:tcPr>
          <w:p w14:paraId="64A4C5F6" w14:textId="77777777" w:rsidR="00D93CF2" w:rsidRPr="00D93CF2" w:rsidRDefault="00D93CF2" w:rsidP="00D93CF2">
            <w:pPr>
              <w:spacing w:line="360" w:lineRule="auto"/>
              <w:rPr>
                <w:rFonts w:ascii="Times New Roman" w:hAnsi="Times New Roman" w:cs="Times New Roman"/>
              </w:rPr>
            </w:pPr>
            <w:proofErr w:type="spellStart"/>
            <w:r>
              <w:rPr>
                <w:rFonts w:ascii="Times New Roman" w:hAnsi="Times New Roman" w:cs="Times New Roman"/>
              </w:rPr>
              <w:t>SHapley</w:t>
            </w:r>
            <w:proofErr w:type="spellEnd"/>
            <w:r>
              <w:rPr>
                <w:rFonts w:ascii="Times New Roman" w:hAnsi="Times New Roman" w:cs="Times New Roman"/>
              </w:rPr>
              <w:t xml:space="preserve"> Additive </w:t>
            </w:r>
            <w:proofErr w:type="spellStart"/>
            <w:r>
              <w:rPr>
                <w:rFonts w:ascii="Times New Roman" w:hAnsi="Times New Roman" w:cs="Times New Roman"/>
              </w:rPr>
              <w:t>exPlanations</w:t>
            </w:r>
            <w:proofErr w:type="spellEnd"/>
            <w:r>
              <w:rPr>
                <w:rFonts w:ascii="Times New Roman" w:hAnsi="Times New Roman" w:cs="Times New Roman"/>
              </w:rPr>
              <w:t>: a method that explains individual predictions. Not used in this study.</w:t>
            </w:r>
          </w:p>
        </w:tc>
      </w:tr>
      <w:tr w:rsidR="00D93CF2" w:rsidRPr="00D93CF2" w14:paraId="357E61D1" w14:textId="77777777">
        <w:trPr>
          <w:tblCellSpacing w:w="15" w:type="dxa"/>
        </w:trPr>
        <w:tc>
          <w:tcPr>
            <w:tcW w:w="0" w:type="auto"/>
            <w:vAlign w:val="center"/>
            <w:hideMark/>
          </w:tcPr>
          <w:p w14:paraId="08B84A65"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Thin market</w:t>
            </w:r>
          </w:p>
        </w:tc>
        <w:tc>
          <w:tcPr>
            <w:tcW w:w="0" w:type="auto"/>
            <w:vAlign w:val="center"/>
            <w:hideMark/>
          </w:tcPr>
          <w:p w14:paraId="210AC6EE"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An area or property type with few recent sales, so little comparable evidence exists.</w:t>
            </w:r>
          </w:p>
        </w:tc>
      </w:tr>
      <w:tr w:rsidR="00D93CF2" w:rsidRPr="00D93CF2" w14:paraId="26D3B27F" w14:textId="77777777">
        <w:trPr>
          <w:tblCellSpacing w:w="15" w:type="dxa"/>
        </w:trPr>
        <w:tc>
          <w:tcPr>
            <w:tcW w:w="0" w:type="auto"/>
            <w:vAlign w:val="center"/>
            <w:hideMark/>
          </w:tcPr>
          <w:p w14:paraId="4C7B6219"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Vertical equity</w:t>
            </w:r>
          </w:p>
        </w:tc>
        <w:tc>
          <w:tcPr>
            <w:tcW w:w="0" w:type="auto"/>
            <w:vAlign w:val="center"/>
            <w:hideMark/>
          </w:tcPr>
          <w:p w14:paraId="346F2463" w14:textId="77777777" w:rsidR="00D93CF2" w:rsidRPr="00D93CF2" w:rsidRDefault="00D93CF2" w:rsidP="00D93CF2">
            <w:pPr>
              <w:spacing w:line="360" w:lineRule="auto"/>
              <w:rPr>
                <w:rFonts w:ascii="Times New Roman" w:hAnsi="Times New Roman" w:cs="Times New Roman"/>
              </w:rPr>
            </w:pPr>
            <w:r>
              <w:rPr>
                <w:rFonts w:ascii="Times New Roman" w:hAnsi="Times New Roman" w:cs="Times New Roman"/>
              </w:rPr>
              <w:t>Fairness of valuations across the price range, so that cheap and expensive homes are valued equally accurately.</w:t>
            </w:r>
          </w:p>
        </w:tc>
      </w:tr>
    </w:tbl>
    <w:p w14:paraId="2DD7CEFE" w14:textId="77777777" w:rsidR="001F2A09" w:rsidRPr="00413825" w:rsidRDefault="001F2A09" w:rsidP="008643CA">
      <w:pPr>
        <w:spacing w:line="360" w:lineRule="auto"/>
        <w:rPr>
          <w:rFonts w:ascii="Times New Roman" w:hAnsi="Times New Roman" w:cs="Times New Roman"/>
        </w:rPr>
      </w:pPr>
    </w:p>
    <w:sectPr w:rsidR="001F2A09" w:rsidRPr="004138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825"/>
    <w:rsid w:val="001F2A09"/>
    <w:rsid w:val="002525EB"/>
    <w:rsid w:val="002A1964"/>
    <w:rsid w:val="002B2328"/>
    <w:rsid w:val="002E18B8"/>
    <w:rsid w:val="00413825"/>
    <w:rsid w:val="004914F7"/>
    <w:rsid w:val="007463B6"/>
    <w:rsid w:val="008643CA"/>
    <w:rsid w:val="009D046A"/>
    <w:rsid w:val="00D93CF2"/>
    <w:rsid w:val="00E444A6"/>
    <w:rsid w:val="00EF162C"/>
    <w:rsid w:val="00F46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BF699"/>
  <w15:chartTrackingRefBased/>
  <w15:docId w15:val="{51B39EFE-A6D7-4F31-AEE1-9D40AAEFA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3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3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3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3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3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3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3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3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3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3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3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3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3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3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3825"/>
    <w:rPr>
      <w:rFonts w:eastAsiaTheme="majorEastAsia" w:cstheme="majorBidi"/>
      <w:color w:val="272727" w:themeColor="text1" w:themeTint="D8"/>
    </w:rPr>
  </w:style>
  <w:style w:type="paragraph" w:styleId="Title">
    <w:name w:val="Title"/>
    <w:basedOn w:val="Normal"/>
    <w:next w:val="Normal"/>
    <w:link w:val="TitleChar"/>
    <w:uiPriority w:val="10"/>
    <w:qFormat/>
    <w:rsid w:val="00413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3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3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3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3825"/>
    <w:pPr>
      <w:spacing w:before="160"/>
      <w:jc w:val="center"/>
    </w:pPr>
    <w:rPr>
      <w:i/>
      <w:iCs/>
      <w:color w:val="404040" w:themeColor="text1" w:themeTint="BF"/>
    </w:rPr>
  </w:style>
  <w:style w:type="character" w:customStyle="1" w:styleId="QuoteChar">
    <w:name w:val="Quote Char"/>
    <w:basedOn w:val="DefaultParagraphFont"/>
    <w:link w:val="Quote"/>
    <w:uiPriority w:val="29"/>
    <w:rsid w:val="00413825"/>
    <w:rPr>
      <w:i/>
      <w:iCs/>
      <w:color w:val="404040" w:themeColor="text1" w:themeTint="BF"/>
    </w:rPr>
  </w:style>
  <w:style w:type="paragraph" w:styleId="ListParagraph">
    <w:name w:val="List Paragraph"/>
    <w:basedOn w:val="Normal"/>
    <w:uiPriority w:val="34"/>
    <w:qFormat/>
    <w:rsid w:val="00413825"/>
    <w:pPr>
      <w:ind w:left="720"/>
      <w:contextualSpacing/>
    </w:pPr>
  </w:style>
  <w:style w:type="character" w:styleId="IntenseEmphasis">
    <w:name w:val="Intense Emphasis"/>
    <w:basedOn w:val="DefaultParagraphFont"/>
    <w:uiPriority w:val="21"/>
    <w:qFormat/>
    <w:rsid w:val="00413825"/>
    <w:rPr>
      <w:i/>
      <w:iCs/>
      <w:color w:val="0F4761" w:themeColor="accent1" w:themeShade="BF"/>
    </w:rPr>
  </w:style>
  <w:style w:type="paragraph" w:styleId="IntenseQuote">
    <w:name w:val="Intense Quote"/>
    <w:basedOn w:val="Normal"/>
    <w:next w:val="Normal"/>
    <w:link w:val="IntenseQuoteChar"/>
    <w:uiPriority w:val="30"/>
    <w:qFormat/>
    <w:rsid w:val="0041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3825"/>
    <w:rPr>
      <w:i/>
      <w:iCs/>
      <w:color w:val="0F4761" w:themeColor="accent1" w:themeShade="BF"/>
    </w:rPr>
  </w:style>
  <w:style w:type="character" w:styleId="IntenseReference">
    <w:name w:val="Intense Reference"/>
    <w:basedOn w:val="DefaultParagraphFont"/>
    <w:uiPriority w:val="32"/>
    <w:qFormat/>
    <w:rsid w:val="00413825"/>
    <w:rPr>
      <w:b/>
      <w:bCs/>
      <w:smallCaps/>
      <w:color w:val="0F4761" w:themeColor="accent1" w:themeShade="BF"/>
      <w:spacing w:val="5"/>
    </w:rPr>
  </w:style>
  <w:style w:type="character" w:styleId="Hyperlink">
    <w:name w:val="Hyperlink"/>
    <w:basedOn w:val="DefaultParagraphFont"/>
    <w:uiPriority w:val="99"/>
    <w:unhideWhenUsed/>
    <w:rsid w:val="00EF162C"/>
    <w:rPr>
      <w:color w:val="467886" w:themeColor="hyperlink"/>
      <w:u w:val="single"/>
    </w:rPr>
  </w:style>
  <w:style w:type="character" w:styleId="UnresolvedMention">
    <w:name w:val="Unresolved Mention"/>
    <w:basedOn w:val="DefaultParagraphFont"/>
    <w:uiPriority w:val="99"/>
    <w:semiHidden/>
    <w:unhideWhenUsed/>
    <w:rsid w:val="00EF1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luinsight-ai.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orcid.org/0009-0002-3477-0946" TargetMode="External"/><Relationship Id="rId10" Type="http://schemas.openxmlformats.org/officeDocument/2006/relationships/theme" Target="theme/theme1.xml"/><Relationship Id="rId4" Type="http://schemas.openxmlformats.org/officeDocument/2006/relationships/hyperlink" Target="mailto:victorobasse@gmail.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23</Pages>
  <Words>6914</Words>
  <Characters>39411</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Victor Obasse</dc:creator>
  <cp:keywords/>
  <dc:description/>
  <cp:lastModifiedBy>Dr Victor Obasse</cp:lastModifiedBy>
  <cp:revision>2</cp:revision>
  <dcterms:created xsi:type="dcterms:W3CDTF">2026-10-30T13:14:00Z</dcterms:created>
  <dcterms:modified xsi:type="dcterms:W3CDTF">2026-10-30T13:14:00Z</dcterms:modified>
</cp:coreProperties>
</file>