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600"/>
        <w:jc w:val="center"/>
      </w:pPr>
      <w:r>
        <w:rPr>
          <w:rFonts w:ascii="Arial" w:cs="Arial" w:eastAsia="Arial" w:hAnsi="Arial"/>
          <w:b/>
          <w:bCs/>
          <w:color w:val="0891B2"/>
          <w:sz w:val="64"/>
          <w:szCs w:val="64"/>
        </w:rPr>
        <w:t xml:space="preserve">BrideALL</w:t>
      </w:r>
    </w:p>
    <w:p>
      <w:pPr>
        <w:spacing w:after="100" w:before="0"/>
        <w:jc w:val="center"/>
      </w:pPr>
      <w:r>
        <w:rPr>
          <w:rFonts w:ascii="Arial" w:cs="Arial" w:eastAsia="Arial" w:hAnsi="Arial"/>
          <w:color w:val="666666"/>
          <w:sz w:val="22"/>
          <w:szCs w:val="22"/>
        </w:rPr>
        <w:t xml:space="preserve">www.bride-all.com</w:t>
      </w:r>
    </w:p>
    <w:p>
      <w:pPr>
        <w:spacing w:after="120" w:before="400"/>
        <w:jc w:val="center"/>
      </w:pPr>
      <w:r>
        <w:rPr>
          <w:rFonts w:ascii="Arial" w:cs="Arial" w:eastAsia="Arial" w:hAnsi="Arial"/>
          <w:b/>
          <w:bCs/>
          <w:color w:val="1A1A1A"/>
          <w:sz w:val="38"/>
          <w:szCs w:val="38"/>
        </w:rPr>
        <w:t xml:space="preserve">CONDICIONES GENERALES DE CONTRATACIÓN Y USO</w:t>
      </w:r>
    </w:p>
    <w:p>
      <w:pPr>
        <w:spacing w:after="80" w:before="0"/>
        <w:jc w:val="center"/>
      </w:pPr>
      <w:r>
        <w:rPr>
          <w:rFonts w:ascii="Arial" w:cs="Arial" w:eastAsia="Arial" w:hAnsi="Arial"/>
          <w:i/>
          <w:iCs/>
          <w:color w:val="534AB7"/>
          <w:sz w:val="24"/>
          <w:szCs w:val="24"/>
        </w:rPr>
        <w:t xml:space="preserve">incluyendo el Acuerdo de Encargo de Tratamiento (DPA)</w:t>
      </w:r>
    </w:p>
    <w:p>
      <w:pPr>
        <w:spacing w:after="80" w:before="0"/>
        <w:jc w:val="center"/>
      </w:pPr>
      <w:r>
        <w:rPr>
          <w:rFonts w:ascii="Arial" w:cs="Arial" w:eastAsia="Arial" w:hAnsi="Arial"/>
          <w:color w:val="666666"/>
          <w:sz w:val="20"/>
          <w:szCs w:val="20"/>
        </w:rPr>
        <w:t xml:space="preserve">Conforme al artículo 28 RGPD • LOPDGDD (LO 3/2018) • LSSI (Ley 34/2002)</w:t>
      </w:r>
    </w:p>
    <w:p>
      <w:pPr>
        <w:spacing w:after="80" w:before="200"/>
        <w:jc w:val="center"/>
      </w:pPr>
      <w:r>
        <w:rPr>
          <w:rFonts w:ascii="Arial" w:cs="Arial" w:eastAsia="Arial" w:hAnsi="Arial"/>
          <w:color w:val="888888"/>
          <w:sz w:val="22"/>
          <w:szCs w:val="22"/>
        </w:rPr>
        <w:t xml:space="preserve">España • Francia • Alemania • Benelux</w:t>
      </w:r>
    </w:p>
    <w:p>
      <w:pPr>
        <w:spacing w:after="60" w:before="60"/>
      </w:pPr>
      <w:r>
        <w:t xml:space="preserve"/>
      </w:r>
    </w:p>
    <w:tbl>
      <w:tblPr>
        <w:tblW w:type="dxa" w:w="5200"/>
        <w:jc w:val="center"/>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tblGrid>
      <w:tr>
        <w:tc>
          <w:tcPr>
            <w:tcW w:type="dxa" w:w="2600"/>
            <w:tcBorders>
              <w:top w:val="none" w:color="FFFFFF" w:sz="0"/>
              <w:left w:val="none" w:color="FFFFFF" w:sz="0"/>
              <w:bottom w:val="none" w:color="FFFFFF" w:sz="0"/>
              <w:right w:val="none" w:color="FFFFFF" w:sz="0"/>
            </w:tcBorders>
            <w:tcMar>
              <w:top w:type="dxa" w:w="80"/>
              <w:left w:type="dxa" w:w="120"/>
              <w:bottom w:type="dxa" w:w="80"/>
              <w:right w:type="dxa" w:w="120"/>
            </w:tcMar>
          </w:tcPr>
          <w:p>
            <w:pPr>
              <w:spacing w:after="0" w:before="0"/>
            </w:pPr>
            <w:r>
              <w:rPr>
                <w:rFonts w:ascii="Arial" w:cs="Arial" w:eastAsia="Arial" w:hAnsi="Arial"/>
                <w:b/>
                <w:bCs/>
                <w:color w:val="444444"/>
                <w:sz w:val="19"/>
                <w:szCs w:val="19"/>
              </w:rPr>
              <w:t xml:space="preserve">Versión</w:t>
            </w:r>
          </w:p>
        </w:tc>
        <w:tc>
          <w:tcPr>
            <w:tcW w:type="dxa" w:w="2600"/>
            <w:tcBorders>
              <w:top w:val="none" w:color="FFFFFF" w:sz="0"/>
              <w:left w:val="none" w:color="FFFFFF" w:sz="0"/>
              <w:bottom w:val="none" w:color="FFFFFF" w:sz="0"/>
              <w:right w:val="none" w:color="FFFFFF" w:sz="0"/>
            </w:tcBorders>
            <w:tcMar>
              <w:top w:type="dxa" w:w="80"/>
              <w:left w:type="dxa" w:w="120"/>
              <w:bottom w:type="dxa" w:w="80"/>
              <w:right w:type="dxa" w:w="120"/>
            </w:tcMar>
          </w:tcPr>
          <w:p>
            <w:pPr>
              <w:spacing w:after="0" w:before="0"/>
            </w:pPr>
            <w:r>
              <w:rPr>
                <w:rFonts w:ascii="Arial" w:cs="Arial" w:eastAsia="Arial" w:hAnsi="Arial"/>
                <w:color w:val="1A1A1A"/>
                <w:sz w:val="19"/>
                <w:szCs w:val="19"/>
              </w:rPr>
              <w:t xml:space="preserve">1.0 — Junio 2026</w:t>
            </w:r>
          </w:p>
        </w:tc>
      </w:tr>
      <w:tr>
        <w:tc>
          <w:tcPr>
            <w:tcW w:type="dxa" w:w="2600"/>
            <w:tcBorders>
              <w:top w:val="none" w:color="FFFFFF" w:sz="0"/>
              <w:left w:val="none" w:color="FFFFFF" w:sz="0"/>
              <w:bottom w:val="none" w:color="FFFFFF" w:sz="0"/>
              <w:right w:val="none" w:color="FFFFFF" w:sz="0"/>
            </w:tcBorders>
            <w:tcMar>
              <w:top w:type="dxa" w:w="80"/>
              <w:left w:type="dxa" w:w="120"/>
              <w:bottom w:type="dxa" w:w="80"/>
              <w:right w:type="dxa" w:w="120"/>
            </w:tcMar>
          </w:tcPr>
          <w:p>
            <w:pPr>
              <w:spacing w:after="0" w:before="0"/>
            </w:pPr>
            <w:r>
              <w:rPr>
                <w:rFonts w:ascii="Arial" w:cs="Arial" w:eastAsia="Arial" w:hAnsi="Arial"/>
                <w:b/>
                <w:bCs/>
                <w:color w:val="444444"/>
                <w:sz w:val="19"/>
                <w:szCs w:val="19"/>
              </w:rPr>
              <w:t xml:space="preserve">Editor / Encargado</w:t>
            </w:r>
          </w:p>
        </w:tc>
        <w:tc>
          <w:tcPr>
            <w:tcW w:type="dxa" w:w="2600"/>
            <w:tcBorders>
              <w:top w:val="none" w:color="FFFFFF" w:sz="0"/>
              <w:left w:val="none" w:color="FFFFFF" w:sz="0"/>
              <w:bottom w:val="none" w:color="FFFFFF" w:sz="0"/>
              <w:right w:val="none" w:color="FFFFFF" w:sz="0"/>
            </w:tcBorders>
            <w:tcMar>
              <w:top w:type="dxa" w:w="80"/>
              <w:left w:type="dxa" w:w="120"/>
              <w:bottom w:type="dxa" w:w="80"/>
              <w:right w:type="dxa" w:w="120"/>
            </w:tcMar>
          </w:tcPr>
          <w:p>
            <w:pPr>
              <w:spacing w:after="0" w:before="0"/>
            </w:pPr>
            <w:r>
              <w:rPr>
                <w:rFonts w:ascii="Arial" w:cs="Arial" w:eastAsia="Arial" w:hAnsi="Arial"/>
                <w:color w:val="1A1A1A"/>
                <w:sz w:val="19"/>
                <w:szCs w:val="19"/>
              </w:rPr>
              <w:t xml:space="preserve">BridalB2B SL — CIF ES67417485</w:t>
            </w:r>
          </w:p>
        </w:tc>
      </w:tr>
      <w:tr>
        <w:tc>
          <w:tcPr>
            <w:tcW w:type="dxa" w:w="2600"/>
            <w:tcBorders>
              <w:top w:val="none" w:color="FFFFFF" w:sz="0"/>
              <w:left w:val="none" w:color="FFFFFF" w:sz="0"/>
              <w:bottom w:val="none" w:color="FFFFFF" w:sz="0"/>
              <w:right w:val="none" w:color="FFFFFF" w:sz="0"/>
            </w:tcBorders>
            <w:tcMar>
              <w:top w:type="dxa" w:w="80"/>
              <w:left w:type="dxa" w:w="120"/>
              <w:bottom w:type="dxa" w:w="80"/>
              <w:right w:type="dxa" w:w="120"/>
            </w:tcMar>
          </w:tcPr>
          <w:p>
            <w:pPr>
              <w:spacing w:after="0" w:before="0"/>
            </w:pPr>
            <w:r>
              <w:rPr>
                <w:rFonts w:ascii="Arial" w:cs="Arial" w:eastAsia="Arial" w:hAnsi="Arial"/>
                <w:b/>
                <w:bCs/>
                <w:color w:val="444444"/>
                <w:sz w:val="19"/>
                <w:szCs w:val="19"/>
              </w:rPr>
              <w:t xml:space="preserve">Contacto</w:t>
            </w:r>
          </w:p>
        </w:tc>
        <w:tc>
          <w:tcPr>
            <w:tcW w:type="dxa" w:w="2600"/>
            <w:tcBorders>
              <w:top w:val="none" w:color="FFFFFF" w:sz="0"/>
              <w:left w:val="none" w:color="FFFFFF" w:sz="0"/>
              <w:bottom w:val="none" w:color="FFFFFF" w:sz="0"/>
              <w:right w:val="none" w:color="FFFFFF" w:sz="0"/>
            </w:tcBorders>
            <w:tcMar>
              <w:top w:type="dxa" w:w="80"/>
              <w:left w:type="dxa" w:w="120"/>
              <w:bottom w:type="dxa" w:w="80"/>
              <w:right w:type="dxa" w:w="120"/>
            </w:tcMar>
          </w:tcPr>
          <w:p>
            <w:pPr>
              <w:spacing w:after="0" w:before="0"/>
            </w:pPr>
            <w:r>
              <w:rPr>
                <w:rFonts w:ascii="Arial" w:cs="Arial" w:eastAsia="Arial" w:hAnsi="Arial"/>
                <w:color w:val="0891B2"/>
                <w:sz w:val="19"/>
                <w:szCs w:val="19"/>
              </w:rPr>
              <w:t xml:space="preserve">hello@bride-all.com</w:t>
            </w:r>
          </w:p>
        </w:tc>
      </w:tr>
    </w:tbl>
    <w:p>
      <w:pPr>
        <w:spacing w:after="0" w:before="1000"/>
      </w:pPr>
      <w:r>
        <w:br w:type="page"/>
      </w:r>
    </w:p>
    <w:p>
      <w:pPr>
        <w:spacing w:after="200" w:before="200"/>
        <w:jc w:val="center"/>
      </w:pPr>
      <w:r>
        <w:rPr>
          <w:rFonts w:ascii="Arial" w:cs="Arial" w:eastAsia="Arial" w:hAnsi="Arial"/>
          <w:b/>
          <w:bCs/>
          <w:color w:val="0891B2"/>
          <w:sz w:val="36"/>
          <w:szCs w:val="36"/>
        </w:rPr>
        <w:t xml:space="preserve">PARTE I</w:t>
      </w:r>
    </w:p>
    <w:p>
      <w:pPr>
        <w:spacing w:after="400" w:before="0"/>
        <w:jc w:val="center"/>
      </w:pPr>
      <w:r>
        <w:rPr>
          <w:rFonts w:ascii="Arial" w:cs="Arial" w:eastAsia="Arial" w:hAnsi="Arial"/>
          <w:b/>
          <w:bCs/>
          <w:color w:val="1A1A1A"/>
          <w:sz w:val="28"/>
          <w:szCs w:val="28"/>
        </w:rPr>
        <w:t xml:space="preserve">CONDICIONES GENERALES DE CONTRATACIÓN Y USO</w:t>
      </w:r>
    </w:p>
    <w:p>
      <w:pPr>
        <w:pStyle w:val="Heading1"/>
        <w:shd w:fill="0891B2" w:val="clear"/>
        <w:spacing w:after="200" w:before="400"/>
        <w:ind w:left="200" w:right="200"/>
      </w:pPr>
      <w:r>
        <w:rPr>
          <w:rFonts w:ascii="Arial" w:cs="Arial" w:eastAsia="Arial" w:hAnsi="Arial"/>
          <w:b/>
          <w:bCs/>
          <w:color w:val="FFFFFF"/>
          <w:sz w:val="28"/>
          <w:szCs w:val="28"/>
        </w:rPr>
        <w:t xml:space="preserve">EXPOSICIÓN DE MOTIVOS Y ÁMBITO DE APLICACIÓN</w:t>
      </w:r>
    </w:p>
    <w:p>
      <w:pPr>
        <w:spacing w:after="80" w:before="60"/>
        <w:jc w:val="both"/>
      </w:pPr>
      <w:r>
        <w:rPr>
          <w:rFonts w:ascii="Arial" w:cs="Arial" w:eastAsia="Arial" w:hAnsi="Arial"/>
          <w:color w:val="1A1A1A"/>
          <w:sz w:val="20"/>
          <w:szCs w:val="20"/>
        </w:rPr>
        <w:t xml:space="preserve">Las presentes Condiciones Generales de Contratación y Uso (en adelante «CGCU») regulan las relaciones contractuales entre BrideALL (editor del software) y cualquier persona jurídica o física que suscriba una suscripción al servicio BrideALL (en adelante «el Cliente» o «la Tienda»).</w:t>
      </w:r>
    </w:p>
    <w:p>
      <w:pPr>
        <w:spacing w:after="80" w:before="60"/>
        <w:jc w:val="both"/>
      </w:pPr>
      <w:r>
        <w:rPr>
          <w:rFonts w:ascii="Arial" w:cs="Arial" w:eastAsia="Arial" w:hAnsi="Arial"/>
          <w:color w:val="1A1A1A"/>
          <w:sz w:val="20"/>
          <w:szCs w:val="20"/>
        </w:rPr>
        <w:t xml:space="preserve">BrideALL es un software SaaS (Software as a Service) de gestión de tiendas de vestidos de novia, editado y explotado por la sociedad BridalB2B SL, sociedad de derecho español, inscrita con el número CIF ES67417485, con domicilio social en España.</w:t>
      </w:r>
    </w:p>
    <w:p>
      <w:pPr>
        <w:spacing w:after="80" w:before="60"/>
        <w:jc w:val="both"/>
      </w:pPr>
      <w:r>
        <w:rPr>
          <w:rFonts w:ascii="Arial" w:cs="Arial" w:eastAsia="Arial" w:hAnsi="Arial"/>
          <w:color w:val="1A1A1A"/>
          <w:sz w:val="20"/>
          <w:szCs w:val="20"/>
        </w:rPr>
        <w:t xml:space="preserve">La suscripción a BrideALL implica la aceptación íntegra de las presentes CGCU y del Acuerdo de Encargo de Tratamiento integrado en la Parte II. Al marcar la casilla de aceptación durante la creación de la cuenta, el Cliente declara haber leído, comprendido y aceptado sin reservas la totalidad del presente documento.</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CCCCCC" w:sz="1"/>
              <w:left w:val="single" w:color="0891B2" w:sz="8"/>
              <w:bottom w:val="single" w:color="CCCCCC" w:sz="1"/>
              <w:right w:val="none" w:color="FFFFFF" w:sz="0"/>
            </w:tcBorders>
            <w:shd w:fill="E0F7FA" w:val="clear"/>
            <w:tcMar>
              <w:top w:type="dxa" w:w="120"/>
              <w:left w:type="dxa" w:w="200"/>
              <w:bottom w:type="dxa" w:w="120"/>
              <w:right w:type="dxa" w:w="200"/>
            </w:tcMar>
          </w:tcPr>
          <w:p>
            <w:pPr>
              <w:spacing w:after="0" w:before="0"/>
            </w:pPr>
            <w:r>
              <w:rPr>
                <w:rFonts w:ascii="Arial" w:cs="Arial" w:eastAsia="Arial" w:hAnsi="Arial"/>
                <w:i/>
                <w:iCs/>
                <w:color w:val="00607A"/>
                <w:sz w:val="20"/>
                <w:szCs w:val="20"/>
              </w:rPr>
              <w:t xml:space="preserve">Las presentes CGCU se celebran entre profesionales (B2B) y se rigen por el derecho español. No son de aplicación a los consumidores finales (clientas de las tiendas), que se rigen por las políticas propias de cada tienda.</w:t>
            </w:r>
          </w:p>
        </w:tc>
      </w:tr>
    </w:tbl>
    <w:p>
      <w:pPr>
        <w:spacing w:after="60" w:before="60"/>
      </w:pPr>
      <w:r>
        <w:t xml:space="preserve"/>
      </w:r>
    </w:p>
    <w:p>
      <w:pPr>
        <w:pStyle w:val="Heading1"/>
        <w:shd w:fill="0891B2" w:val="clear"/>
        <w:spacing w:after="200" w:before="400"/>
        <w:ind w:left="200" w:right="200"/>
      </w:pPr>
      <w:r>
        <w:rPr>
          <w:rFonts w:ascii="Arial" w:cs="Arial" w:eastAsia="Arial" w:hAnsi="Arial"/>
          <w:b/>
          <w:bCs/>
          <w:color w:val="FFFFFF"/>
          <w:sz w:val="28"/>
          <w:szCs w:val="28"/>
        </w:rPr>
        <w:t xml:space="preserve">ARTÍCULO 1 — DEFINICIONES</w:t>
      </w:r>
    </w:p>
    <w:p>
      <w:pPr>
        <w:spacing w:after="80" w:before="60"/>
        <w:jc w:val="both"/>
      </w:pPr>
      <w:r>
        <w:rPr>
          <w:rFonts w:ascii="Arial" w:cs="Arial" w:eastAsia="Arial" w:hAnsi="Arial"/>
          <w:color w:val="1A1A1A"/>
          <w:sz w:val="20"/>
          <w:szCs w:val="20"/>
        </w:rPr>
        <w:t xml:space="preserve">A efectos de las presentes CGCU, los términos siguientes tendrán el significado que se les atribuye a continuación:</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6626"/>
      </w:tblGrid>
      <w:tr>
        <w:tc>
          <w:tcPr>
            <w:tcW w:type="dxa" w:w="2800"/>
            <w:tcBorders>
              <w:top w:val="single" w:color="CCCCCC" w:sz="1"/>
              <w:left w:val="single" w:color="CCCCCC" w:sz="1"/>
              <w:bottom w:val="single" w:color="CCCCCC" w:sz="1"/>
              <w:right w:val="single" w:color="CCCCCC" w:sz="1"/>
            </w:tcBorders>
            <w:shd w:fill="0891B2" w:val="clear"/>
            <w:tcMar>
              <w:top w:type="dxa" w:w="80"/>
              <w:left w:type="dxa" w:w="120"/>
              <w:bottom w:type="dxa" w:w="80"/>
              <w:right w:type="dxa" w:w="120"/>
            </w:tcMar>
          </w:tcPr>
          <w:p>
            <w:pPr>
              <w:spacing w:after="0" w:before="0"/>
            </w:pPr>
            <w:r>
              <w:rPr>
                <w:rFonts w:ascii="Arial" w:cs="Arial" w:eastAsia="Arial" w:hAnsi="Arial"/>
                <w:b/>
                <w:bCs/>
                <w:color w:val="FFFFFF"/>
                <w:sz w:val="19"/>
                <w:szCs w:val="19"/>
              </w:rPr>
              <w:t xml:space="preserve">Término</w:t>
            </w:r>
          </w:p>
        </w:tc>
        <w:tc>
          <w:tcPr>
            <w:tcW w:type="dxa" w:w="6226"/>
            <w:tcBorders>
              <w:top w:val="single" w:color="CCCCCC" w:sz="1"/>
              <w:left w:val="single" w:color="CCCCCC" w:sz="1"/>
              <w:bottom w:val="single" w:color="CCCCCC" w:sz="1"/>
              <w:right w:val="single" w:color="CCCCCC" w:sz="1"/>
            </w:tcBorders>
            <w:shd w:fill="0891B2" w:val="clear"/>
            <w:tcMar>
              <w:top w:type="dxa" w:w="80"/>
              <w:left w:type="dxa" w:w="120"/>
              <w:bottom w:type="dxa" w:w="80"/>
              <w:right w:type="dxa" w:w="120"/>
            </w:tcMar>
          </w:tcPr>
          <w:p>
            <w:pPr>
              <w:spacing w:after="0" w:before="0"/>
            </w:pPr>
            <w:r>
              <w:rPr>
                <w:rFonts w:ascii="Arial" w:cs="Arial" w:eastAsia="Arial" w:hAnsi="Arial"/>
                <w:b/>
                <w:bCs/>
                <w:color w:val="FFFFFF"/>
                <w:sz w:val="19"/>
                <w:szCs w:val="19"/>
              </w:rPr>
              <w:t xml:space="preserve">Definición</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«BrideALL»</w:t>
            </w:r>
          </w:p>
        </w:tc>
        <w:tc>
          <w:tcPr>
            <w:tcW w:type="dxa" w:w="6226"/>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La plataforma de software SaaS de gestión de tiendas nupciales, editada por BridalB2B SL.</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«BridalB2B SL»</w:t>
            </w:r>
          </w:p>
        </w:tc>
        <w:tc>
          <w:tcPr>
            <w:tcW w:type="dxa" w:w="6226"/>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La sociedad editora de BrideALL, sociedad de derecho español, CIF ES67417485, asimismo encargada del tratamiento en el sentido del RGPD.</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«Cliente» / «Tienda»</w:t>
            </w:r>
          </w:p>
        </w:tc>
        <w:tc>
          <w:tcPr>
            <w:tcW w:type="dxa" w:w="6226"/>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Toda persona jurídica o física (comerciante, profesional) que haya suscrito una suscripción BrideALL, responsable del tratamiento en el sentido del RGPD.</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«Servicio»</w:t>
            </w:r>
          </w:p>
        </w:tc>
        <w:tc>
          <w:tcPr>
            <w:tcW w:type="dxa" w:w="6226"/>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El conjunto de funcionalidades y prestaciones proporcionadas por BrideALL en el marco de la suscripción contratada.</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«Suscripción»</w:t>
            </w:r>
          </w:p>
        </w:tc>
        <w:tc>
          <w:tcPr>
            <w:tcW w:type="dxa" w:w="6226"/>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El contrato de acceso al Servicio por un período determinado (mensual o anual), a cambio del pago del precio definido en el Artículo 5.</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«Usuario»</w:t>
            </w:r>
          </w:p>
        </w:tc>
        <w:tc>
          <w:tcPr>
            <w:tcW w:type="dxa" w:w="6226"/>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Toda persona física autorizada por el Cliente para acceder al Servicio en el marco de su suscripción.</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«Datos»</w:t>
            </w:r>
          </w:p>
        </w:tc>
        <w:tc>
          <w:tcPr>
            <w:tcW w:type="dxa" w:w="6226"/>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El conjunto de informaciones introducidas o generadas por el Cliente y sus Usuarios en el uso del Servicio.</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«DPA»</w:t>
            </w:r>
          </w:p>
        </w:tc>
        <w:tc>
          <w:tcPr>
            <w:tcW w:type="dxa" w:w="6226"/>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El Acuerdo de Encargo de Tratamiento integrado en la Parte II, conforme al artículo 28 del RGPD y la LOPDGDD.</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«Cuenta»</w:t>
            </w:r>
          </w:p>
        </w:tc>
        <w:tc>
          <w:tcPr>
            <w:tcW w:type="dxa" w:w="6226"/>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El espacio personal seguro creado para el Cliente en la plataforma BrideALL, accesible mediante credenciales.</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«RGPD»</w:t>
            </w:r>
          </w:p>
        </w:tc>
        <w:tc>
          <w:tcPr>
            <w:tcW w:type="dxa" w:w="6226"/>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Reglamento (UE) 2016/679 del Parlamento Europeo y del Consejo de 27 de abril de 2016.</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«LOPDGDD»</w:t>
            </w:r>
          </w:p>
        </w:tc>
        <w:tc>
          <w:tcPr>
            <w:tcW w:type="dxa" w:w="6226"/>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Ley Orgánica 3/2018, de 5 de diciembre, de Protección de Datos Personales y garantía de los derechos digitales.</w:t>
            </w:r>
          </w:p>
        </w:tc>
      </w:tr>
    </w:tbl>
    <w:p>
      <w:pPr>
        <w:spacing w:after="60" w:before="60"/>
      </w:pPr>
      <w:r>
        <w:t xml:space="preserve"/>
      </w:r>
    </w:p>
    <w:p>
      <w:pPr>
        <w:pStyle w:val="Heading1"/>
        <w:shd w:fill="0891B2" w:val="clear"/>
        <w:spacing w:after="200" w:before="400"/>
        <w:ind w:left="200" w:right="200"/>
      </w:pPr>
      <w:r>
        <w:rPr>
          <w:rFonts w:ascii="Arial" w:cs="Arial" w:eastAsia="Arial" w:hAnsi="Arial"/>
          <w:b/>
          <w:bCs/>
          <w:color w:val="FFFFFF"/>
          <w:sz w:val="28"/>
          <w:szCs w:val="28"/>
        </w:rPr>
        <w:t xml:space="preserve">ARTÍCULO 2 — OBJETO Y ÁMBITO</w:t>
      </w:r>
    </w:p>
    <w:p>
      <w:pPr>
        <w:spacing w:after="80" w:before="60"/>
        <w:jc w:val="both"/>
      </w:pPr>
      <w:r>
        <w:rPr>
          <w:rFonts w:ascii="Arial" w:cs="Arial" w:eastAsia="Arial" w:hAnsi="Arial"/>
          <w:color w:val="1A1A1A"/>
          <w:sz w:val="20"/>
          <w:szCs w:val="20"/>
        </w:rPr>
        <w:t xml:space="preserve">Las presentes CGCU tienen por objeto definir:</w:t>
      </w:r>
    </w:p>
    <w:p>
      <w:pPr>
        <w:pStyle w:val="ListParagraph"/>
        <w:numPr>
          <w:ilvl w:val="0"/>
          <w:numId w:val="2"/>
        </w:numPr>
        <w:spacing w:after="40" w:before="40"/>
      </w:pPr>
      <w:r>
        <w:rPr>
          <w:rFonts w:ascii="Arial" w:cs="Arial" w:eastAsia="Arial" w:hAnsi="Arial"/>
          <w:color w:val="1A1A1A"/>
          <w:sz w:val="20"/>
          <w:szCs w:val="20"/>
        </w:rPr>
        <w:t xml:space="preserve">las condiciones de acceso y uso del Servicio BrideALL;</w:t>
      </w:r>
    </w:p>
    <w:p>
      <w:pPr>
        <w:pStyle w:val="ListParagraph"/>
        <w:numPr>
          <w:ilvl w:val="0"/>
          <w:numId w:val="2"/>
        </w:numPr>
        <w:spacing w:after="40" w:before="40"/>
      </w:pPr>
      <w:r>
        <w:rPr>
          <w:rFonts w:ascii="Arial" w:cs="Arial" w:eastAsia="Arial" w:hAnsi="Arial"/>
          <w:color w:val="1A1A1A"/>
          <w:sz w:val="20"/>
          <w:szCs w:val="20"/>
        </w:rPr>
        <w:t xml:space="preserve">las condiciones de venta de las suscripciones al Servicio;</w:t>
      </w:r>
    </w:p>
    <w:p>
      <w:pPr>
        <w:pStyle w:val="ListParagraph"/>
        <w:numPr>
          <w:ilvl w:val="0"/>
          <w:numId w:val="2"/>
        </w:numPr>
        <w:spacing w:after="40" w:before="40"/>
      </w:pPr>
      <w:r>
        <w:rPr>
          <w:rFonts w:ascii="Arial" w:cs="Arial" w:eastAsia="Arial" w:hAnsi="Arial"/>
          <w:color w:val="1A1A1A"/>
          <w:sz w:val="20"/>
          <w:szCs w:val="20"/>
        </w:rPr>
        <w:t xml:space="preserve">los derechos y obligaciones de BridalB2B SL y del Cliente;</w:t>
      </w:r>
    </w:p>
    <w:p>
      <w:pPr>
        <w:pStyle w:val="ListParagraph"/>
        <w:numPr>
          <w:ilvl w:val="0"/>
          <w:numId w:val="2"/>
        </w:numPr>
        <w:spacing w:after="40" w:before="40"/>
      </w:pPr>
      <w:r>
        <w:rPr>
          <w:rFonts w:ascii="Arial" w:cs="Arial" w:eastAsia="Arial" w:hAnsi="Arial"/>
          <w:color w:val="1A1A1A"/>
          <w:sz w:val="20"/>
          <w:szCs w:val="20"/>
        </w:rPr>
        <w:t xml:space="preserve">las condiciones de facturación, pago y resolución;</w:t>
      </w:r>
    </w:p>
    <w:p>
      <w:pPr>
        <w:pStyle w:val="ListParagraph"/>
        <w:numPr>
          <w:ilvl w:val="0"/>
          <w:numId w:val="2"/>
        </w:numPr>
        <w:spacing w:after="40" w:before="40"/>
      </w:pPr>
      <w:r>
        <w:rPr>
          <w:rFonts w:ascii="Arial" w:cs="Arial" w:eastAsia="Arial" w:hAnsi="Arial"/>
          <w:color w:val="1A1A1A"/>
          <w:sz w:val="20"/>
          <w:szCs w:val="20"/>
        </w:rPr>
        <w:t xml:space="preserve">las condiciones del tratamiento de datos personales (DPA — Parte II).</w:t>
      </w:r>
    </w:p>
    <w:p>
      <w:pPr>
        <w:spacing w:after="60" w:before="60"/>
      </w:pPr>
      <w:r>
        <w:t xml:space="preserve"/>
      </w:r>
    </w:p>
    <w:p>
      <w:pPr>
        <w:spacing w:after="80" w:before="60"/>
        <w:jc w:val="both"/>
      </w:pPr>
      <w:r>
        <w:rPr>
          <w:rFonts w:ascii="Arial" w:cs="Arial" w:eastAsia="Arial" w:hAnsi="Arial"/>
          <w:color w:val="1A1A1A"/>
          <w:sz w:val="20"/>
          <w:szCs w:val="20"/>
        </w:rPr>
        <w:t xml:space="preserve">Se aplicarán con carácter exclusivo y prevalecérán sobre cualquier otro documento del Cliente. BridalB2B SL se reserva el derecho a modificarlas en cualquier momento, notificando al Cliente con al menos 30 días de antelación. El uso continuado del Servicio implica la aceptación de las nuevas condiciones.</w:t>
      </w:r>
    </w:p>
    <w:p>
      <w:pPr>
        <w:spacing w:after="60" w:before="60"/>
      </w:pPr>
      <w:r>
        <w:t xml:space="preserve"/>
      </w:r>
    </w:p>
    <w:p>
      <w:pPr>
        <w:pStyle w:val="Heading1"/>
        <w:shd w:fill="0891B2" w:val="clear"/>
        <w:spacing w:after="200" w:before="400"/>
        <w:ind w:left="200" w:right="200"/>
      </w:pPr>
      <w:r>
        <w:rPr>
          <w:rFonts w:ascii="Arial" w:cs="Arial" w:eastAsia="Arial" w:hAnsi="Arial"/>
          <w:b/>
          <w:bCs/>
          <w:color w:val="FFFFFF"/>
          <w:sz w:val="28"/>
          <w:szCs w:val="28"/>
        </w:rPr>
        <w:t xml:space="preserve">ARTÍCULO 3 — DESCRIPCIÓN DEL SERVICIO</w:t>
      </w:r>
    </w:p>
    <w:p>
      <w:pPr>
        <w:spacing w:after="80" w:before="60"/>
        <w:jc w:val="both"/>
      </w:pPr>
      <w:r>
        <w:rPr>
          <w:rFonts w:ascii="Arial" w:cs="Arial" w:eastAsia="Arial" w:hAnsi="Arial"/>
          <w:color w:val="1A1A1A"/>
          <w:sz w:val="20"/>
          <w:szCs w:val="20"/>
        </w:rPr>
        <w:t xml:space="preserve">BrideALL es un software de gestión en modo SaaS destinado a tiendas de vestidos de novia y moda nupcial, accesible mediante navegador web y aplicación móvil.</w:t>
      </w:r>
    </w:p>
    <w:p>
      <w:pPr>
        <w:spacing w:after="60" w:before="60"/>
      </w:pPr>
      <w:r>
        <w:t xml:space="preserve"/>
      </w:r>
    </w:p>
    <w:p>
      <w:pPr>
        <w:pStyle w:val="Heading2"/>
        <w:pBdr>
          <w:bottom w:val="single" w:color="0891B2" w:sz="4" w:space="1"/>
        </w:pBdr>
        <w:spacing w:after="120" w:before="300"/>
      </w:pPr>
      <w:r>
        <w:rPr>
          <w:rFonts w:ascii="Arial" w:cs="Arial" w:eastAsia="Arial" w:hAnsi="Arial"/>
          <w:b/>
          <w:bCs/>
          <w:color w:val="0891B2"/>
          <w:sz w:val="24"/>
          <w:szCs w:val="24"/>
        </w:rPr>
        <w:t xml:space="preserve">3.1 Funcionalidades incluidas en todas las suscripciones</w:t>
      </w:r>
    </w:p>
    <w:p>
      <w:pPr>
        <w:pStyle w:val="ListParagraph"/>
        <w:numPr>
          <w:ilvl w:val="0"/>
          <w:numId w:val="2"/>
        </w:numPr>
        <w:spacing w:after="40" w:before="40"/>
      </w:pPr>
      <w:r>
        <w:rPr>
          <w:rFonts w:ascii="Arial" w:cs="Arial" w:eastAsia="Arial" w:hAnsi="Arial"/>
          <w:color w:val="1A1A1A"/>
          <w:sz w:val="20"/>
          <w:szCs w:val="20"/>
        </w:rPr>
        <w:t xml:space="preserve">Agenda y citas: gestión de agenda, formularios de cita en línea personalizables, confirmación y recordatorio por email, SMS y WhatsApp, interfaz móvil optimizada.</w:t>
      </w:r>
    </w:p>
    <w:p>
      <w:pPr>
        <w:pStyle w:val="ListParagraph"/>
        <w:numPr>
          <w:ilvl w:val="0"/>
          <w:numId w:val="2"/>
        </w:numPr>
        <w:spacing w:after="40" w:before="40"/>
      </w:pPr>
      <w:r>
        <w:rPr>
          <w:rFonts w:ascii="Arial" w:cs="Arial" w:eastAsia="Arial" w:hAnsi="Arial"/>
          <w:color w:val="1A1A1A"/>
          <w:sz w:val="20"/>
          <w:szCs w:val="20"/>
        </w:rPr>
        <w:t xml:space="preserve">Gestión Comercial y TPV: gestión de stock, punto de venta, señales, saldos, facturas de señal automáticas, seguimiento de pedidos a proveedores.</w:t>
      </w:r>
    </w:p>
    <w:p>
      <w:pPr>
        <w:pStyle w:val="ListParagraph"/>
        <w:numPr>
          <w:ilvl w:val="0"/>
          <w:numId w:val="2"/>
        </w:numPr>
        <w:spacing w:after="40" w:before="40"/>
      </w:pPr>
      <w:r>
        <w:rPr>
          <w:rFonts w:ascii="Arial" w:cs="Arial" w:eastAsia="Arial" w:hAnsi="Arial"/>
          <w:color w:val="1A1A1A"/>
          <w:sz w:val="20"/>
          <w:szCs w:val="20"/>
        </w:rPr>
        <w:t xml:space="preserve">Cumplimiento y Seguimiento de actividad: facturación electrónica (Verifactu / SII), informes y estadísticas (facturación, tasa de conversión, best-sellers).</w:t>
      </w:r>
    </w:p>
    <w:p>
      <w:pPr>
        <w:spacing w:after="60" w:before="60"/>
      </w:pPr>
      <w:r>
        <w:t xml:space="preserve"/>
      </w:r>
    </w:p>
    <w:p>
      <w:pPr>
        <w:pStyle w:val="Heading2"/>
        <w:pBdr>
          <w:bottom w:val="single" w:color="0891B2" w:sz="4" w:space="1"/>
        </w:pBdr>
        <w:spacing w:after="120" w:before="300"/>
      </w:pPr>
      <w:r>
        <w:rPr>
          <w:rFonts w:ascii="Arial" w:cs="Arial" w:eastAsia="Arial" w:hAnsi="Arial"/>
          <w:b/>
          <w:bCs/>
          <w:color w:val="0891B2"/>
          <w:sz w:val="24"/>
          <w:szCs w:val="24"/>
        </w:rPr>
        <w:t xml:space="preserve">3.2 Funcionalidades exclusivas de la suscripción Multi Tienda</w:t>
      </w:r>
    </w:p>
    <w:p>
      <w:pPr>
        <w:pStyle w:val="ListParagraph"/>
        <w:numPr>
          <w:ilvl w:val="0"/>
          <w:numId w:val="2"/>
        </w:numPr>
        <w:spacing w:after="40" w:before="40"/>
      </w:pPr>
      <w:r>
        <w:rPr>
          <w:rFonts w:ascii="Arial" w:cs="Arial" w:eastAsia="Arial" w:hAnsi="Arial"/>
          <w:color w:val="1A1A1A"/>
          <w:sz w:val="20"/>
          <w:szCs w:val="20"/>
        </w:rPr>
        <w:t xml:space="preserve">Creación simplificada de artículos en todas las tiendas de la red;</w:t>
      </w:r>
    </w:p>
    <w:p>
      <w:pPr>
        <w:pStyle w:val="ListParagraph"/>
        <w:numPr>
          <w:ilvl w:val="0"/>
          <w:numId w:val="2"/>
        </w:numPr>
        <w:spacing w:after="40" w:before="40"/>
      </w:pPr>
      <w:r>
        <w:rPr>
          <w:rFonts w:ascii="Arial" w:cs="Arial" w:eastAsia="Arial" w:hAnsi="Arial"/>
          <w:color w:val="1A1A1A"/>
          <w:sz w:val="20"/>
          <w:szCs w:val="20"/>
        </w:rPr>
        <w:t xml:space="preserve">Acceso multi-tienda para los usuarios;</w:t>
      </w:r>
    </w:p>
    <w:p>
      <w:pPr>
        <w:pStyle w:val="ListParagraph"/>
        <w:numPr>
          <w:ilvl w:val="0"/>
          <w:numId w:val="2"/>
        </w:numPr>
        <w:spacing w:after="40" w:before="40"/>
      </w:pPr>
      <w:r>
        <w:rPr>
          <w:rFonts w:ascii="Arial" w:cs="Arial" w:eastAsia="Arial" w:hAnsi="Arial"/>
          <w:color w:val="1A1A1A"/>
          <w:sz w:val="20"/>
          <w:szCs w:val="20"/>
        </w:rPr>
        <w:t xml:space="preserve">Seguimiento consolidado de actividad (vista global en tiempo real);</w:t>
      </w:r>
    </w:p>
    <w:p>
      <w:pPr>
        <w:pStyle w:val="ListParagraph"/>
        <w:numPr>
          <w:ilvl w:val="0"/>
          <w:numId w:val="2"/>
        </w:numPr>
        <w:spacing w:after="40" w:before="40"/>
      </w:pPr>
      <w:r>
        <w:rPr>
          <w:rFonts w:ascii="Arial" w:cs="Arial" w:eastAsia="Arial" w:hAnsi="Arial"/>
          <w:color w:val="1A1A1A"/>
          <w:sz w:val="20"/>
          <w:szCs w:val="20"/>
        </w:rPr>
        <w:t xml:space="preserve">Transferencias de vestidos entre tiendas con trazabilidad;</w:t>
      </w:r>
    </w:p>
    <w:p>
      <w:pPr>
        <w:pStyle w:val="ListParagraph"/>
        <w:numPr>
          <w:ilvl w:val="0"/>
          <w:numId w:val="2"/>
        </w:numPr>
        <w:spacing w:after="40" w:before="40"/>
      </w:pPr>
      <w:r>
        <w:rPr>
          <w:rFonts w:ascii="Arial" w:cs="Arial" w:eastAsia="Arial" w:hAnsi="Arial"/>
          <w:color w:val="1A1A1A"/>
          <w:sz w:val="20"/>
          <w:szCs w:val="20"/>
        </w:rPr>
        <w:t xml:space="preserve">Desarrollo informático personalizable (API abierta).</w:t>
      </w:r>
    </w:p>
    <w:p>
      <w:pPr>
        <w:spacing w:after="60" w:before="60"/>
      </w:pPr>
      <w:r>
        <w:t xml:space="preserve"/>
      </w:r>
    </w:p>
    <w:p>
      <w:pPr>
        <w:pStyle w:val="Heading2"/>
        <w:pBdr>
          <w:bottom w:val="single" w:color="0891B2" w:sz="4" w:space="1"/>
        </w:pBdr>
        <w:spacing w:after="120" w:before="300"/>
      </w:pPr>
      <w:r>
        <w:rPr>
          <w:rFonts w:ascii="Arial" w:cs="Arial" w:eastAsia="Arial" w:hAnsi="Arial"/>
          <w:b/>
          <w:bCs/>
          <w:color w:val="0891B2"/>
          <w:sz w:val="24"/>
          <w:szCs w:val="24"/>
        </w:rPr>
        <w:t xml:space="preserve">3.3 Disponibilidad del Servicio</w:t>
      </w:r>
    </w:p>
    <w:p>
      <w:pPr>
        <w:spacing w:after="80" w:before="60"/>
        <w:jc w:val="both"/>
      </w:pPr>
      <w:r>
        <w:rPr>
          <w:rFonts w:ascii="Arial" w:cs="Arial" w:eastAsia="Arial" w:hAnsi="Arial"/>
          <w:color w:val="1A1A1A"/>
          <w:sz w:val="20"/>
          <w:szCs w:val="20"/>
        </w:rPr>
        <w:t xml:space="preserve">BridalB2B SL se compromete a garantizar la disponibilidad del Servicio con un objetivo del 99 % por mes natural, salvo mantenimientos programados y casos de fuerza mayor. Los mantenimientos programados se notificarán con un preaviso mínimo de 48 horas.</w:t>
      </w:r>
    </w:p>
    <w:p>
      <w:pPr>
        <w:spacing w:after="60" w:before="60"/>
      </w:pPr>
      <w:r>
        <w:t xml:space="preserve"/>
      </w:r>
    </w:p>
    <w:p>
      <w:pPr>
        <w:pStyle w:val="Heading1"/>
        <w:shd w:fill="0891B2" w:val="clear"/>
        <w:spacing w:after="200" w:before="400"/>
        <w:ind w:left="200" w:right="200"/>
      </w:pPr>
      <w:r>
        <w:rPr>
          <w:rFonts w:ascii="Arial" w:cs="Arial" w:eastAsia="Arial" w:hAnsi="Arial"/>
          <w:b/>
          <w:bCs/>
          <w:color w:val="FFFFFF"/>
          <w:sz w:val="28"/>
          <w:szCs w:val="28"/>
        </w:rPr>
        <w:t xml:space="preserve">ARTÍCULO 4 — ACCESO AL SERVICIO Y CREACIÓN DE CUENTA</w:t>
      </w:r>
    </w:p>
    <w:p>
      <w:pPr>
        <w:pStyle w:val="Heading2"/>
        <w:pBdr>
          <w:bottom w:val="single" w:color="0891B2" w:sz="4" w:space="1"/>
        </w:pBdr>
        <w:spacing w:after="120" w:before="300"/>
      </w:pPr>
      <w:r>
        <w:rPr>
          <w:rFonts w:ascii="Arial" w:cs="Arial" w:eastAsia="Arial" w:hAnsi="Arial"/>
          <w:b/>
          <w:bCs/>
          <w:color w:val="0891B2"/>
          <w:sz w:val="24"/>
          <w:szCs w:val="24"/>
        </w:rPr>
        <w:t xml:space="preserve">4.1 Condiciones de acceso</w:t>
      </w:r>
    </w:p>
    <w:p>
      <w:pPr>
        <w:spacing w:after="80" w:before="60"/>
        <w:jc w:val="both"/>
      </w:pPr>
      <w:r>
        <w:rPr>
          <w:rFonts w:ascii="Arial" w:cs="Arial" w:eastAsia="Arial" w:hAnsi="Arial"/>
          <w:color w:val="1A1A1A"/>
          <w:sz w:val="20"/>
          <w:szCs w:val="20"/>
        </w:rPr>
        <w:t xml:space="preserve">El acceso al Servicio está reservado a profesionales. El Cliente declara tener la capacidad jurídica necesaria para celebrar el presente contrato conforme al Código de Comercio español.</w:t>
      </w:r>
    </w:p>
    <w:p>
      <w:pPr>
        <w:pStyle w:val="Heading2"/>
        <w:pBdr>
          <w:bottom w:val="single" w:color="0891B2" w:sz="4" w:space="1"/>
        </w:pBdr>
        <w:spacing w:after="120" w:before="300"/>
      </w:pPr>
      <w:r>
        <w:rPr>
          <w:rFonts w:ascii="Arial" w:cs="Arial" w:eastAsia="Arial" w:hAnsi="Arial"/>
          <w:b/>
          <w:bCs/>
          <w:color w:val="0891B2"/>
          <w:sz w:val="24"/>
          <w:szCs w:val="24"/>
        </w:rPr>
        <w:t xml:space="preserve">4.2 Creación de Cuenta</w:t>
      </w:r>
    </w:p>
    <w:p>
      <w:pPr>
        <w:spacing w:after="80" w:before="60"/>
        <w:jc w:val="both"/>
      </w:pPr>
      <w:r>
        <w:rPr>
          <w:rFonts w:ascii="Arial" w:cs="Arial" w:eastAsia="Arial" w:hAnsi="Arial"/>
          <w:color w:val="1A1A1A"/>
          <w:sz w:val="20"/>
          <w:szCs w:val="20"/>
        </w:rPr>
        <w:t xml:space="preserve">El Cliente facilitará información exacta, completa y actualizada al crear su Cuenta, comprometiendo a mantenerla al día durante toda la suscripción.</w:t>
      </w:r>
    </w:p>
    <w:p>
      <w:pPr>
        <w:pStyle w:val="Heading2"/>
        <w:pBdr>
          <w:bottom w:val="single" w:color="0891B2" w:sz="4" w:space="1"/>
        </w:pBdr>
        <w:spacing w:after="120" w:before="300"/>
      </w:pPr>
      <w:r>
        <w:rPr>
          <w:rFonts w:ascii="Arial" w:cs="Arial" w:eastAsia="Arial" w:hAnsi="Arial"/>
          <w:b/>
          <w:bCs/>
          <w:color w:val="0891B2"/>
          <w:sz w:val="24"/>
          <w:szCs w:val="24"/>
        </w:rPr>
        <w:t xml:space="preserve">4.3 Credenciales y seguridad</w:t>
      </w:r>
    </w:p>
    <w:p>
      <w:pPr>
        <w:spacing w:after="80" w:before="60"/>
        <w:jc w:val="both"/>
      </w:pPr>
      <w:r>
        <w:rPr>
          <w:rFonts w:ascii="Arial" w:cs="Arial" w:eastAsia="Arial" w:hAnsi="Arial"/>
          <w:color w:val="1A1A1A"/>
          <w:sz w:val="20"/>
          <w:szCs w:val="20"/>
        </w:rPr>
        <w:t xml:space="preserve">El Cliente es el único responsable de la confidencialidad de sus credenciales. Cualquier uso del Servicio desde su Cuenta le es imputable. En caso de compromiso, deberá notificarlo inmediatamente a BrideALL en hello@bride-all.com.</w:t>
      </w:r>
    </w:p>
    <w:p>
      <w:pPr>
        <w:pStyle w:val="Heading2"/>
        <w:pBdr>
          <w:bottom w:val="single" w:color="0891B2" w:sz="4" w:space="1"/>
        </w:pBdr>
        <w:spacing w:after="120" w:before="300"/>
      </w:pPr>
      <w:r>
        <w:rPr>
          <w:rFonts w:ascii="Arial" w:cs="Arial" w:eastAsia="Arial" w:hAnsi="Arial"/>
          <w:b/>
          <w:bCs/>
          <w:color w:val="0891B2"/>
          <w:sz w:val="24"/>
          <w:szCs w:val="24"/>
        </w:rPr>
        <w:t xml:space="preserve">4.4 Período de prueba gratuito</w:t>
      </w:r>
    </w:p>
    <w:p>
      <w:pPr>
        <w:spacing w:after="80" w:before="60"/>
        <w:jc w:val="both"/>
      </w:pPr>
      <w:r>
        <w:rPr>
          <w:rFonts w:ascii="Arial" w:cs="Arial" w:eastAsia="Arial" w:hAnsi="Arial"/>
          <w:color w:val="1A1A1A"/>
          <w:sz w:val="20"/>
          <w:szCs w:val="20"/>
        </w:rPr>
        <w:t xml:space="preserve">BrideALL ofrece un período de prueba gratuito cuya duración se especifica en el momento de la suscripción, sin necesidad de tarjeta bancaria. Al término del período de prueba, el Servicio se suspende automáticamente salvo contratación de una suscripción de pago.</w:t>
      </w:r>
    </w:p>
    <w:p>
      <w:pPr>
        <w:spacing w:after="60" w:before="60"/>
      </w:pPr>
      <w:r>
        <w:t xml:space="preserve"/>
      </w:r>
    </w:p>
    <w:p>
      <w:pPr>
        <w:pStyle w:val="Heading1"/>
        <w:shd w:fill="0891B2" w:val="clear"/>
        <w:spacing w:after="200" w:before="400"/>
        <w:ind w:left="200" w:right="200"/>
      </w:pPr>
      <w:r>
        <w:rPr>
          <w:rFonts w:ascii="Arial" w:cs="Arial" w:eastAsia="Arial" w:hAnsi="Arial"/>
          <w:b/>
          <w:bCs/>
          <w:color w:val="FFFFFF"/>
          <w:sz w:val="28"/>
          <w:szCs w:val="28"/>
        </w:rPr>
        <w:t xml:space="preserve">ARTÍCULO 5 — PRECIOS Y SUSCRIPCIONES</w:t>
      </w:r>
    </w:p>
    <w:p>
      <w:pPr>
        <w:pStyle w:val="Heading2"/>
        <w:pBdr>
          <w:bottom w:val="single" w:color="0891B2" w:sz="4" w:space="1"/>
        </w:pBdr>
        <w:spacing w:after="120" w:before="300"/>
      </w:pPr>
      <w:r>
        <w:rPr>
          <w:rFonts w:ascii="Arial" w:cs="Arial" w:eastAsia="Arial" w:hAnsi="Arial"/>
          <w:b/>
          <w:bCs/>
          <w:color w:val="0891B2"/>
          <w:sz w:val="24"/>
          <w:szCs w:val="24"/>
        </w:rPr>
        <w:t xml:space="preserve">5.1 Modalidades disponibles</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3213"/>
        <w:gridCol w:w="3213"/>
      </w:tblGrid>
      <w:tr>
        <w:tc>
          <w:tcPr>
            <w:tcW w:type="dxa" w:w="2600"/>
            <w:tcBorders>
              <w:top w:val="single" w:color="CCCCCC" w:sz="1"/>
              <w:left w:val="single" w:color="CCCCCC" w:sz="1"/>
              <w:bottom w:val="single" w:color="CCCCCC" w:sz="1"/>
              <w:right w:val="single" w:color="CCCCCC" w:sz="1"/>
            </w:tcBorders>
            <w:shd w:fill="0891B2" w:val="clear"/>
            <w:tcMar>
              <w:top w:type="dxa" w:w="80"/>
              <w:left w:type="dxa" w:w="120"/>
              <w:bottom w:type="dxa" w:w="80"/>
              <w:right w:type="dxa" w:w="120"/>
            </w:tcMar>
          </w:tcPr>
          <w:p>
            <w:pPr>
              <w:spacing w:after="0" w:before="0"/>
            </w:pPr>
            <w:r>
              <w:rPr>
                <w:rFonts w:ascii="Arial" w:cs="Arial" w:eastAsia="Arial" w:hAnsi="Arial"/>
                <w:b/>
                <w:bCs/>
                <w:color w:val="FFFFFF"/>
                <w:sz w:val="19"/>
                <w:szCs w:val="19"/>
              </w:rPr>
              <w:t xml:space="preserve">Característica</w:t>
            </w:r>
          </w:p>
        </w:tc>
        <w:tc>
          <w:tcPr>
            <w:tcW w:type="dxa" w:w="3213"/>
            <w:tcBorders>
              <w:top w:val="single" w:color="CCCCCC" w:sz="1"/>
              <w:left w:val="single" w:color="CCCCCC" w:sz="1"/>
              <w:bottom w:val="single" w:color="CCCCCC" w:sz="1"/>
              <w:right w:val="single" w:color="CCCCCC" w:sz="1"/>
            </w:tcBorders>
            <w:shd w:fill="0891B2" w:val="clear"/>
            <w:tcMar>
              <w:top w:type="dxa" w:w="80"/>
              <w:left w:type="dxa" w:w="120"/>
              <w:bottom w:type="dxa" w:w="80"/>
              <w:right w:type="dxa" w:w="120"/>
            </w:tcMar>
          </w:tcPr>
          <w:p>
            <w:pPr>
              <w:spacing w:after="0" w:before="0"/>
            </w:pPr>
            <w:r>
              <w:rPr>
                <w:rFonts w:ascii="Arial" w:cs="Arial" w:eastAsia="Arial" w:hAnsi="Arial"/>
                <w:b/>
                <w:bCs/>
                <w:color w:val="FFFFFF"/>
                <w:sz w:val="19"/>
                <w:szCs w:val="19"/>
              </w:rPr>
              <w:t xml:space="preserve">Estándar</w:t>
            </w:r>
          </w:p>
        </w:tc>
        <w:tc>
          <w:tcPr>
            <w:tcW w:type="dxa" w:w="3213"/>
            <w:tcBorders>
              <w:top w:val="single" w:color="CCCCCC" w:sz="1"/>
              <w:left w:val="single" w:color="CCCCCC" w:sz="1"/>
              <w:bottom w:val="single" w:color="CCCCCC" w:sz="1"/>
              <w:right w:val="single" w:color="CCCCCC" w:sz="1"/>
            </w:tcBorders>
            <w:shd w:fill="0891B2" w:val="clear"/>
            <w:tcMar>
              <w:top w:type="dxa" w:w="80"/>
              <w:left w:type="dxa" w:w="120"/>
              <w:bottom w:type="dxa" w:w="80"/>
              <w:right w:type="dxa" w:w="120"/>
            </w:tcMar>
          </w:tcPr>
          <w:p>
            <w:pPr>
              <w:spacing w:after="0" w:before="0"/>
            </w:pPr>
            <w:r>
              <w:rPr>
                <w:rFonts w:ascii="Arial" w:cs="Arial" w:eastAsia="Arial" w:hAnsi="Arial"/>
                <w:b/>
                <w:bCs/>
                <w:color w:val="FFFFFF"/>
                <w:sz w:val="19"/>
                <w:szCs w:val="19"/>
              </w:rPr>
              <w:t xml:space="preserve">Multi Tienda</w:t>
            </w:r>
          </w:p>
        </w:tc>
      </w:tr>
      <w:tr>
        <w:tc>
          <w:tcPr>
            <w:tcW w:type="dxa" w:w="2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Destinatario</w:t>
            </w:r>
          </w:p>
        </w:tc>
        <w:tc>
          <w:tcPr>
            <w:tcW w:type="dxa" w:w="3213"/>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1 tienda</w:t>
            </w:r>
          </w:p>
        </w:tc>
        <w:tc>
          <w:tcPr>
            <w:tcW w:type="dxa" w:w="3213"/>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2 tiendas incluidas + 110 €/tienda adicional</w:t>
            </w:r>
          </w:p>
        </w:tc>
      </w:tr>
      <w:tr>
        <w:tc>
          <w:tcPr>
            <w:tcW w:type="dxa" w:w="2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Tarifa mensual</w:t>
            </w:r>
          </w:p>
        </w:tc>
        <w:tc>
          <w:tcPr>
            <w:tcW w:type="dxa" w:w="3213"/>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119 € IVA excl./mes</w:t>
            </w:r>
          </w:p>
        </w:tc>
        <w:tc>
          <w:tcPr>
            <w:tcW w:type="dxa" w:w="3213"/>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239 € IVA excl./mes</w:t>
            </w:r>
          </w:p>
        </w:tc>
      </w:tr>
      <w:tr>
        <w:tc>
          <w:tcPr>
            <w:tcW w:type="dxa" w:w="2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Tarifa anual</w:t>
            </w:r>
          </w:p>
        </w:tc>
        <w:tc>
          <w:tcPr>
            <w:tcW w:type="dxa" w:w="3213"/>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100 € IVA excl./mes
(facturado anualmente)</w:t>
            </w:r>
          </w:p>
        </w:tc>
        <w:tc>
          <w:tcPr>
            <w:tcW w:type="dxa" w:w="3213"/>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200 € IVA excl./mes
(facturado anualmente)</w:t>
            </w:r>
          </w:p>
        </w:tc>
      </w:tr>
      <w:tr>
        <w:tc>
          <w:tcPr>
            <w:tcW w:type="dxa" w:w="2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Ahorro anual</w:t>
            </w:r>
          </w:p>
        </w:tc>
        <w:tc>
          <w:tcPr>
            <w:tcW w:type="dxa" w:w="3213"/>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228 € IVA excl./año (2 meses gratis)</w:t>
            </w:r>
          </w:p>
        </w:tc>
        <w:tc>
          <w:tcPr>
            <w:tcW w:type="dxa" w:w="3213"/>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468 € IVA excl./año (2 meses gratis)</w:t>
            </w:r>
          </w:p>
        </w:tc>
      </w:tr>
      <w:tr>
        <w:tc>
          <w:tcPr>
            <w:tcW w:type="dxa" w:w="2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Funcionalidades</w:t>
            </w:r>
          </w:p>
        </w:tc>
        <w:tc>
          <w:tcPr>
            <w:tcW w:type="dxa" w:w="3213"/>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Completas (Art. 3.1)</w:t>
            </w:r>
          </w:p>
        </w:tc>
        <w:tc>
          <w:tcPr>
            <w:tcW w:type="dxa" w:w="3213"/>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Completas + Multi Tienda (Art. 3.2)</w:t>
            </w:r>
          </w:p>
        </w:tc>
      </w:tr>
    </w:tbl>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CCCCCC" w:sz="1"/>
              <w:left w:val="single" w:color="0891B2" w:sz="8"/>
              <w:bottom w:val="single" w:color="CCCCCC" w:sz="1"/>
              <w:right w:val="none" w:color="FFFFFF" w:sz="0"/>
            </w:tcBorders>
            <w:shd w:fill="E0F7FA" w:val="clear"/>
            <w:tcMar>
              <w:top w:type="dxa" w:w="120"/>
              <w:left w:type="dxa" w:w="200"/>
              <w:bottom w:type="dxa" w:w="120"/>
              <w:right w:type="dxa" w:w="200"/>
            </w:tcMar>
          </w:tcPr>
          <w:p>
            <w:pPr>
              <w:spacing w:after="0" w:before="0"/>
            </w:pPr>
            <w:r>
              <w:rPr>
                <w:rFonts w:ascii="Arial" w:cs="Arial" w:eastAsia="Arial" w:hAnsi="Arial"/>
                <w:i/>
                <w:iCs/>
                <w:color w:val="00607A"/>
                <w:sz w:val="20"/>
                <w:szCs w:val="20"/>
              </w:rPr>
              <w:t xml:space="preserve">Todos los precios se expresan sin IVA. El IVA aplicable será el vigente en el país del Cliente en el momento de la facturación.</w:t>
            </w:r>
          </w:p>
        </w:tc>
      </w:tr>
    </w:tbl>
    <w:p>
      <w:pPr>
        <w:spacing w:after="60" w:before="60"/>
      </w:pPr>
      <w:r>
        <w:t xml:space="preserve"/>
      </w:r>
    </w:p>
    <w:p>
      <w:pPr>
        <w:pStyle w:val="Heading2"/>
        <w:pBdr>
          <w:bottom w:val="single" w:color="0891B2" w:sz="4" w:space="1"/>
        </w:pBdr>
        <w:spacing w:after="120" w:before="300"/>
      </w:pPr>
      <w:r>
        <w:rPr>
          <w:rFonts w:ascii="Arial" w:cs="Arial" w:eastAsia="Arial" w:hAnsi="Arial"/>
          <w:b/>
          <w:bCs/>
          <w:color w:val="0891B2"/>
          <w:sz w:val="24"/>
          <w:szCs w:val="24"/>
        </w:rPr>
        <w:t xml:space="preserve">5.2 Suscripción mensual</w:t>
      </w:r>
    </w:p>
    <w:p>
      <w:pPr>
        <w:spacing w:after="80" w:before="60"/>
        <w:jc w:val="both"/>
      </w:pPr>
      <w:r>
        <w:rPr>
          <w:rFonts w:ascii="Arial" w:cs="Arial" w:eastAsia="Arial" w:hAnsi="Arial"/>
          <w:color w:val="1A1A1A"/>
          <w:sz w:val="20"/>
          <w:szCs w:val="20"/>
        </w:rPr>
        <w:t xml:space="preserve">Facturada cada mes en la fecha de aniversario. Se renueva automáticamente por tácita reconducción, salvo resolución conforme al Artículo 9.</w:t>
      </w:r>
    </w:p>
    <w:p>
      <w:pPr>
        <w:pStyle w:val="Heading2"/>
        <w:pBdr>
          <w:bottom w:val="single" w:color="0891B2" w:sz="4" w:space="1"/>
        </w:pBdr>
        <w:spacing w:after="120" w:before="300"/>
      </w:pPr>
      <w:r>
        <w:rPr>
          <w:rFonts w:ascii="Arial" w:cs="Arial" w:eastAsia="Arial" w:hAnsi="Arial"/>
          <w:b/>
          <w:bCs/>
          <w:color w:val="0891B2"/>
          <w:sz w:val="24"/>
          <w:szCs w:val="24"/>
        </w:rPr>
        <w:t xml:space="preserve">5.3 Suscripción anual</w:t>
      </w:r>
    </w:p>
    <w:p>
      <w:pPr>
        <w:spacing w:after="80" w:before="60"/>
        <w:jc w:val="both"/>
      </w:pPr>
      <w:r>
        <w:rPr>
          <w:rFonts w:ascii="Arial" w:cs="Arial" w:eastAsia="Arial" w:hAnsi="Arial"/>
          <w:color w:val="1A1A1A"/>
          <w:sz w:val="20"/>
          <w:szCs w:val="20"/>
        </w:rPr>
        <w:t xml:space="preserve">Facturada íntegramente al inicio del período. Equivale a 10 meses al precio mensual (2 meses gratis). Renovación automática salvo resolución notificada con al menos 30 días de antelación. No se reembolsarán los meses restantes en caso de resolución anticipada, salvo los supuestos previstos en el Artículo 9.</w:t>
      </w:r>
    </w:p>
    <w:p>
      <w:pPr>
        <w:pStyle w:val="Heading2"/>
        <w:pBdr>
          <w:bottom w:val="single" w:color="0891B2" w:sz="4" w:space="1"/>
        </w:pBdr>
        <w:spacing w:after="120" w:before="300"/>
      </w:pPr>
      <w:r>
        <w:rPr>
          <w:rFonts w:ascii="Arial" w:cs="Arial" w:eastAsia="Arial" w:hAnsi="Arial"/>
          <w:b/>
          <w:bCs/>
          <w:color w:val="0891B2"/>
          <w:sz w:val="24"/>
          <w:szCs w:val="24"/>
        </w:rPr>
        <w:t xml:space="preserve">5.4 Modificación de precios</w:t>
      </w:r>
    </w:p>
    <w:p>
      <w:pPr>
        <w:spacing w:after="80" w:before="60"/>
        <w:jc w:val="both"/>
      </w:pPr>
      <w:r>
        <w:rPr>
          <w:rFonts w:ascii="Arial" w:cs="Arial" w:eastAsia="Arial" w:hAnsi="Arial"/>
          <w:color w:val="1A1A1A"/>
          <w:sz w:val="20"/>
          <w:szCs w:val="20"/>
        </w:rPr>
        <w:t xml:space="preserve">Cualquier modificación de precios se notificará con 60 días de antelación. En caso de rechazo, el Cliente podrá resolver sin penalización dentro de ese plazo.</w:t>
      </w:r>
    </w:p>
    <w:p>
      <w:pPr>
        <w:spacing w:after="60" w:before="60"/>
      </w:pPr>
      <w:r>
        <w:t xml:space="preserve"/>
      </w:r>
    </w:p>
    <w:p>
      <w:pPr>
        <w:pStyle w:val="Heading1"/>
        <w:shd w:fill="0891B2" w:val="clear"/>
        <w:spacing w:after="200" w:before="400"/>
        <w:ind w:left="200" w:right="200"/>
      </w:pPr>
      <w:r>
        <w:rPr>
          <w:rFonts w:ascii="Arial" w:cs="Arial" w:eastAsia="Arial" w:hAnsi="Arial"/>
          <w:b/>
          <w:bCs/>
          <w:color w:val="FFFFFF"/>
          <w:sz w:val="28"/>
          <w:szCs w:val="28"/>
        </w:rPr>
        <w:t xml:space="preserve">ARTÍCULO 6 — FACTURACIÓN Y PAGO</w:t>
      </w:r>
    </w:p>
    <w:p>
      <w:pPr>
        <w:pStyle w:val="Heading2"/>
        <w:pBdr>
          <w:bottom w:val="single" w:color="0891B2" w:sz="4" w:space="1"/>
        </w:pBdr>
        <w:spacing w:after="120" w:before="300"/>
      </w:pPr>
      <w:r>
        <w:rPr>
          <w:rFonts w:ascii="Arial" w:cs="Arial" w:eastAsia="Arial" w:hAnsi="Arial"/>
          <w:b/>
          <w:bCs/>
          <w:color w:val="0891B2"/>
          <w:sz w:val="24"/>
          <w:szCs w:val="24"/>
        </w:rPr>
        <w:t xml:space="preserve">6.1 Facturación</w:t>
      </w:r>
    </w:p>
    <w:p>
      <w:pPr>
        <w:spacing w:after="80" w:before="60"/>
        <w:jc w:val="both"/>
      </w:pPr>
      <w:r>
        <w:rPr>
          <w:rFonts w:ascii="Arial" w:cs="Arial" w:eastAsia="Arial" w:hAnsi="Arial"/>
          <w:color w:val="1A1A1A"/>
          <w:sz w:val="20"/>
          <w:szCs w:val="20"/>
        </w:rPr>
        <w:t xml:space="preserve">Las facturas se emitirán electrónicamente y se remitirán a la dirección de facturación del Cliente. BridalB2B SL cumplirá con los requisitos del Reglamento de Facturación (RD 1619/2012) y, cuando proceda, con las obligaciones Verifactu/SII.</w:t>
      </w:r>
    </w:p>
    <w:p>
      <w:pPr>
        <w:pStyle w:val="Heading2"/>
        <w:pBdr>
          <w:bottom w:val="single" w:color="0891B2" w:sz="4" w:space="1"/>
        </w:pBdr>
        <w:spacing w:after="120" w:before="300"/>
      </w:pPr>
      <w:r>
        <w:rPr>
          <w:rFonts w:ascii="Arial" w:cs="Arial" w:eastAsia="Arial" w:hAnsi="Arial"/>
          <w:b/>
          <w:bCs/>
          <w:color w:val="0891B2"/>
          <w:sz w:val="24"/>
          <w:szCs w:val="24"/>
        </w:rPr>
        <w:t xml:space="preserve">6.2 Modalidades de pago</w:t>
      </w:r>
    </w:p>
    <w:p>
      <w:pPr>
        <w:spacing w:after="80" w:before="60"/>
        <w:jc w:val="both"/>
      </w:pPr>
      <w:r>
        <w:rPr>
          <w:rFonts w:ascii="Arial" w:cs="Arial" w:eastAsia="Arial" w:hAnsi="Arial"/>
          <w:color w:val="1A1A1A"/>
          <w:sz w:val="20"/>
          <w:szCs w:val="20"/>
        </w:rPr>
        <w:t xml:space="preserve">Pago mediante cargo automático (tarjeta bancaria o domiciliación SEPA). La suscripción implica la autorización de cargo en cada vencimiento.</w:t>
      </w:r>
    </w:p>
    <w:p>
      <w:pPr>
        <w:pStyle w:val="Heading2"/>
        <w:pBdr>
          <w:bottom w:val="single" w:color="0891B2" w:sz="4" w:space="1"/>
        </w:pBdr>
        <w:spacing w:after="120" w:before="300"/>
      </w:pPr>
      <w:r>
        <w:rPr>
          <w:rFonts w:ascii="Arial" w:cs="Arial" w:eastAsia="Arial" w:hAnsi="Arial"/>
          <w:b/>
          <w:bCs/>
          <w:color w:val="0891B2"/>
          <w:sz w:val="24"/>
          <w:szCs w:val="24"/>
        </w:rPr>
        <w:t xml:space="preserve">6.3 Demora e impago</w:t>
      </w:r>
    </w:p>
    <w:p>
      <w:pPr>
        <w:pStyle w:val="ListParagraph"/>
        <w:numPr>
          <w:ilvl w:val="0"/>
          <w:numId w:val="2"/>
        </w:numPr>
        <w:spacing w:after="40" w:before="40"/>
      </w:pPr>
      <w:r>
        <w:rPr>
          <w:rFonts w:ascii="Arial" w:cs="Arial" w:eastAsia="Arial" w:hAnsi="Arial"/>
          <w:color w:val="1A1A1A"/>
          <w:sz w:val="20"/>
          <w:szCs w:val="20"/>
        </w:rPr>
        <w:t xml:space="preserve">Suspensión del acceso tras preaviso de 7 días naturales;</w:t>
      </w:r>
    </w:p>
    <w:p>
      <w:pPr>
        <w:pStyle w:val="ListParagraph"/>
        <w:numPr>
          <w:ilvl w:val="0"/>
          <w:numId w:val="2"/>
        </w:numPr>
        <w:spacing w:after="40" w:before="40"/>
      </w:pPr>
      <w:r>
        <w:rPr>
          <w:rFonts w:ascii="Arial" w:cs="Arial" w:eastAsia="Arial" w:hAnsi="Arial"/>
          <w:color w:val="1A1A1A"/>
          <w:sz w:val="20"/>
          <w:szCs w:val="20"/>
        </w:rPr>
        <w:t xml:space="preserve">Resolución en caso de impago persistente más de 30 días;</w:t>
      </w:r>
    </w:p>
    <w:p>
      <w:pPr>
        <w:pStyle w:val="ListParagraph"/>
        <w:numPr>
          <w:ilvl w:val="0"/>
          <w:numId w:val="2"/>
        </w:numPr>
        <w:spacing w:after="40" w:before="40"/>
      </w:pPr>
      <w:r>
        <w:rPr>
          <w:rFonts w:ascii="Arial" w:cs="Arial" w:eastAsia="Arial" w:hAnsi="Arial"/>
          <w:color w:val="1A1A1A"/>
          <w:sz w:val="20"/>
          <w:szCs w:val="20"/>
        </w:rPr>
        <w:t xml:space="preserve">Intereses de demora al tipo legal incrementado en 8 puntos (Ley 3/2004, de 29 de diciembre, de medidas de lucha contra la morosidad en las operaciones comerciales).</w:t>
      </w:r>
    </w:p>
    <w:p>
      <w:pPr>
        <w:pStyle w:val="Heading2"/>
        <w:pBdr>
          <w:bottom w:val="single" w:color="0891B2" w:sz="4" w:space="1"/>
        </w:pBdr>
        <w:spacing w:after="120" w:before="300"/>
      </w:pPr>
      <w:r>
        <w:rPr>
          <w:rFonts w:ascii="Arial" w:cs="Arial" w:eastAsia="Arial" w:hAnsi="Arial"/>
          <w:b/>
          <w:bCs/>
          <w:color w:val="0891B2"/>
          <w:sz w:val="24"/>
          <w:szCs w:val="24"/>
        </w:rPr>
        <w:t xml:space="preserve">6.4 IVA y otros impuestos</w:t>
      </w:r>
    </w:p>
    <w:p>
      <w:pPr>
        <w:spacing w:after="80" w:before="60"/>
        <w:jc w:val="both"/>
      </w:pPr>
      <w:r>
        <w:rPr>
          <w:rFonts w:ascii="Arial" w:cs="Arial" w:eastAsia="Arial" w:hAnsi="Arial"/>
          <w:color w:val="1A1A1A"/>
          <w:sz w:val="20"/>
          <w:szCs w:val="20"/>
        </w:rPr>
        <w:t xml:space="preserve">Para clientes establecidos en la UE (B2B), el IVA se autoliquida mediante el mecanismo de inversión del sujeto pasivo. BridalB2B SL facilitará el justificante correspondiente a petición.</w:t>
      </w:r>
    </w:p>
    <w:p>
      <w:pPr>
        <w:spacing w:after="60" w:before="60"/>
      </w:pPr>
      <w:r>
        <w:t xml:space="preserve"/>
      </w:r>
    </w:p>
    <w:p>
      <w:pPr>
        <w:pStyle w:val="Heading1"/>
        <w:shd w:fill="0891B2" w:val="clear"/>
        <w:spacing w:after="200" w:before="400"/>
        <w:ind w:left="200" w:right="200"/>
      </w:pPr>
      <w:r>
        <w:rPr>
          <w:rFonts w:ascii="Arial" w:cs="Arial" w:eastAsia="Arial" w:hAnsi="Arial"/>
          <w:b/>
          <w:bCs/>
          <w:color w:val="FFFFFF"/>
          <w:sz w:val="28"/>
          <w:szCs w:val="28"/>
        </w:rPr>
        <w:t xml:space="preserve">ARTÍCULO 7 — OBLIGACIONES DEL CLIENTE</w:t>
      </w:r>
    </w:p>
    <w:p>
      <w:pPr>
        <w:spacing w:after="80" w:before="60"/>
        <w:jc w:val="both"/>
      </w:pPr>
      <w:r>
        <w:rPr>
          <w:rFonts w:ascii="Arial" w:cs="Arial" w:eastAsia="Arial" w:hAnsi="Arial"/>
          <w:color w:val="1A1A1A"/>
          <w:sz w:val="20"/>
          <w:szCs w:val="20"/>
        </w:rPr>
        <w:t xml:space="preserve">El Cliente se compromete a:</w:t>
      </w:r>
    </w:p>
    <w:p>
      <w:pPr>
        <w:pStyle w:val="ListParagraph"/>
        <w:numPr>
          <w:ilvl w:val="0"/>
          <w:numId w:val="2"/>
        </w:numPr>
        <w:spacing w:after="40" w:before="40"/>
      </w:pPr>
      <w:r>
        <w:rPr>
          <w:rFonts w:ascii="Arial" w:cs="Arial" w:eastAsia="Arial" w:hAnsi="Arial"/>
          <w:color w:val="1A1A1A"/>
          <w:sz w:val="20"/>
          <w:szCs w:val="20"/>
        </w:rPr>
        <w:t xml:space="preserve">utilizar el Servicio conforme a su destino y a las presentes CGCU;</w:t>
      </w:r>
    </w:p>
    <w:p>
      <w:pPr>
        <w:pStyle w:val="ListParagraph"/>
        <w:numPr>
          <w:ilvl w:val="0"/>
          <w:numId w:val="2"/>
        </w:numPr>
        <w:spacing w:after="40" w:before="40"/>
      </w:pPr>
      <w:r>
        <w:rPr>
          <w:rFonts w:ascii="Arial" w:cs="Arial" w:eastAsia="Arial" w:hAnsi="Arial"/>
          <w:color w:val="1A1A1A"/>
          <w:sz w:val="20"/>
          <w:szCs w:val="20"/>
        </w:rPr>
        <w:t xml:space="preserve">no utilizar el Servicio para fines ilícitos o contrarios al orden público;</w:t>
      </w:r>
    </w:p>
    <w:p>
      <w:pPr>
        <w:pStyle w:val="ListParagraph"/>
        <w:numPr>
          <w:ilvl w:val="0"/>
          <w:numId w:val="2"/>
        </w:numPr>
        <w:spacing w:after="40" w:before="40"/>
      </w:pPr>
      <w:r>
        <w:rPr>
          <w:rFonts w:ascii="Arial" w:cs="Arial" w:eastAsia="Arial" w:hAnsi="Arial"/>
          <w:color w:val="1A1A1A"/>
          <w:sz w:val="20"/>
          <w:szCs w:val="20"/>
        </w:rPr>
        <w:t xml:space="preserve">no reproducir, vender ni sublicenciar total o parcialmente el Servicio sin autorización previa y por escrito;</w:t>
      </w:r>
    </w:p>
    <w:p>
      <w:pPr>
        <w:pStyle w:val="ListParagraph"/>
        <w:numPr>
          <w:ilvl w:val="0"/>
          <w:numId w:val="2"/>
        </w:numPr>
        <w:spacing w:after="40" w:before="40"/>
      </w:pPr>
      <w:r>
        <w:rPr>
          <w:rFonts w:ascii="Arial" w:cs="Arial" w:eastAsia="Arial" w:hAnsi="Arial"/>
          <w:color w:val="1A1A1A"/>
          <w:sz w:val="20"/>
          <w:szCs w:val="20"/>
        </w:rPr>
        <w:t xml:space="preserve">no introducir código malicioso ni virus;</w:t>
      </w:r>
    </w:p>
    <w:p>
      <w:pPr>
        <w:pStyle w:val="ListParagraph"/>
        <w:numPr>
          <w:ilvl w:val="0"/>
          <w:numId w:val="2"/>
        </w:numPr>
        <w:spacing w:after="40" w:before="40"/>
      </w:pPr>
      <w:r>
        <w:rPr>
          <w:rFonts w:ascii="Arial" w:cs="Arial" w:eastAsia="Arial" w:hAnsi="Arial"/>
          <w:color w:val="1A1A1A"/>
          <w:sz w:val="20"/>
          <w:szCs w:val="20"/>
        </w:rPr>
        <w:t xml:space="preserve">cumplir sus obligaciones en calidad de responsable del tratamiento (RGPD / LOPDGDD), conforme a la Parte II;</w:t>
      </w:r>
    </w:p>
    <w:p>
      <w:pPr>
        <w:pStyle w:val="ListParagraph"/>
        <w:numPr>
          <w:ilvl w:val="0"/>
          <w:numId w:val="2"/>
        </w:numPr>
        <w:spacing w:after="40" w:before="40"/>
      </w:pPr>
      <w:r>
        <w:rPr>
          <w:rFonts w:ascii="Arial" w:cs="Arial" w:eastAsia="Arial" w:hAnsi="Arial"/>
          <w:color w:val="1A1A1A"/>
          <w:sz w:val="20"/>
          <w:szCs w:val="20"/>
        </w:rPr>
        <w:t xml:space="preserve">comunicar a BrideALL cualquier cambio relativo a su empresa en un plazo de 30 días;</w:t>
      </w:r>
    </w:p>
    <w:p>
      <w:pPr>
        <w:pStyle w:val="ListParagraph"/>
        <w:numPr>
          <w:ilvl w:val="0"/>
          <w:numId w:val="2"/>
        </w:numPr>
        <w:spacing w:after="40" w:before="40"/>
      </w:pPr>
      <w:r>
        <w:rPr>
          <w:rFonts w:ascii="Arial" w:cs="Arial" w:eastAsia="Arial" w:hAnsi="Arial"/>
          <w:color w:val="1A1A1A"/>
          <w:sz w:val="20"/>
          <w:szCs w:val="20"/>
        </w:rPr>
        <w:t xml:space="preserve">garantizar que sus Usuarios cumplen las presentes CGCU.</w:t>
      </w:r>
    </w:p>
    <w:p>
      <w:pPr>
        <w:spacing w:after="60" w:before="60"/>
      </w:pPr>
      <w:r>
        <w:t xml:space="preserve"/>
      </w:r>
    </w:p>
    <w:p>
      <w:pPr>
        <w:pStyle w:val="Heading1"/>
        <w:shd w:fill="0891B2" w:val="clear"/>
        <w:spacing w:after="200" w:before="400"/>
        <w:ind w:left="200" w:right="200"/>
      </w:pPr>
      <w:r>
        <w:rPr>
          <w:rFonts w:ascii="Arial" w:cs="Arial" w:eastAsia="Arial" w:hAnsi="Arial"/>
          <w:b/>
          <w:bCs/>
          <w:color w:val="FFFFFF"/>
          <w:sz w:val="28"/>
          <w:szCs w:val="28"/>
        </w:rPr>
        <w:t xml:space="preserve">ARTÍCULO 8 — OBLIGACIONES DE BRIDEALL</w:t>
      </w:r>
    </w:p>
    <w:p>
      <w:pPr>
        <w:spacing w:after="80" w:before="60"/>
        <w:jc w:val="both"/>
      </w:pPr>
      <w:r>
        <w:rPr>
          <w:rFonts w:ascii="Arial" w:cs="Arial" w:eastAsia="Arial" w:hAnsi="Arial"/>
          <w:color w:val="1A1A1A"/>
          <w:sz w:val="20"/>
          <w:szCs w:val="20"/>
        </w:rPr>
        <w:t xml:space="preserve">BridalB2B SL se compromete a:</w:t>
      </w:r>
    </w:p>
    <w:p>
      <w:pPr>
        <w:pStyle w:val="ListParagraph"/>
        <w:numPr>
          <w:ilvl w:val="0"/>
          <w:numId w:val="2"/>
        </w:numPr>
        <w:spacing w:after="40" w:before="40"/>
      </w:pPr>
      <w:r>
        <w:rPr>
          <w:rFonts w:ascii="Arial" w:cs="Arial" w:eastAsia="Arial" w:hAnsi="Arial"/>
          <w:color w:val="1A1A1A"/>
          <w:sz w:val="20"/>
          <w:szCs w:val="20"/>
        </w:rPr>
        <w:t xml:space="preserve">prestar el Servicio en condiciones normales de calidad y disponibilidad;</w:t>
      </w:r>
    </w:p>
    <w:p>
      <w:pPr>
        <w:pStyle w:val="ListParagraph"/>
        <w:numPr>
          <w:ilvl w:val="0"/>
          <w:numId w:val="2"/>
        </w:numPr>
        <w:spacing w:after="40" w:before="40"/>
      </w:pPr>
      <w:r>
        <w:rPr>
          <w:rFonts w:ascii="Arial" w:cs="Arial" w:eastAsia="Arial" w:hAnsi="Arial"/>
          <w:color w:val="1A1A1A"/>
          <w:sz w:val="20"/>
          <w:szCs w:val="20"/>
        </w:rPr>
        <w:t xml:space="preserve">garantizar la seguridad y confidencialidad de los Datos conforme a la Parte II (DPA);</w:t>
      </w:r>
    </w:p>
    <w:p>
      <w:pPr>
        <w:pStyle w:val="ListParagraph"/>
        <w:numPr>
          <w:ilvl w:val="0"/>
          <w:numId w:val="2"/>
        </w:numPr>
        <w:spacing w:after="40" w:before="40"/>
      </w:pPr>
      <w:r>
        <w:rPr>
          <w:rFonts w:ascii="Arial" w:cs="Arial" w:eastAsia="Arial" w:hAnsi="Arial"/>
          <w:color w:val="1A1A1A"/>
          <w:sz w:val="20"/>
          <w:szCs w:val="20"/>
        </w:rPr>
        <w:t xml:space="preserve">notificar al Cliente cualquier violación de datos en un plazo de 24 horas;</w:t>
      </w:r>
    </w:p>
    <w:p>
      <w:pPr>
        <w:pStyle w:val="ListParagraph"/>
        <w:numPr>
          <w:ilvl w:val="0"/>
          <w:numId w:val="2"/>
        </w:numPr>
        <w:spacing w:after="40" w:before="40"/>
      </w:pPr>
      <w:r>
        <w:rPr>
          <w:rFonts w:ascii="Arial" w:cs="Arial" w:eastAsia="Arial" w:hAnsi="Arial"/>
          <w:color w:val="1A1A1A"/>
          <w:sz w:val="20"/>
          <w:szCs w:val="20"/>
        </w:rPr>
        <w:t xml:space="preserve">permitir la exportación de los Datos (CSV/JSON) durante la suscripción y en los 30 días siguientes a la resolución;</w:t>
      </w:r>
    </w:p>
    <w:p>
      <w:pPr>
        <w:pStyle w:val="ListParagraph"/>
        <w:numPr>
          <w:ilvl w:val="0"/>
          <w:numId w:val="2"/>
        </w:numPr>
        <w:spacing w:after="40" w:before="40"/>
      </w:pPr>
      <w:r>
        <w:rPr>
          <w:rFonts w:ascii="Arial" w:cs="Arial" w:eastAsia="Arial" w:hAnsi="Arial"/>
          <w:color w:val="1A1A1A"/>
          <w:sz w:val="20"/>
          <w:szCs w:val="20"/>
        </w:rPr>
        <w:t xml:space="preserve">ofrecer soporte técnico por email con un tiempo de respuesta objetivo de 24 horas hábiles;</w:t>
      </w:r>
    </w:p>
    <w:p>
      <w:pPr>
        <w:pStyle w:val="ListParagraph"/>
        <w:numPr>
          <w:ilvl w:val="0"/>
          <w:numId w:val="2"/>
        </w:numPr>
        <w:spacing w:after="40" w:before="40"/>
      </w:pPr>
      <w:r>
        <w:rPr>
          <w:rFonts w:ascii="Arial" w:cs="Arial" w:eastAsia="Arial" w:hAnsi="Arial"/>
          <w:color w:val="1A1A1A"/>
          <w:sz w:val="20"/>
          <w:szCs w:val="20"/>
        </w:rPr>
        <w:t xml:space="preserve">informar al Cliente de cualquier modificación sustancial del Servicio con 30 días de antelación.</w:t>
      </w:r>
    </w:p>
    <w:p>
      <w:pPr>
        <w:spacing w:after="60" w:before="60"/>
      </w:pPr>
      <w:r>
        <w:t xml:space="preserve"/>
      </w:r>
    </w:p>
    <w:p>
      <w:pPr>
        <w:pStyle w:val="Heading1"/>
        <w:shd w:fill="0891B2" w:val="clear"/>
        <w:spacing w:after="200" w:before="400"/>
        <w:ind w:left="200" w:right="200"/>
      </w:pPr>
      <w:r>
        <w:rPr>
          <w:rFonts w:ascii="Arial" w:cs="Arial" w:eastAsia="Arial" w:hAnsi="Arial"/>
          <w:b/>
          <w:bCs/>
          <w:color w:val="FFFFFF"/>
          <w:sz w:val="28"/>
          <w:szCs w:val="28"/>
        </w:rPr>
        <w:t xml:space="preserve">ARTÍCULO 9 — DURACIÓN Y RESOLUCIÓN</w:t>
      </w:r>
    </w:p>
    <w:p>
      <w:pPr>
        <w:pStyle w:val="Heading2"/>
        <w:pBdr>
          <w:bottom w:val="single" w:color="0891B2" w:sz="4" w:space="1"/>
        </w:pBdr>
        <w:spacing w:after="120" w:before="300"/>
      </w:pPr>
      <w:r>
        <w:rPr>
          <w:rFonts w:ascii="Arial" w:cs="Arial" w:eastAsia="Arial" w:hAnsi="Arial"/>
          <w:b/>
          <w:bCs/>
          <w:color w:val="0891B2"/>
          <w:sz w:val="24"/>
          <w:szCs w:val="24"/>
        </w:rPr>
        <w:t xml:space="preserve">9.1 Duración</w:t>
      </w:r>
    </w:p>
    <w:p>
      <w:pPr>
        <w:spacing w:after="80" w:before="60"/>
        <w:jc w:val="both"/>
      </w:pPr>
      <w:r>
        <w:rPr>
          <w:rFonts w:ascii="Arial" w:cs="Arial" w:eastAsia="Arial" w:hAnsi="Arial"/>
          <w:color w:val="1A1A1A"/>
          <w:sz w:val="20"/>
          <w:szCs w:val="20"/>
        </w:rPr>
        <w:t xml:space="preserve">La suscripción entra en vigor en la fecha de contratación y se renueva automáticamente por tácita reconducción, salvo resolución en las condiciones que se indican a continuación.</w:t>
      </w:r>
    </w:p>
    <w:p>
      <w:pPr>
        <w:pStyle w:val="Heading2"/>
        <w:pBdr>
          <w:bottom w:val="single" w:color="0891B2" w:sz="4" w:space="1"/>
        </w:pBdr>
        <w:spacing w:after="120" w:before="300"/>
      </w:pPr>
      <w:r>
        <w:rPr>
          <w:rFonts w:ascii="Arial" w:cs="Arial" w:eastAsia="Arial" w:hAnsi="Arial"/>
          <w:b/>
          <w:bCs/>
          <w:color w:val="0891B2"/>
          <w:sz w:val="24"/>
          <w:szCs w:val="24"/>
        </w:rPr>
        <w:t xml:space="preserve">9.2 Resolución a iniciativa del Cliente</w:t>
      </w:r>
    </w:p>
    <w:p>
      <w:pPr>
        <w:pStyle w:val="ListParagraph"/>
        <w:numPr>
          <w:ilvl w:val="0"/>
          <w:numId w:val="2"/>
        </w:numPr>
        <w:spacing w:after="40" w:before="40"/>
      </w:pPr>
      <w:r>
        <w:rPr>
          <w:rFonts w:ascii="Arial" w:cs="Arial" w:eastAsia="Arial" w:hAnsi="Arial"/>
          <w:color w:val="1A1A1A"/>
          <w:sz w:val="20"/>
          <w:szCs w:val="20"/>
        </w:rPr>
        <w:t xml:space="preserve">Suscripción mensual: efecto al final del mes en curso, sin reembolso del período ya facturado.</w:t>
      </w:r>
    </w:p>
    <w:p>
      <w:pPr>
        <w:pStyle w:val="ListParagraph"/>
        <w:numPr>
          <w:ilvl w:val="0"/>
          <w:numId w:val="2"/>
        </w:numPr>
        <w:spacing w:after="40" w:before="40"/>
      </w:pPr>
      <w:r>
        <w:rPr>
          <w:rFonts w:ascii="Arial" w:cs="Arial" w:eastAsia="Arial" w:hAnsi="Arial"/>
          <w:color w:val="1A1A1A"/>
          <w:sz w:val="20"/>
          <w:szCs w:val="20"/>
        </w:rPr>
        <w:t xml:space="preserve">Suscripción anual: notificación con al menos 30 días de antelación al vencimiento. Los meses restantes no son reembolsables.</w:t>
      </w:r>
    </w:p>
    <w:p>
      <w:pPr>
        <w:pStyle w:val="Heading2"/>
        <w:pBdr>
          <w:bottom w:val="single" w:color="0891B2" w:sz="4" w:space="1"/>
        </w:pBdr>
        <w:spacing w:after="120" w:before="300"/>
      </w:pPr>
      <w:r>
        <w:rPr>
          <w:rFonts w:ascii="Arial" w:cs="Arial" w:eastAsia="Arial" w:hAnsi="Arial"/>
          <w:b/>
          <w:bCs/>
          <w:color w:val="0891B2"/>
          <w:sz w:val="24"/>
          <w:szCs w:val="24"/>
        </w:rPr>
        <w:t xml:space="preserve">9.3 Resolución a iniciativa de BridalB2B SL</w:t>
      </w:r>
    </w:p>
    <w:p>
      <w:pPr>
        <w:spacing w:after="80" w:before="60"/>
        <w:jc w:val="both"/>
      </w:pPr>
      <w:r>
        <w:rPr>
          <w:rFonts w:ascii="Arial" w:cs="Arial" w:eastAsia="Arial" w:hAnsi="Arial"/>
          <w:color w:val="1A1A1A"/>
          <w:sz w:val="20"/>
          <w:szCs w:val="20"/>
        </w:rPr>
        <w:t xml:space="preserve">Resolución sin preaviso en caso de: incumplimiento grave de las CGCU, impago persistente (más de 30 días), uso fraudulento o ilícito del Servicio. En los demás casos, preaviso de 30 días.</w:t>
      </w:r>
    </w:p>
    <w:p>
      <w:pPr>
        <w:pStyle w:val="Heading2"/>
        <w:pBdr>
          <w:bottom w:val="single" w:color="0891B2" w:sz="4" w:space="1"/>
        </w:pBdr>
        <w:spacing w:after="120" w:before="300"/>
      </w:pPr>
      <w:r>
        <w:rPr>
          <w:rFonts w:ascii="Arial" w:cs="Arial" w:eastAsia="Arial" w:hAnsi="Arial"/>
          <w:b/>
          <w:bCs/>
          <w:color w:val="0891B2"/>
          <w:sz w:val="24"/>
          <w:szCs w:val="24"/>
        </w:rPr>
        <w:t xml:space="preserve">9.4 Efectos de la resolución</w:t>
      </w:r>
    </w:p>
    <w:p>
      <w:pPr>
        <w:pStyle w:val="ListParagraph"/>
        <w:numPr>
          <w:ilvl w:val="0"/>
          <w:numId w:val="2"/>
        </w:numPr>
        <w:spacing w:after="40" w:before="40"/>
      </w:pPr>
      <w:r>
        <w:rPr>
          <w:rFonts w:ascii="Arial" w:cs="Arial" w:eastAsia="Arial" w:hAnsi="Arial"/>
          <w:color w:val="1A1A1A"/>
          <w:sz w:val="20"/>
          <w:szCs w:val="20"/>
        </w:rPr>
        <w:t xml:space="preserve">Desactivación del acceso al Servicio;</w:t>
      </w:r>
    </w:p>
    <w:p>
      <w:pPr>
        <w:pStyle w:val="ListParagraph"/>
        <w:numPr>
          <w:ilvl w:val="0"/>
          <w:numId w:val="2"/>
        </w:numPr>
        <w:spacing w:after="40" w:before="40"/>
      </w:pPr>
      <w:r>
        <w:rPr>
          <w:rFonts w:ascii="Arial" w:cs="Arial" w:eastAsia="Arial" w:hAnsi="Arial"/>
          <w:color w:val="1A1A1A"/>
          <w:sz w:val="20"/>
          <w:szCs w:val="20"/>
        </w:rPr>
        <w:t xml:space="preserve">Exportación de Datos posible durante 30 días;</w:t>
      </w:r>
    </w:p>
    <w:p>
      <w:pPr>
        <w:pStyle w:val="ListParagraph"/>
        <w:numPr>
          <w:ilvl w:val="0"/>
          <w:numId w:val="2"/>
        </w:numPr>
        <w:spacing w:after="40" w:before="40"/>
      </w:pPr>
      <w:r>
        <w:rPr>
          <w:rFonts w:ascii="Arial" w:cs="Arial" w:eastAsia="Arial" w:hAnsi="Arial"/>
          <w:color w:val="1A1A1A"/>
          <w:sz w:val="20"/>
          <w:szCs w:val="20"/>
        </w:rPr>
        <w:t xml:space="preserve">Eliminación definitiva de los Datos transcurrido dicho plazo, salvo obligación legal de conservación.</w:t>
      </w:r>
    </w:p>
    <w:p>
      <w:pPr>
        <w:spacing w:after="60" w:before="60"/>
      </w:pPr>
      <w:r>
        <w:t xml:space="preserve"/>
      </w:r>
    </w:p>
    <w:p>
      <w:pPr>
        <w:pStyle w:val="Heading1"/>
        <w:shd w:fill="0891B2" w:val="clear"/>
        <w:spacing w:after="200" w:before="400"/>
        <w:ind w:left="200" w:right="200"/>
      </w:pPr>
      <w:r>
        <w:rPr>
          <w:rFonts w:ascii="Arial" w:cs="Arial" w:eastAsia="Arial" w:hAnsi="Arial"/>
          <w:b/>
          <w:bCs/>
          <w:color w:val="FFFFFF"/>
          <w:sz w:val="28"/>
          <w:szCs w:val="28"/>
        </w:rPr>
        <w:t xml:space="preserve">ARTÍCULO 10 — PROPIEDAD INTELECTUAL</w:t>
      </w:r>
    </w:p>
    <w:p>
      <w:pPr>
        <w:pStyle w:val="Heading2"/>
        <w:pBdr>
          <w:bottom w:val="single" w:color="0891B2" w:sz="4" w:space="1"/>
        </w:pBdr>
        <w:spacing w:after="120" w:before="300"/>
      </w:pPr>
      <w:r>
        <w:rPr>
          <w:rFonts w:ascii="Arial" w:cs="Arial" w:eastAsia="Arial" w:hAnsi="Arial"/>
          <w:b/>
          <w:bCs/>
          <w:color w:val="0891B2"/>
          <w:sz w:val="24"/>
          <w:szCs w:val="24"/>
        </w:rPr>
        <w:t xml:space="preserve">10.1 Derechos de BridalB2B SL</w:t>
      </w:r>
    </w:p>
    <w:p>
      <w:pPr>
        <w:spacing w:after="80" w:before="60"/>
        <w:jc w:val="both"/>
      </w:pPr>
      <w:r>
        <w:rPr>
          <w:rFonts w:ascii="Arial" w:cs="Arial" w:eastAsia="Arial" w:hAnsi="Arial"/>
          <w:color w:val="1A1A1A"/>
          <w:sz w:val="20"/>
          <w:szCs w:val="20"/>
        </w:rPr>
        <w:t xml:space="preserve">BrideALL y todos sus componentes son propiedad exclusiva de BridalB2B SL. La suscripción otorga al Cliente un derecho de uso personal, no exclusivo, intransferible y no sublicenciable, por la duración de la suscripción.</w:t>
      </w:r>
    </w:p>
    <w:p>
      <w:pPr>
        <w:pStyle w:val="Heading2"/>
        <w:pBdr>
          <w:bottom w:val="single" w:color="0891B2" w:sz="4" w:space="1"/>
        </w:pBdr>
        <w:spacing w:after="120" w:before="300"/>
      </w:pPr>
      <w:r>
        <w:rPr>
          <w:rFonts w:ascii="Arial" w:cs="Arial" w:eastAsia="Arial" w:hAnsi="Arial"/>
          <w:b/>
          <w:bCs/>
          <w:color w:val="0891B2"/>
          <w:sz w:val="24"/>
          <w:szCs w:val="24"/>
        </w:rPr>
        <w:t xml:space="preserve">10.2 Derechos del Cliente sobre sus Datos</w:t>
      </w:r>
    </w:p>
    <w:p>
      <w:pPr>
        <w:spacing w:after="80" w:before="60"/>
        <w:jc w:val="both"/>
      </w:pPr>
      <w:r>
        <w:rPr>
          <w:rFonts w:ascii="Arial" w:cs="Arial" w:eastAsia="Arial" w:hAnsi="Arial"/>
          <w:color w:val="1A1A1A"/>
          <w:sz w:val="20"/>
          <w:szCs w:val="20"/>
        </w:rPr>
        <w:t xml:space="preserve">El Cliente conserva la plena propiedad de sus Datos. BridalB2B SL no adquiere ningún derecho sobre dichos datos más allá de lo necesario para la prestación del Servicio, conforme al DPA (Parte II). BridalB2B SL no venderá ni comercializará los Datos del Cliente en ningún caso.</w:t>
      </w:r>
    </w:p>
    <w:p>
      <w:pPr>
        <w:spacing w:after="60" w:before="60"/>
      </w:pPr>
      <w:r>
        <w:t xml:space="preserve"/>
      </w:r>
    </w:p>
    <w:p>
      <w:pPr>
        <w:pStyle w:val="Heading1"/>
        <w:shd w:fill="0891B2" w:val="clear"/>
        <w:spacing w:after="200" w:before="400"/>
        <w:ind w:left="200" w:right="200"/>
      </w:pPr>
      <w:r>
        <w:rPr>
          <w:rFonts w:ascii="Arial" w:cs="Arial" w:eastAsia="Arial" w:hAnsi="Arial"/>
          <w:b/>
          <w:bCs/>
          <w:color w:val="FFFFFF"/>
          <w:sz w:val="28"/>
          <w:szCs w:val="28"/>
        </w:rPr>
        <w:t xml:space="preserve">ARTÍCULO 11 — RESPONSABILIDAD Y GARANTÍAS</w:t>
      </w:r>
    </w:p>
    <w:p>
      <w:pPr>
        <w:pStyle w:val="Heading2"/>
        <w:pBdr>
          <w:bottom w:val="single" w:color="0891B2" w:sz="4" w:space="1"/>
        </w:pBdr>
        <w:spacing w:after="120" w:before="300"/>
      </w:pPr>
      <w:r>
        <w:rPr>
          <w:rFonts w:ascii="Arial" w:cs="Arial" w:eastAsia="Arial" w:hAnsi="Arial"/>
          <w:b/>
          <w:bCs/>
          <w:color w:val="0891B2"/>
          <w:sz w:val="24"/>
          <w:szCs w:val="24"/>
        </w:rPr>
        <w:t xml:space="preserve">11.1 Limitación de responsabilidad de BridalB2B SL</w:t>
      </w:r>
    </w:p>
    <w:p>
      <w:pPr>
        <w:spacing w:after="80" w:before="60"/>
        <w:jc w:val="both"/>
      </w:pPr>
      <w:r>
        <w:rPr>
          <w:rFonts w:ascii="Arial" w:cs="Arial" w:eastAsia="Arial" w:hAnsi="Arial"/>
          <w:color w:val="1A1A1A"/>
          <w:sz w:val="20"/>
          <w:szCs w:val="20"/>
        </w:rPr>
        <w:t xml:space="preserve">BridalB2B SL no será responsable de: cualquier interrupción debida a fuerza mayor (artículo 1105 CC), pérdida de datos imputable al Cliente, fallos debidos a incompatibilidad del equipo del Cliente, o pérdidas indirectas de ingresos o clientela.</w:t>
      </w:r>
    </w:p>
    <w:p>
      <w:pPr>
        <w:spacing w:after="80" w:before="60"/>
        <w:jc w:val="both"/>
      </w:pPr>
      <w:r>
        <w:rPr>
          <w:rFonts w:ascii="Arial" w:cs="Arial" w:eastAsia="Arial" w:hAnsi="Arial"/>
          <w:color w:val="1A1A1A"/>
          <w:sz w:val="20"/>
          <w:szCs w:val="20"/>
        </w:rPr>
        <w:t xml:space="preserve">La responsabilidad total de BridalB2B SL queda limitada al importe de las cantidades efectivamente abonadas por el Cliente durante los 12 meses anteriores al hecho causante.</w:t>
      </w:r>
    </w:p>
    <w:p>
      <w:pPr>
        <w:pStyle w:val="Heading2"/>
        <w:pBdr>
          <w:bottom w:val="single" w:color="0891B2" w:sz="4" w:space="1"/>
        </w:pBdr>
        <w:spacing w:after="120" w:before="300"/>
      </w:pPr>
      <w:r>
        <w:rPr>
          <w:rFonts w:ascii="Arial" w:cs="Arial" w:eastAsia="Arial" w:hAnsi="Arial"/>
          <w:b/>
          <w:bCs/>
          <w:color w:val="0891B2"/>
          <w:sz w:val="24"/>
          <w:szCs w:val="24"/>
        </w:rPr>
        <w:t xml:space="preserve">11.2 Responsabilidad del Cliente</w:t>
      </w:r>
    </w:p>
    <w:p>
      <w:pPr>
        <w:spacing w:after="80" w:before="60"/>
        <w:jc w:val="both"/>
      </w:pPr>
      <w:r>
        <w:rPr>
          <w:rFonts w:ascii="Arial" w:cs="Arial" w:eastAsia="Arial" w:hAnsi="Arial"/>
          <w:color w:val="1A1A1A"/>
          <w:sz w:val="20"/>
          <w:szCs w:val="20"/>
        </w:rPr>
        <w:t xml:space="preserve">El Cliente es el único responsable del uso que haga del Servicio, de los Datos que introduzca y del cumplimiento de la normativa aplicable a su actividad (Verifactu/SII, RGPD/LOPDGDD, derecho mercantil, etc.).</w:t>
      </w:r>
    </w:p>
    <w:p>
      <w:pPr>
        <w:spacing w:after="60" w:before="60"/>
      </w:pPr>
      <w:r>
        <w:t xml:space="preserve"/>
      </w:r>
    </w:p>
    <w:p>
      <w:pPr>
        <w:pStyle w:val="Heading1"/>
        <w:shd w:fill="0891B2" w:val="clear"/>
        <w:spacing w:after="200" w:before="400"/>
        <w:ind w:left="200" w:right="200"/>
      </w:pPr>
      <w:r>
        <w:rPr>
          <w:rFonts w:ascii="Arial" w:cs="Arial" w:eastAsia="Arial" w:hAnsi="Arial"/>
          <w:b/>
          <w:bCs/>
          <w:color w:val="FFFFFF"/>
          <w:sz w:val="28"/>
          <w:szCs w:val="28"/>
        </w:rPr>
        <w:t xml:space="preserve">ARTÍCULO 12 — DATOS PERSONALES Y RGPD</w:t>
      </w:r>
    </w:p>
    <w:p>
      <w:pPr>
        <w:spacing w:after="80" w:before="60"/>
        <w:jc w:val="both"/>
      </w:pPr>
      <w:r>
        <w:rPr>
          <w:rFonts w:ascii="Arial" w:cs="Arial" w:eastAsia="Arial" w:hAnsi="Arial"/>
          <w:color w:val="1A1A1A"/>
          <w:sz w:val="20"/>
          <w:szCs w:val="20"/>
        </w:rPr>
        <w:t xml:space="preserve">El tratamiento de datos personales en el marco del Servicio se rige por la Política de Privacidad de BrideALL (www.bride-all.com) y por el Acuerdo de Encargo de Tratamiento integrado en la Parte II.</w:t>
      </w:r>
    </w:p>
    <w:p>
      <w:pPr>
        <w:spacing w:after="80" w:before="60"/>
        <w:jc w:val="both"/>
      </w:pPr>
      <w:r>
        <w:rPr>
          <w:rFonts w:ascii="Arial" w:cs="Arial" w:eastAsia="Arial" w:hAnsi="Arial"/>
          <w:color w:val="1A1A1A"/>
          <w:sz w:val="20"/>
          <w:szCs w:val="20"/>
        </w:rPr>
        <w:t xml:space="preserve">Al aceptar las presentes CGCU, el Cliente acepta igualmente los términos del DPA (Parte II), satisfaciéndose así la exigencia del artículo 28 del RGPD y del artículo 28 de la LOPDGDD sin necesidad de documento separado.</w:t>
      </w:r>
    </w:p>
    <w:p>
      <w:pPr>
        <w:spacing w:after="60" w:before="60"/>
      </w:pPr>
      <w:r>
        <w:t xml:space="preserve"/>
      </w:r>
    </w:p>
    <w:p>
      <w:pPr>
        <w:pStyle w:val="Heading1"/>
        <w:shd w:fill="0891B2" w:val="clear"/>
        <w:spacing w:after="200" w:before="400"/>
        <w:ind w:left="200" w:right="200"/>
      </w:pPr>
      <w:r>
        <w:rPr>
          <w:rFonts w:ascii="Arial" w:cs="Arial" w:eastAsia="Arial" w:hAnsi="Arial"/>
          <w:b/>
          <w:bCs/>
          <w:color w:val="FFFFFF"/>
          <w:sz w:val="28"/>
          <w:szCs w:val="28"/>
        </w:rPr>
        <w:t xml:space="preserve">ARTÍCULO 13 — CONFIDENCIALIDAD</w:t>
      </w:r>
    </w:p>
    <w:p>
      <w:pPr>
        <w:spacing w:after="80" w:before="60"/>
        <w:jc w:val="both"/>
      </w:pPr>
      <w:r>
        <w:rPr>
          <w:rFonts w:ascii="Arial" w:cs="Arial" w:eastAsia="Arial" w:hAnsi="Arial"/>
          <w:color w:val="1A1A1A"/>
          <w:sz w:val="20"/>
          <w:szCs w:val="20"/>
        </w:rPr>
        <w:t xml:space="preserve">Cada Parte se compromete a tratar como estrictamente confidencial toda información de la otra Parte obtenida en el marco de la relación contractual, y a no divulgarla sin acuerdo previo por escrito. Esta obligación sobrevive a la resolución del contrato durante 3 años.</w:t>
      </w:r>
    </w:p>
    <w:p>
      <w:pPr>
        <w:spacing w:after="60" w:before="60"/>
      </w:pPr>
      <w:r>
        <w:t xml:space="preserve"/>
      </w:r>
    </w:p>
    <w:p>
      <w:pPr>
        <w:pStyle w:val="Heading1"/>
        <w:shd w:fill="0891B2" w:val="clear"/>
        <w:spacing w:after="200" w:before="400"/>
        <w:ind w:left="200" w:right="200"/>
      </w:pPr>
      <w:r>
        <w:rPr>
          <w:rFonts w:ascii="Arial" w:cs="Arial" w:eastAsia="Arial" w:hAnsi="Arial"/>
          <w:b/>
          <w:bCs/>
          <w:color w:val="FFFFFF"/>
          <w:sz w:val="28"/>
          <w:szCs w:val="28"/>
        </w:rPr>
        <w:t xml:space="preserve">ARTÍCULO 14 — FUERZA MAYOR</w:t>
      </w:r>
    </w:p>
    <w:p>
      <w:pPr>
        <w:spacing w:after="80" w:before="60"/>
        <w:jc w:val="both"/>
      </w:pPr>
      <w:r>
        <w:rPr>
          <w:rFonts w:ascii="Arial" w:cs="Arial" w:eastAsia="Arial" w:hAnsi="Arial"/>
          <w:color w:val="1A1A1A"/>
          <w:sz w:val="20"/>
          <w:szCs w:val="20"/>
        </w:rPr>
        <w:t xml:space="preserve">Ninguna de las Partes será responsable del incumplimiento de sus obligaciones debido a un caso de fuerza mayor (artículo 1105 del Código Civil español). La Parte afectada notificará a la otra a la mayor brevedad. Si el caso de fuerza mayor se prolonga más de 30 días, cualquiera de las Partes podrá resolver sin indemnización.</w:t>
      </w:r>
    </w:p>
    <w:p>
      <w:pPr>
        <w:spacing w:after="60" w:before="60"/>
      </w:pPr>
      <w:r>
        <w:t xml:space="preserve"/>
      </w:r>
    </w:p>
    <w:p>
      <w:pPr>
        <w:pStyle w:val="Heading1"/>
        <w:shd w:fill="0891B2" w:val="clear"/>
        <w:spacing w:after="200" w:before="400"/>
        <w:ind w:left="200" w:right="200"/>
      </w:pPr>
      <w:r>
        <w:rPr>
          <w:rFonts w:ascii="Arial" w:cs="Arial" w:eastAsia="Arial" w:hAnsi="Arial"/>
          <w:b/>
          <w:bCs/>
          <w:color w:val="FFFFFF"/>
          <w:sz w:val="28"/>
          <w:szCs w:val="28"/>
        </w:rPr>
        <w:t xml:space="preserve">ARTÍCULO 15 — DERECHO APLICABLE Y JURISDICCIÓN COMPETENTE</w:t>
      </w:r>
    </w:p>
    <w:p>
      <w:pPr>
        <w:spacing w:after="80" w:before="60"/>
        <w:jc w:val="both"/>
      </w:pPr>
      <w:r>
        <w:rPr>
          <w:rFonts w:ascii="Arial" w:cs="Arial" w:eastAsia="Arial" w:hAnsi="Arial"/>
          <w:color w:val="1A1A1A"/>
          <w:sz w:val="20"/>
          <w:szCs w:val="20"/>
        </w:rPr>
        <w:t xml:space="preserve">Las presentes CGCU se rigen por el derecho español. En caso de litigio, las Partes buscarán una solución amistosa en un plazo de 30 días naturales. A falta de acuerdo, competencia exclusiva de los Juzgados y Tribunales del domicilio social de BridalB2B SL (España), de conformidad con la Ley de Enjuiciamiento Civil (LEC).</w:t>
      </w:r>
    </w:p>
    <w:p>
      <w:pPr>
        <w:spacing w:after="60" w:before="60"/>
      </w:pPr>
      <w:r>
        <w:t xml:space="preserve"/>
      </w:r>
    </w:p>
    <w:p>
      <w:pPr>
        <w:pStyle w:val="Heading1"/>
        <w:shd w:fill="0891B2" w:val="clear"/>
        <w:spacing w:after="200" w:before="400"/>
        <w:ind w:left="200" w:right="200"/>
      </w:pPr>
      <w:r>
        <w:rPr>
          <w:rFonts w:ascii="Arial" w:cs="Arial" w:eastAsia="Arial" w:hAnsi="Arial"/>
          <w:b/>
          <w:bCs/>
          <w:color w:val="FFFFFF"/>
          <w:sz w:val="28"/>
          <w:szCs w:val="28"/>
        </w:rPr>
        <w:t xml:space="preserve">ARTÍCULO 16 — DISPOSICIONES GENERALES</w:t>
      </w:r>
    </w:p>
    <w:p>
      <w:pPr>
        <w:pStyle w:val="Heading2"/>
        <w:pBdr>
          <w:bottom w:val="single" w:color="0891B2" w:sz="4" w:space="1"/>
        </w:pBdr>
        <w:spacing w:after="120" w:before="300"/>
      </w:pPr>
      <w:r>
        <w:rPr>
          <w:rFonts w:ascii="Arial" w:cs="Arial" w:eastAsia="Arial" w:hAnsi="Arial"/>
          <w:b/>
          <w:bCs/>
          <w:color w:val="0891B2"/>
          <w:sz w:val="24"/>
          <w:szCs w:val="24"/>
        </w:rPr>
        <w:t xml:space="preserve">16.1 Integridad del contrato</w:t>
      </w:r>
    </w:p>
    <w:p>
      <w:pPr>
        <w:spacing w:after="80" w:before="60"/>
        <w:jc w:val="both"/>
      </w:pPr>
      <w:r>
        <w:rPr>
          <w:rFonts w:ascii="Arial" w:cs="Arial" w:eastAsia="Arial" w:hAnsi="Arial"/>
          <w:color w:val="1A1A1A"/>
          <w:sz w:val="20"/>
          <w:szCs w:val="20"/>
        </w:rPr>
        <w:t xml:space="preserve">Las presentes CGCU (Partes I y II) y la Política de Privacidad constituyen el acuerdo íntegro entre las Partes.</w:t>
      </w:r>
    </w:p>
    <w:p>
      <w:pPr>
        <w:pStyle w:val="Heading2"/>
        <w:pBdr>
          <w:bottom w:val="single" w:color="0891B2" w:sz="4" w:space="1"/>
        </w:pBdr>
        <w:spacing w:after="120" w:before="300"/>
      </w:pPr>
      <w:r>
        <w:rPr>
          <w:rFonts w:ascii="Arial" w:cs="Arial" w:eastAsia="Arial" w:hAnsi="Arial"/>
          <w:b/>
          <w:bCs/>
          <w:color w:val="0891B2"/>
          <w:sz w:val="24"/>
          <w:szCs w:val="24"/>
        </w:rPr>
        <w:t xml:space="preserve">16.2 Nulidad parcial</w:t>
      </w:r>
    </w:p>
    <w:p>
      <w:pPr>
        <w:spacing w:after="80" w:before="60"/>
        <w:jc w:val="both"/>
      </w:pPr>
      <w:r>
        <w:rPr>
          <w:rFonts w:ascii="Arial" w:cs="Arial" w:eastAsia="Arial" w:hAnsi="Arial"/>
          <w:color w:val="1A1A1A"/>
          <w:sz w:val="20"/>
          <w:szCs w:val="20"/>
        </w:rPr>
        <w:t xml:space="preserve">Si alguna cláusula fuera declarada nula o inaplicable, las demás cláusulas conservarán plena vigencia.</w:t>
      </w:r>
    </w:p>
    <w:p>
      <w:pPr>
        <w:pStyle w:val="Heading2"/>
        <w:pBdr>
          <w:bottom w:val="single" w:color="0891B2" w:sz="4" w:space="1"/>
        </w:pBdr>
        <w:spacing w:after="120" w:before="300"/>
      </w:pPr>
      <w:r>
        <w:rPr>
          <w:rFonts w:ascii="Arial" w:cs="Arial" w:eastAsia="Arial" w:hAnsi="Arial"/>
          <w:b/>
          <w:bCs/>
          <w:color w:val="0891B2"/>
          <w:sz w:val="24"/>
          <w:szCs w:val="24"/>
        </w:rPr>
        <w:t xml:space="preserve">16.3 Menciones legales</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c>
          <w:tcPr>
            <w:tcW w:type="dxa" w:w="2800"/>
            <w:tcBorders>
              <w:top w:val="single" w:color="CCCCCC" w:sz="1"/>
              <w:left w:val="single" w:color="CCCCCC" w:sz="1"/>
              <w:bottom w:val="single" w:color="CCCCCC" w:sz="1"/>
              <w:right w:val="single" w:color="CCCCCC" w:sz="1"/>
            </w:tcBorders>
            <w:shd w:fill="0891B2" w:val="clear"/>
            <w:tcMar>
              <w:top w:type="dxa" w:w="80"/>
              <w:left w:type="dxa" w:w="120"/>
              <w:bottom w:type="dxa" w:w="80"/>
              <w:right w:type="dxa" w:w="120"/>
            </w:tcMar>
          </w:tcPr>
          <w:p>
            <w:pPr>
              <w:spacing w:after="0" w:before="0"/>
            </w:pPr>
            <w:r>
              <w:rPr>
                <w:rFonts w:ascii="Arial" w:cs="Arial" w:eastAsia="Arial" w:hAnsi="Arial"/>
                <w:b/>
                <w:bCs/>
                <w:color w:val="FFFFFF"/>
                <w:sz w:val="19"/>
                <w:szCs w:val="19"/>
              </w:rPr>
              <w:t xml:space="preserve">Editor</w:t>
            </w:r>
          </w:p>
        </w:tc>
        <w:tc>
          <w:tcPr>
            <w:tcW w:type="dxa" w:w="6226"/>
            <w:tcBorders>
              <w:top w:val="single" w:color="CCCCCC" w:sz="1"/>
              <w:left w:val="single" w:color="CCCCCC" w:sz="1"/>
              <w:bottom w:val="single" w:color="CCCCCC" w:sz="1"/>
              <w:right w:val="single" w:color="CCCCCC" w:sz="1"/>
            </w:tcBorders>
            <w:shd w:fill="0891B2" w:val="clear"/>
            <w:tcMar>
              <w:top w:type="dxa" w:w="80"/>
              <w:left w:type="dxa" w:w="120"/>
              <w:bottom w:type="dxa" w:w="80"/>
              <w:right w:type="dxa" w:w="120"/>
            </w:tcMar>
          </w:tcPr>
          <w:p>
            <w:pPr>
              <w:spacing w:after="0" w:before="0"/>
            </w:pPr>
            <w:r>
              <w:rPr>
                <w:rFonts w:ascii="Arial" w:cs="Arial" w:eastAsia="Arial" w:hAnsi="Arial"/>
                <w:b/>
                <w:bCs/>
                <w:color w:val="FFFFFF"/>
                <w:sz w:val="19"/>
                <w:szCs w:val="19"/>
              </w:rPr>
              <w:t xml:space="preserve">BridalB2B SL</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CIF</w:t>
            </w:r>
          </w:p>
        </w:tc>
        <w:tc>
          <w:tcPr>
            <w:tcW w:type="dxa" w:w="6226"/>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ES67417485</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Domicilio social</w:t>
            </w:r>
          </w:p>
        </w:tc>
        <w:tc>
          <w:tcPr>
            <w:tcW w:type="dxa" w:w="6226"/>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[Dirección completa — a completar]</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Representante legal</w:t>
            </w:r>
          </w:p>
        </w:tc>
        <w:tc>
          <w:tcPr>
            <w:tcW w:type="dxa" w:w="6226"/>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[Nombre Apellidos, Cargo]</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Email</w:t>
            </w:r>
          </w:p>
        </w:tc>
        <w:tc>
          <w:tcPr>
            <w:tcW w:type="dxa" w:w="6226"/>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hello@bride-all.com</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Sitio web</w:t>
            </w:r>
          </w:p>
        </w:tc>
        <w:tc>
          <w:tcPr>
            <w:tcW w:type="dxa" w:w="6226"/>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www.bride-all.com</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Alojamiento</w:t>
            </w:r>
          </w:p>
        </w:tc>
        <w:tc>
          <w:tcPr>
            <w:tcW w:type="dxa" w:w="6226"/>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[Nombre proveedor — a completar]</w:t>
            </w:r>
          </w:p>
        </w:tc>
      </w:tr>
    </w:tbl>
    <w:p>
      <w:pPr>
        <w:spacing w:after="60" w:before="60"/>
      </w:pPr>
      <w:r>
        <w:t xml:space="preserve"/>
      </w:r>
    </w:p>
    <w:p>
      <w:pPr>
        <w:spacing w:after="0" w:before="0"/>
      </w:pPr>
      <w:r>
        <w:br w:type="page"/>
      </w:r>
    </w:p>
    <w:p>
      <w:pPr>
        <w:spacing w:after="200" w:before="200"/>
        <w:jc w:val="center"/>
      </w:pPr>
      <w:r>
        <w:rPr>
          <w:rFonts w:ascii="Arial" w:cs="Arial" w:eastAsia="Arial" w:hAnsi="Arial"/>
          <w:b/>
          <w:bCs/>
          <w:color w:val="534AB7"/>
          <w:sz w:val="36"/>
          <w:szCs w:val="36"/>
        </w:rPr>
        <w:t xml:space="preserve">PARTE II</w:t>
      </w:r>
    </w:p>
    <w:p>
      <w:pPr>
        <w:spacing w:after="100" w:before="0"/>
        <w:jc w:val="center"/>
      </w:pPr>
      <w:r>
        <w:rPr>
          <w:rFonts w:ascii="Arial" w:cs="Arial" w:eastAsia="Arial" w:hAnsi="Arial"/>
          <w:b/>
          <w:bCs/>
          <w:color w:val="1A1A1A"/>
          <w:sz w:val="28"/>
          <w:szCs w:val="28"/>
        </w:rPr>
        <w:t xml:space="preserve">ACUERDO DE ENCARGO DE TRATAMIENTO</w:t>
      </w:r>
    </w:p>
    <w:p>
      <w:pPr>
        <w:spacing w:after="100" w:before="0"/>
        <w:jc w:val="center"/>
      </w:pPr>
      <w:r>
        <w:rPr>
          <w:rFonts w:ascii="Arial" w:cs="Arial" w:eastAsia="Arial" w:hAnsi="Arial"/>
          <w:i/>
          <w:iCs/>
          <w:color w:val="534AB7"/>
          <w:sz w:val="24"/>
          <w:szCs w:val="24"/>
        </w:rPr>
        <w:t xml:space="preserve">Data Processing Agreement (DPA)</w:t>
      </w:r>
    </w:p>
    <w:p>
      <w:pPr>
        <w:spacing w:after="100" w:before="0"/>
        <w:jc w:val="center"/>
      </w:pPr>
      <w:r>
        <w:rPr>
          <w:rFonts w:ascii="Arial" w:cs="Arial" w:eastAsia="Arial" w:hAnsi="Arial"/>
          <w:color w:val="666666"/>
          <w:sz w:val="20"/>
          <w:szCs w:val="20"/>
        </w:rPr>
        <w:t xml:space="preserve">Conforme al artículo 28 RGPD (UE) 2016/679 y a la LOPDGDD (LO 3/2018)</w:t>
      </w:r>
    </w:p>
    <w:p>
      <w:pPr>
        <w:spacing w:after="400" w:before="0"/>
        <w:jc w:val="center"/>
      </w:pPr>
      <w:r>
        <w:rPr>
          <w:rFonts w:ascii="Arial" w:cs="Arial" w:eastAsia="Arial" w:hAnsi="Arial"/>
          <w:color w:val="888888"/>
          <w:sz w:val="19"/>
          <w:szCs w:val="19"/>
        </w:rPr>
        <w:t xml:space="preserve">Autoridad de control competente: AEPD — www.aepd.es</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CCCCCC" w:sz="1"/>
              <w:left w:val="single" w:color="534AB7" w:sz="8"/>
              <w:bottom w:val="single" w:color="CCCCCC" w:sz="1"/>
              <w:right w:val="none" w:color="FFFFFF" w:sz="0"/>
            </w:tcBorders>
            <w:shd w:fill="EEEDFE" w:val="clear"/>
            <w:tcMar>
              <w:top w:type="dxa" w:w="120"/>
              <w:left w:type="dxa" w:w="200"/>
              <w:bottom w:type="dxa" w:w="120"/>
              <w:right w:type="dxa" w:w="200"/>
            </w:tcMar>
          </w:tcPr>
          <w:p>
            <w:pPr>
              <w:spacing w:after="0" w:before="0"/>
            </w:pPr>
            <w:r>
              <w:rPr>
                <w:rFonts w:ascii="Arial" w:cs="Arial" w:eastAsia="Arial" w:hAnsi="Arial"/>
                <w:i/>
                <w:iCs/>
                <w:color w:val="3C3489"/>
                <w:sz w:val="20"/>
                <w:szCs w:val="20"/>
              </w:rPr>
              <w:t xml:space="preserve">La Parte II constituye el Acuerdo de Encargo de Tratamiento exigido por el artículo 28 del RGPD y el artículo 28 de la LOPDGDD. Al aceptar las presentes CGCU durante la creación de su cuenta, usted acepta igualmente los términos del presente DPA, satisfaciéndose así plenamente la exigencia legal sin necesidad de documento separado.</w:t>
            </w:r>
          </w:p>
        </w:tc>
      </w:tr>
    </w:tbl>
    <w:p>
      <w:pPr>
        <w:spacing w:after="60" w:before="60"/>
      </w:pPr>
      <w:r>
        <w:t xml:space="preserve"/>
      </w:r>
    </w:p>
    <w:p>
      <w:pPr>
        <w:pStyle w:val="Heading1"/>
        <w:shd w:fill="534AB7" w:val="clear"/>
        <w:spacing w:after="200" w:before="400"/>
        <w:ind w:left="200" w:right="200"/>
      </w:pPr>
      <w:r>
        <w:rPr>
          <w:rFonts w:ascii="Arial" w:cs="Arial" w:eastAsia="Arial" w:hAnsi="Arial"/>
          <w:b/>
          <w:bCs/>
          <w:color w:val="FFFFFF"/>
          <w:sz w:val="28"/>
          <w:szCs w:val="28"/>
        </w:rPr>
        <w:t xml:space="preserve">IDENTIFICACIÓN DE LAS PARTES</w:t>
      </w:r>
    </w:p>
    <w:p>
      <w:pPr>
        <w:spacing w:after="80" w:before="60"/>
        <w:jc w:val="both"/>
      </w:pPr>
      <w:r>
        <w:rPr>
          <w:rFonts w:ascii="Arial" w:cs="Arial" w:eastAsia="Arial" w:hAnsi="Arial"/>
          <w:color w:val="1A1A1A"/>
          <w:sz w:val="20"/>
          <w:szCs w:val="20"/>
        </w:rPr>
        <w:t xml:space="preserve">En el marco del presente DPA:</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00"/>
        <w:gridCol w:w="6226"/>
      </w:tblGrid>
      <w:tr>
        <w:tc>
          <w:tcPr>
            <w:tcW w:type="dxa" w:w="2800"/>
            <w:tcBorders>
              <w:top w:val="single" w:color="CCCCCC" w:sz="1"/>
              <w:left w:val="single" w:color="CCCCCC" w:sz="1"/>
              <w:bottom w:val="single" w:color="CCCCCC" w:sz="1"/>
              <w:right w:val="single" w:color="CCCCCC" w:sz="1"/>
            </w:tcBorders>
            <w:shd w:fill="534AB7" w:val="clear"/>
            <w:tcMar>
              <w:top w:type="dxa" w:w="80"/>
              <w:left w:type="dxa" w:w="120"/>
              <w:bottom w:type="dxa" w:w="80"/>
              <w:right w:type="dxa" w:w="120"/>
            </w:tcMar>
          </w:tcPr>
          <w:p>
            <w:pPr>
              <w:spacing w:after="0" w:before="0"/>
            </w:pPr>
            <w:r>
              <w:rPr>
                <w:rFonts w:ascii="Arial" w:cs="Arial" w:eastAsia="Arial" w:hAnsi="Arial"/>
                <w:b/>
                <w:bCs/>
                <w:color w:val="FFFFFF"/>
                <w:sz w:val="19"/>
                <w:szCs w:val="19"/>
              </w:rPr>
              <w:t xml:space="preserve">El Responsable del tratamiento</w:t>
            </w:r>
          </w:p>
        </w:tc>
        <w:tc>
          <w:tcPr>
            <w:tcW w:type="dxa" w:w="6226"/>
            <w:tcBorders>
              <w:top w:val="single" w:color="CCCCCC" w:sz="1"/>
              <w:left w:val="single" w:color="CCCCCC" w:sz="1"/>
              <w:bottom w:val="single" w:color="CCCCCC" w:sz="1"/>
              <w:right w:val="single" w:color="CCCCCC" w:sz="1"/>
            </w:tcBorders>
            <w:shd w:fill="534AB7" w:val="clear"/>
            <w:tcMar>
              <w:top w:type="dxa" w:w="80"/>
              <w:left w:type="dxa" w:w="120"/>
              <w:bottom w:type="dxa" w:w="80"/>
              <w:right w:type="dxa" w:w="120"/>
            </w:tcMar>
          </w:tcPr>
          <w:p>
            <w:pPr>
              <w:spacing w:after="0" w:before="0"/>
            </w:pPr>
            <w:r>
              <w:rPr>
                <w:rFonts w:ascii="Arial" w:cs="Arial" w:eastAsia="Arial" w:hAnsi="Arial"/>
                <w:b/>
                <w:bCs/>
                <w:color w:val="FFFFFF"/>
                <w:sz w:val="19"/>
                <w:szCs w:val="19"/>
              </w:rPr>
              <w:t xml:space="preserve">La Tienda (el Cliente), identificada por los datos facilitados en el momento de la creación de su Cuenta BrideALL.</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El Encargado del tratamiento</w:t>
            </w:r>
          </w:p>
        </w:tc>
        <w:tc>
          <w:tcPr>
            <w:tcW w:type="dxa" w:w="6226"/>
            <w:tcBorders>
              <w:top w:val="single" w:color="CCCCCC" w:sz="1"/>
              <w:left w:val="single" w:color="CCCCCC" w:sz="1"/>
              <w:bottom w:val="single" w:color="CCCCCC" w:sz="1"/>
              <w:right w:val="single" w:color="CCCCCC" w:sz="1"/>
            </w:tcBorders>
            <w:shd w:fill="EEEDFE" w:val="clear"/>
            <w:tcMar>
              <w:top w:type="dxa" w:w="80"/>
              <w:left w:type="dxa" w:w="120"/>
              <w:bottom w:type="dxa" w:w="80"/>
              <w:right w:type="dxa" w:w="120"/>
            </w:tcMar>
          </w:tcPr>
          <w:p>
            <w:pPr>
              <w:spacing w:after="0" w:before="0"/>
            </w:pPr>
            <w:r>
              <w:rPr>
                <w:rFonts w:ascii="Arial" w:cs="Arial" w:eastAsia="Arial" w:hAnsi="Arial"/>
                <w:b w:val="false"/>
                <w:bCs w:val="false"/>
                <w:color w:val="3C3489"/>
                <w:sz w:val="19"/>
                <w:szCs w:val="19"/>
              </w:rPr>
              <w:t xml:space="preserve">BridalB2B SL — CIF ES67417485 — hello@bride-all.com — www.bride-all.com</w:t>
            </w:r>
          </w:p>
        </w:tc>
      </w:tr>
    </w:tbl>
    <w:p>
      <w:pPr>
        <w:spacing w:after="60" w:before="60"/>
      </w:pPr>
      <w:r>
        <w:t xml:space="preserve"/>
      </w:r>
    </w:p>
    <w:p>
      <w:pPr>
        <w:pStyle w:val="Heading1"/>
        <w:shd w:fill="534AB7" w:val="clear"/>
        <w:spacing w:after="200" w:before="400"/>
        <w:ind w:left="200" w:right="200"/>
      </w:pPr>
      <w:r>
        <w:rPr>
          <w:rFonts w:ascii="Arial" w:cs="Arial" w:eastAsia="Arial" w:hAnsi="Arial"/>
          <w:b/>
          <w:bCs/>
          <w:color w:val="FFFFFF"/>
          <w:sz w:val="28"/>
          <w:szCs w:val="28"/>
        </w:rPr>
        <w:t xml:space="preserve">ARTÍCULO DPA-1 — OBJETO Y DURACIÓN</w:t>
      </w:r>
    </w:p>
    <w:p>
      <w:pPr>
        <w:spacing w:after="80" w:before="60"/>
        <w:jc w:val="both"/>
      </w:pPr>
      <w:r>
        <w:rPr>
          <w:rFonts w:ascii="Arial" w:cs="Arial" w:eastAsia="Arial" w:hAnsi="Arial"/>
          <w:color w:val="1A1A1A"/>
          <w:sz w:val="20"/>
          <w:szCs w:val="20"/>
        </w:rPr>
        <w:t xml:space="preserve">El presente Acuerdo define las condiciones en las que BridalB2B SL, en calidad de encargado del tratamiento, trata datos de carácter personal por cuenta de la Tienda, responsable del tratamiento, de conformidad con el artículo 28 del RGPD y el artículo 28 de la LOPDGDD.</w:t>
      </w:r>
    </w:p>
    <w:p>
      <w:pPr>
        <w:spacing w:after="80" w:before="60"/>
        <w:jc w:val="both"/>
      </w:pPr>
      <w:r>
        <w:rPr>
          <w:rFonts w:ascii="Arial" w:cs="Arial" w:eastAsia="Arial" w:hAnsi="Arial"/>
          <w:color w:val="1A1A1A"/>
          <w:sz w:val="20"/>
          <w:szCs w:val="20"/>
        </w:rPr>
        <w:t xml:space="preserve">Entra en vigor en la fecha de aceptación de las presentes CGCU y permanece vigente durante toda la duración de la suscripción. Finaliza automáticamente con la resolución del contrato, sin perjuicio de las obligaciones de restitución y supresión de datos.</w:t>
      </w:r>
    </w:p>
    <w:p>
      <w:pPr>
        <w:spacing w:after="60" w:before="60"/>
      </w:pPr>
      <w:r>
        <w:t xml:space="preserve"/>
      </w:r>
    </w:p>
    <w:p>
      <w:pPr>
        <w:pStyle w:val="Heading1"/>
        <w:shd w:fill="534AB7" w:val="clear"/>
        <w:spacing w:after="200" w:before="400"/>
        <w:ind w:left="200" w:right="200"/>
      </w:pPr>
      <w:r>
        <w:rPr>
          <w:rFonts w:ascii="Arial" w:cs="Arial" w:eastAsia="Arial" w:hAnsi="Arial"/>
          <w:b/>
          <w:bCs/>
          <w:color w:val="FFFFFF"/>
          <w:sz w:val="28"/>
          <w:szCs w:val="28"/>
        </w:rPr>
        <w:t xml:space="preserve">ARTÍCULO DPA-2 — NATURALEZA Y FINALIDADES DE LOS TRATAMIENTOS</w:t>
      </w:r>
    </w:p>
    <w:p>
      <w:pPr>
        <w:spacing w:after="80" w:before="60"/>
        <w:jc w:val="both"/>
      </w:pPr>
      <w:r>
        <w:rPr>
          <w:rFonts w:ascii="Arial" w:cs="Arial" w:eastAsia="Arial" w:hAnsi="Arial"/>
          <w:color w:val="1A1A1A"/>
          <w:sz w:val="20"/>
          <w:szCs w:val="20"/>
        </w:rPr>
        <w:t xml:space="preserve">BridalB2B SL trata los datos exclusivamente para las siguientes finalidades, por cuenta de la Tienda:</w:t>
      </w:r>
    </w:p>
    <w:p>
      <w:pPr>
        <w:pStyle w:val="ListParagraph"/>
        <w:numPr>
          <w:ilvl w:val="0"/>
          <w:numId w:val="2"/>
        </w:numPr>
        <w:spacing w:after="40" w:before="40"/>
      </w:pPr>
      <w:r>
        <w:rPr>
          <w:rFonts w:ascii="Arial" w:cs="Arial" w:eastAsia="Arial" w:hAnsi="Arial"/>
          <w:color w:val="1A1A1A"/>
          <w:sz w:val="20"/>
          <w:szCs w:val="20"/>
        </w:rPr>
        <w:t xml:space="preserve">Gestión de citas: recogida vía formulario en línea (nombre, apellidos, email, teléfono, fecha y motivo);</w:t>
      </w:r>
    </w:p>
    <w:p>
      <w:pPr>
        <w:pStyle w:val="ListParagraph"/>
        <w:numPr>
          <w:ilvl w:val="0"/>
          <w:numId w:val="2"/>
        </w:numPr>
        <w:spacing w:after="40" w:before="40"/>
      </w:pPr>
      <w:r>
        <w:rPr>
          <w:rFonts w:ascii="Arial" w:cs="Arial" w:eastAsia="Arial" w:hAnsi="Arial"/>
          <w:color w:val="1A1A1A"/>
          <w:sz w:val="20"/>
          <w:szCs w:val="20"/>
        </w:rPr>
        <w:t xml:space="preserve">Comunicaciones transaccionales: confirmaciones y recordatorios de cita por email, SMS y WhatsApp;</w:t>
      </w:r>
    </w:p>
    <w:p>
      <w:pPr>
        <w:pStyle w:val="ListParagraph"/>
        <w:numPr>
          <w:ilvl w:val="0"/>
          <w:numId w:val="2"/>
        </w:numPr>
        <w:spacing w:after="40" w:before="40"/>
      </w:pPr>
      <w:r>
        <w:rPr>
          <w:rFonts w:ascii="Arial" w:cs="Arial" w:eastAsia="Arial" w:hAnsi="Arial"/>
          <w:color w:val="1A1A1A"/>
          <w:sz w:val="20"/>
          <w:szCs w:val="20"/>
        </w:rPr>
        <w:t xml:space="preserve">Gestión del CRM de clientas: fichas de clientas, historial de compras y citas;</w:t>
      </w:r>
    </w:p>
    <w:p>
      <w:pPr>
        <w:pStyle w:val="ListParagraph"/>
        <w:numPr>
          <w:ilvl w:val="0"/>
          <w:numId w:val="2"/>
        </w:numPr>
        <w:spacing w:after="40" w:before="40"/>
      </w:pPr>
      <w:r>
        <w:rPr>
          <w:rFonts w:ascii="Arial" w:cs="Arial" w:eastAsia="Arial" w:hAnsi="Arial"/>
          <w:color w:val="1A1A1A"/>
          <w:sz w:val="20"/>
          <w:szCs w:val="20"/>
        </w:rPr>
        <w:t xml:space="preserve">Gestión del inventario y facturación: registro de transacciones;</w:t>
      </w:r>
    </w:p>
    <w:p>
      <w:pPr>
        <w:pStyle w:val="ListParagraph"/>
        <w:numPr>
          <w:ilvl w:val="0"/>
          <w:numId w:val="2"/>
        </w:numPr>
        <w:spacing w:after="40" w:before="40"/>
      </w:pPr>
      <w:r>
        <w:rPr>
          <w:rFonts w:ascii="Arial" w:cs="Arial" w:eastAsia="Arial" w:hAnsi="Arial"/>
          <w:color w:val="1A1A1A"/>
          <w:sz w:val="20"/>
          <w:szCs w:val="20"/>
        </w:rPr>
        <w:t xml:space="preserve">Comunicaciones de marketing (si las activa la Tienda): envío a clientas que hayan consentido.</w:t>
      </w:r>
    </w:p>
    <w:p>
      <w:pPr>
        <w:spacing w:after="60" w:before="60"/>
      </w:pPr>
      <w:r>
        <w:t xml:space="preserve"/>
      </w:r>
    </w:p>
    <w:p>
      <w:pPr>
        <w:spacing w:after="80" w:before="60"/>
        <w:jc w:val="both"/>
      </w:pPr>
      <w:r>
        <w:rPr>
          <w:rFonts w:ascii="Arial" w:cs="Arial" w:eastAsia="Arial" w:hAnsi="Arial"/>
          <w:color w:val="1A1A1A"/>
          <w:sz w:val="20"/>
          <w:szCs w:val="20"/>
        </w:rPr>
        <w:t xml:space="preserve">BridalB2B SL queda expresamente prohibida de tratar los datos para finalidades propias.</w:t>
      </w:r>
    </w:p>
    <w:p>
      <w:pPr>
        <w:spacing w:after="60" w:before="60"/>
      </w:pPr>
      <w:r>
        <w:t xml:space="preserve"/>
      </w:r>
    </w:p>
    <w:p>
      <w:pPr>
        <w:pStyle w:val="Heading1"/>
        <w:shd w:fill="534AB7" w:val="clear"/>
        <w:spacing w:after="200" w:before="400"/>
        <w:ind w:left="200" w:right="200"/>
      </w:pPr>
      <w:r>
        <w:rPr>
          <w:rFonts w:ascii="Arial" w:cs="Arial" w:eastAsia="Arial" w:hAnsi="Arial"/>
          <w:b/>
          <w:bCs/>
          <w:color w:val="FFFFFF"/>
          <w:sz w:val="28"/>
          <w:szCs w:val="28"/>
        </w:rPr>
        <w:t xml:space="preserve">ARTÍCULO DPA-3 — CATEGORÍAS DE DATOS Y PERSONAS CONCERNIDAS</w:t>
      </w:r>
    </w:p>
    <w:p>
      <w:pPr>
        <w:pStyle w:val="Heading2"/>
        <w:pBdr>
          <w:bottom w:val="single" w:color="534AB7" w:sz="4" w:space="1"/>
        </w:pBdr>
        <w:spacing w:after="120" w:before="300"/>
      </w:pPr>
      <w:r>
        <w:rPr>
          <w:rFonts w:ascii="Arial" w:cs="Arial" w:eastAsia="Arial" w:hAnsi="Arial"/>
          <w:b/>
          <w:bCs/>
          <w:color w:val="534AB7"/>
          <w:sz w:val="24"/>
          <w:szCs w:val="24"/>
        </w:rPr>
        <w:t xml:space="preserve">DPA-3.1 Personas concernidas</w:t>
      </w:r>
    </w:p>
    <w:p>
      <w:pPr>
        <w:pStyle w:val="ListParagraph"/>
        <w:numPr>
          <w:ilvl w:val="0"/>
          <w:numId w:val="2"/>
        </w:numPr>
        <w:spacing w:after="40" w:before="40"/>
      </w:pPr>
      <w:r>
        <w:rPr>
          <w:rFonts w:ascii="Arial" w:cs="Arial" w:eastAsia="Arial" w:hAnsi="Arial"/>
          <w:color w:val="1A1A1A"/>
          <w:sz w:val="20"/>
          <w:szCs w:val="20"/>
        </w:rPr>
        <w:t xml:space="preserve">Clientas y potenciales clientas de la Tienda (personas físicas mayores de edad);</w:t>
      </w:r>
    </w:p>
    <w:p>
      <w:pPr>
        <w:pStyle w:val="ListParagraph"/>
        <w:numPr>
          <w:ilvl w:val="0"/>
          <w:numId w:val="2"/>
        </w:numPr>
        <w:spacing w:after="40" w:before="40"/>
      </w:pPr>
      <w:r>
        <w:rPr>
          <w:rFonts w:ascii="Arial" w:cs="Arial" w:eastAsia="Arial" w:hAnsi="Arial"/>
          <w:color w:val="1A1A1A"/>
          <w:sz w:val="20"/>
          <w:szCs w:val="20"/>
        </w:rPr>
        <w:t xml:space="preserve">Contactos comerciales de la Tienda, en su caso.</w:t>
      </w:r>
    </w:p>
    <w:p>
      <w:pPr>
        <w:pStyle w:val="Heading2"/>
        <w:pBdr>
          <w:bottom w:val="single" w:color="534AB7" w:sz="4" w:space="1"/>
        </w:pBdr>
        <w:spacing w:after="120" w:before="300"/>
      </w:pPr>
      <w:r>
        <w:rPr>
          <w:rFonts w:ascii="Arial" w:cs="Arial" w:eastAsia="Arial" w:hAnsi="Arial"/>
          <w:b/>
          <w:bCs/>
          <w:color w:val="534AB7"/>
          <w:sz w:val="24"/>
          <w:szCs w:val="24"/>
        </w:rPr>
        <w:t xml:space="preserve">DPA-3.2 Categorías de datos tratados</w:t>
      </w:r>
    </w:p>
    <w:p>
      <w:pPr>
        <w:pStyle w:val="ListParagraph"/>
        <w:numPr>
          <w:ilvl w:val="0"/>
          <w:numId w:val="2"/>
        </w:numPr>
        <w:spacing w:after="40" w:before="40"/>
      </w:pPr>
      <w:r>
        <w:rPr>
          <w:rFonts w:ascii="Arial" w:cs="Arial" w:eastAsia="Arial" w:hAnsi="Arial"/>
          <w:color w:val="1A1A1A"/>
          <w:sz w:val="20"/>
          <w:szCs w:val="20"/>
        </w:rPr>
        <w:t xml:space="preserve">Datos identificativos: nombre y apellidos;</w:t>
      </w:r>
    </w:p>
    <w:p>
      <w:pPr>
        <w:pStyle w:val="ListParagraph"/>
        <w:numPr>
          <w:ilvl w:val="0"/>
          <w:numId w:val="2"/>
        </w:numPr>
        <w:spacing w:after="40" w:before="40"/>
      </w:pPr>
      <w:r>
        <w:rPr>
          <w:rFonts w:ascii="Arial" w:cs="Arial" w:eastAsia="Arial" w:hAnsi="Arial"/>
          <w:color w:val="1A1A1A"/>
          <w:sz w:val="20"/>
          <w:szCs w:val="20"/>
        </w:rPr>
        <w:t xml:space="preserve">Datos de contacto: dirección de correo electrónico, número de teléfono;</w:t>
      </w:r>
    </w:p>
    <w:p>
      <w:pPr>
        <w:pStyle w:val="ListParagraph"/>
        <w:numPr>
          <w:ilvl w:val="0"/>
          <w:numId w:val="2"/>
        </w:numPr>
        <w:spacing w:after="40" w:before="40"/>
      </w:pPr>
      <w:r>
        <w:rPr>
          <w:rFonts w:ascii="Arial" w:cs="Arial" w:eastAsia="Arial" w:hAnsi="Arial"/>
          <w:color w:val="1A1A1A"/>
          <w:sz w:val="20"/>
          <w:szCs w:val="20"/>
        </w:rPr>
        <w:t xml:space="preserve">Datos de cita: fecha, hora, tipo de servicio, comentarios;</w:t>
      </w:r>
    </w:p>
    <w:p>
      <w:pPr>
        <w:pStyle w:val="ListParagraph"/>
        <w:numPr>
          <w:ilvl w:val="0"/>
          <w:numId w:val="2"/>
        </w:numPr>
        <w:spacing w:after="40" w:before="40"/>
      </w:pPr>
      <w:r>
        <w:rPr>
          <w:rFonts w:ascii="Arial" w:cs="Arial" w:eastAsia="Arial" w:hAnsi="Arial"/>
          <w:color w:val="1A1A1A"/>
          <w:sz w:val="20"/>
          <w:szCs w:val="20"/>
        </w:rPr>
        <w:t xml:space="preserve">Datos comerciales: artículos probados, pedidos, importes, modalidades de pago;</w:t>
      </w:r>
    </w:p>
    <w:p>
      <w:pPr>
        <w:pStyle w:val="ListParagraph"/>
        <w:numPr>
          <w:ilvl w:val="0"/>
          <w:numId w:val="2"/>
        </w:numPr>
        <w:spacing w:after="40" w:before="40"/>
      </w:pPr>
      <w:r>
        <w:rPr>
          <w:rFonts w:ascii="Arial" w:cs="Arial" w:eastAsia="Arial" w:hAnsi="Arial"/>
          <w:color w:val="1A1A1A"/>
          <w:sz w:val="20"/>
          <w:szCs w:val="20"/>
        </w:rPr>
        <w:t xml:space="preserve">Datos de comunicación: historial de correos, SMS y mensajes de WhatsApp;</w:t>
      </w:r>
    </w:p>
    <w:p>
      <w:pPr>
        <w:pStyle w:val="ListParagraph"/>
        <w:numPr>
          <w:ilvl w:val="0"/>
          <w:numId w:val="2"/>
        </w:numPr>
        <w:spacing w:after="40" w:before="40"/>
      </w:pPr>
      <w:r>
        <w:rPr>
          <w:rFonts w:ascii="Arial" w:cs="Arial" w:eastAsia="Arial" w:hAnsi="Arial"/>
          <w:color w:val="1A1A1A"/>
          <w:sz w:val="20"/>
          <w:szCs w:val="20"/>
        </w:rPr>
        <w:t xml:space="preserve">Datos técnicos: dirección IP en el momento del envío del formulario en línea.</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CCCCCC" w:sz="1"/>
              <w:left w:val="single" w:color="534AB7" w:sz="8"/>
              <w:bottom w:val="single" w:color="CCCCCC" w:sz="1"/>
              <w:right w:val="none" w:color="FFFFFF" w:sz="0"/>
            </w:tcBorders>
            <w:shd w:fill="EEEDFE" w:val="clear"/>
            <w:tcMar>
              <w:top w:type="dxa" w:w="120"/>
              <w:left w:type="dxa" w:w="200"/>
              <w:bottom w:type="dxa" w:w="120"/>
              <w:right w:type="dxa" w:w="200"/>
            </w:tcMar>
          </w:tcPr>
          <w:p>
            <w:pPr>
              <w:spacing w:after="0" w:before="0"/>
            </w:pPr>
            <w:r>
              <w:rPr>
                <w:rFonts w:ascii="Arial" w:cs="Arial" w:eastAsia="Arial" w:hAnsi="Arial"/>
                <w:i/>
                <w:iCs/>
                <w:color w:val="3C3489"/>
                <w:sz w:val="20"/>
                <w:szCs w:val="20"/>
              </w:rPr>
              <w:t xml:space="preserve">BrideALL no trata datos de categorías especiales según el artículo 9 del RGPD. La Tienda se compromete a no introducir dichos datos en los campos de texto libre del software.</w:t>
            </w:r>
          </w:p>
        </w:tc>
      </w:tr>
    </w:tbl>
    <w:p>
      <w:pPr>
        <w:spacing w:after="60" w:before="60"/>
      </w:pPr>
      <w:r>
        <w:t xml:space="preserve"/>
      </w:r>
    </w:p>
    <w:p>
      <w:pPr>
        <w:pStyle w:val="Heading1"/>
        <w:shd w:fill="534AB7" w:val="clear"/>
        <w:spacing w:after="200" w:before="400"/>
        <w:ind w:left="200" w:right="200"/>
      </w:pPr>
      <w:r>
        <w:rPr>
          <w:rFonts w:ascii="Arial" w:cs="Arial" w:eastAsia="Arial" w:hAnsi="Arial"/>
          <w:b/>
          <w:bCs/>
          <w:color w:val="FFFFFF"/>
          <w:sz w:val="28"/>
          <w:szCs w:val="28"/>
        </w:rPr>
        <w:t xml:space="preserve">ARTÍCULO DPA-4 — OBLIGACIONES DE BRIDEALL (ENCARGADO)</w:t>
      </w:r>
    </w:p>
    <w:p>
      <w:pPr>
        <w:spacing w:after="80" w:before="60"/>
        <w:jc w:val="both"/>
      </w:pPr>
      <w:r>
        <w:rPr>
          <w:rFonts w:ascii="Arial" w:cs="Arial" w:eastAsia="Arial" w:hAnsi="Arial"/>
          <w:color w:val="1A1A1A"/>
          <w:sz w:val="20"/>
          <w:szCs w:val="20"/>
        </w:rPr>
        <w:t xml:space="preserve">BridalB2B SL se compromete a:</w:t>
      </w:r>
    </w:p>
    <w:p>
      <w:pPr>
        <w:pStyle w:val="ListParagraph"/>
        <w:numPr>
          <w:ilvl w:val="0"/>
          <w:numId w:val="2"/>
        </w:numPr>
        <w:spacing w:after="40" w:before="40"/>
      </w:pPr>
      <w:r>
        <w:rPr>
          <w:rFonts w:ascii="Arial" w:cs="Arial" w:eastAsia="Arial" w:hAnsi="Arial"/>
          <w:color w:val="1A1A1A"/>
          <w:sz w:val="20"/>
          <w:szCs w:val="20"/>
        </w:rPr>
        <w:t xml:space="preserve">Tratar los datos únicamente conforme a las instrucciones documentadas de la Tienda;</w:t>
      </w:r>
    </w:p>
    <w:p>
      <w:pPr>
        <w:pStyle w:val="ListParagraph"/>
        <w:numPr>
          <w:ilvl w:val="0"/>
          <w:numId w:val="2"/>
        </w:numPr>
        <w:spacing w:after="40" w:before="40"/>
      </w:pPr>
      <w:r>
        <w:rPr>
          <w:rFonts w:ascii="Arial" w:cs="Arial" w:eastAsia="Arial" w:hAnsi="Arial"/>
          <w:color w:val="1A1A1A"/>
          <w:sz w:val="20"/>
          <w:szCs w:val="20"/>
        </w:rPr>
        <w:t xml:space="preserve">Garantizar la confidencialidad de los datos mediante acuerdos contractuales con su personal;</w:t>
      </w:r>
    </w:p>
    <w:p>
      <w:pPr>
        <w:pStyle w:val="ListParagraph"/>
        <w:numPr>
          <w:ilvl w:val="0"/>
          <w:numId w:val="2"/>
        </w:numPr>
        <w:spacing w:after="40" w:before="40"/>
      </w:pPr>
      <w:r>
        <w:rPr>
          <w:rFonts w:ascii="Arial" w:cs="Arial" w:eastAsia="Arial" w:hAnsi="Arial"/>
          <w:color w:val="1A1A1A"/>
          <w:sz w:val="20"/>
          <w:szCs w:val="20"/>
        </w:rPr>
        <w:t xml:space="preserve">Implementar las medidas de seguridad detalladas en el Artículo DPA-6;</w:t>
      </w:r>
    </w:p>
    <w:p>
      <w:pPr>
        <w:pStyle w:val="ListParagraph"/>
        <w:numPr>
          <w:ilvl w:val="0"/>
          <w:numId w:val="2"/>
        </w:numPr>
        <w:spacing w:after="40" w:before="40"/>
      </w:pPr>
      <w:r>
        <w:rPr>
          <w:rFonts w:ascii="Arial" w:cs="Arial" w:eastAsia="Arial" w:hAnsi="Arial"/>
          <w:color w:val="1A1A1A"/>
          <w:sz w:val="20"/>
          <w:szCs w:val="20"/>
        </w:rPr>
        <w:t xml:space="preserve">No recurrir a subencargados sin autorización previa, salvo los listados en el Artículo DPA-7;</w:t>
      </w:r>
    </w:p>
    <w:p>
      <w:pPr>
        <w:pStyle w:val="ListParagraph"/>
        <w:numPr>
          <w:ilvl w:val="0"/>
          <w:numId w:val="2"/>
        </w:numPr>
        <w:spacing w:after="40" w:before="40"/>
      </w:pPr>
      <w:r>
        <w:rPr>
          <w:rFonts w:ascii="Arial" w:cs="Arial" w:eastAsia="Arial" w:hAnsi="Arial"/>
          <w:color w:val="1A1A1A"/>
          <w:sz w:val="20"/>
          <w:szCs w:val="20"/>
        </w:rPr>
        <w:t xml:space="preserve">Asistir a la Tienda en el ejercicio de derechos de los interesados en un plazo de 72 horas;</w:t>
      </w:r>
    </w:p>
    <w:p>
      <w:pPr>
        <w:pStyle w:val="ListParagraph"/>
        <w:numPr>
          <w:ilvl w:val="0"/>
          <w:numId w:val="2"/>
        </w:numPr>
        <w:spacing w:after="40" w:before="40"/>
      </w:pPr>
      <w:r>
        <w:rPr>
          <w:rFonts w:ascii="Arial" w:cs="Arial" w:eastAsia="Arial" w:hAnsi="Arial"/>
          <w:color w:val="1A1A1A"/>
          <w:sz w:val="20"/>
          <w:szCs w:val="20"/>
        </w:rPr>
        <w:t xml:space="preserve">Notificar a la Tienda cualquier violación de datos en las 24 horas siguientes a su conocimiento;</w:t>
      </w:r>
    </w:p>
    <w:p>
      <w:pPr>
        <w:pStyle w:val="ListParagraph"/>
        <w:numPr>
          <w:ilvl w:val="0"/>
          <w:numId w:val="2"/>
        </w:numPr>
        <w:spacing w:after="40" w:before="40"/>
      </w:pPr>
      <w:r>
        <w:rPr>
          <w:rFonts w:ascii="Arial" w:cs="Arial" w:eastAsia="Arial" w:hAnsi="Arial"/>
          <w:color w:val="1A1A1A"/>
          <w:sz w:val="20"/>
          <w:szCs w:val="20"/>
        </w:rPr>
        <w:t xml:space="preserve">Suprimir o restituir todos los datos al finalizar el contrato, conforme al Artículo DPA-10.</w:t>
      </w:r>
    </w:p>
    <w:p>
      <w:pPr>
        <w:spacing w:after="60" w:before="60"/>
      </w:pPr>
      <w:r>
        <w:t xml:space="preserve"/>
      </w:r>
    </w:p>
    <w:p>
      <w:pPr>
        <w:pStyle w:val="Heading1"/>
        <w:shd w:fill="534AB7" w:val="clear"/>
        <w:spacing w:after="200" w:before="400"/>
        <w:ind w:left="200" w:right="200"/>
      </w:pPr>
      <w:r>
        <w:rPr>
          <w:rFonts w:ascii="Arial" w:cs="Arial" w:eastAsia="Arial" w:hAnsi="Arial"/>
          <w:b/>
          <w:bCs/>
          <w:color w:val="FFFFFF"/>
          <w:sz w:val="28"/>
          <w:szCs w:val="28"/>
        </w:rPr>
        <w:t xml:space="preserve">ARTÍCULO DPA-5 — OBLIGACIONES DE LA TIENDA (RESPONSABLE)</w:t>
      </w:r>
    </w:p>
    <w:p>
      <w:pPr>
        <w:spacing w:after="80" w:before="60"/>
        <w:jc w:val="both"/>
      </w:pPr>
      <w:r>
        <w:rPr>
          <w:rFonts w:ascii="Arial" w:cs="Arial" w:eastAsia="Arial" w:hAnsi="Arial"/>
          <w:color w:val="1A1A1A"/>
          <w:sz w:val="20"/>
          <w:szCs w:val="20"/>
        </w:rPr>
        <w:t xml:space="preserve">La Tienda se compromete a:</w:t>
      </w:r>
    </w:p>
    <w:p>
      <w:pPr>
        <w:pStyle w:val="ListParagraph"/>
        <w:numPr>
          <w:ilvl w:val="0"/>
          <w:numId w:val="2"/>
        </w:numPr>
        <w:spacing w:after="40" w:before="40"/>
      </w:pPr>
      <w:r>
        <w:rPr>
          <w:rFonts w:ascii="Arial" w:cs="Arial" w:eastAsia="Arial" w:hAnsi="Arial"/>
          <w:color w:val="1A1A1A"/>
          <w:sz w:val="20"/>
          <w:szCs w:val="20"/>
        </w:rPr>
        <w:t xml:space="preserve">Facilitar únicamente los datos necesarios (principio de minimización, art. 5 RGPD);</w:t>
      </w:r>
    </w:p>
    <w:p>
      <w:pPr>
        <w:pStyle w:val="ListParagraph"/>
        <w:numPr>
          <w:ilvl w:val="0"/>
          <w:numId w:val="2"/>
        </w:numPr>
        <w:spacing w:after="40" w:before="40"/>
      </w:pPr>
      <w:r>
        <w:rPr>
          <w:rFonts w:ascii="Arial" w:cs="Arial" w:eastAsia="Arial" w:hAnsi="Arial"/>
          <w:color w:val="1A1A1A"/>
          <w:sz w:val="20"/>
          <w:szCs w:val="20"/>
        </w:rPr>
        <w:t xml:space="preserve">Garantizar que los interesados han sido informados del tratamiento (arts. 13 y 14 RGPD);</w:t>
      </w:r>
    </w:p>
    <w:p>
      <w:pPr>
        <w:pStyle w:val="ListParagraph"/>
        <w:numPr>
          <w:ilvl w:val="0"/>
          <w:numId w:val="2"/>
        </w:numPr>
        <w:spacing w:after="40" w:before="40"/>
      </w:pPr>
      <w:r>
        <w:rPr>
          <w:rFonts w:ascii="Arial" w:cs="Arial" w:eastAsia="Arial" w:hAnsi="Arial"/>
          <w:color w:val="1A1A1A"/>
          <w:sz w:val="20"/>
          <w:szCs w:val="20"/>
        </w:rPr>
        <w:t xml:space="preserve">Recabar los consentimientos necesarios (marketing, SMS, WhatsApp) conforme a la LOPDGDD y la LSSI;</w:t>
      </w:r>
    </w:p>
    <w:p>
      <w:pPr>
        <w:pStyle w:val="ListParagraph"/>
        <w:numPr>
          <w:ilvl w:val="0"/>
          <w:numId w:val="2"/>
        </w:numPr>
        <w:spacing w:after="40" w:before="40"/>
      </w:pPr>
      <w:r>
        <w:rPr>
          <w:rFonts w:ascii="Arial" w:cs="Arial" w:eastAsia="Arial" w:hAnsi="Arial"/>
          <w:color w:val="1A1A1A"/>
          <w:sz w:val="20"/>
          <w:szCs w:val="20"/>
        </w:rPr>
        <w:t xml:space="preserve">Notificar a BrideALL cualquier solicitud de ejercicio de derechos recibida;</w:t>
      </w:r>
    </w:p>
    <w:p>
      <w:pPr>
        <w:pStyle w:val="ListParagraph"/>
        <w:numPr>
          <w:ilvl w:val="0"/>
          <w:numId w:val="2"/>
        </w:numPr>
        <w:spacing w:after="40" w:before="40"/>
      </w:pPr>
      <w:r>
        <w:rPr>
          <w:rFonts w:ascii="Arial" w:cs="Arial" w:eastAsia="Arial" w:hAnsi="Arial"/>
          <w:color w:val="1A1A1A"/>
          <w:sz w:val="20"/>
          <w:szCs w:val="20"/>
        </w:rPr>
        <w:t xml:space="preserve">Mantener su propio registro de actividades de tratamiento (art. 30 RGPD).</w:t>
      </w:r>
    </w:p>
    <w:p>
      <w:pPr>
        <w:spacing w:after="60" w:before="60"/>
      </w:pPr>
      <w:r>
        <w:t xml:space="preserve"/>
      </w:r>
    </w:p>
    <w:p>
      <w:pPr>
        <w:pStyle w:val="Heading1"/>
        <w:shd w:fill="534AB7" w:val="clear"/>
        <w:spacing w:after="200" w:before="400"/>
        <w:ind w:left="200" w:right="200"/>
      </w:pPr>
      <w:r>
        <w:rPr>
          <w:rFonts w:ascii="Arial" w:cs="Arial" w:eastAsia="Arial" w:hAnsi="Arial"/>
          <w:b/>
          <w:bCs/>
          <w:color w:val="FFFFFF"/>
          <w:sz w:val="28"/>
          <w:szCs w:val="28"/>
        </w:rPr>
        <w:t xml:space="preserve">ARTÍCULO DPA-6 — MEDIDAS DE SEGURIDAD</w:t>
      </w:r>
    </w:p>
    <w:p>
      <w:pPr>
        <w:pStyle w:val="Heading2"/>
        <w:pBdr>
          <w:bottom w:val="single" w:color="534AB7" w:sz="4" w:space="1"/>
        </w:pBdr>
        <w:spacing w:after="120" w:before="300"/>
      </w:pPr>
      <w:r>
        <w:rPr>
          <w:rFonts w:ascii="Arial" w:cs="Arial" w:eastAsia="Arial" w:hAnsi="Arial"/>
          <w:b/>
          <w:bCs/>
          <w:color w:val="534AB7"/>
          <w:sz w:val="24"/>
          <w:szCs w:val="24"/>
        </w:rPr>
        <w:t xml:space="preserve">Medidas técnicas</w:t>
      </w:r>
    </w:p>
    <w:p>
      <w:pPr>
        <w:pStyle w:val="ListParagraph"/>
        <w:numPr>
          <w:ilvl w:val="0"/>
          <w:numId w:val="2"/>
        </w:numPr>
        <w:spacing w:after="40" w:before="40"/>
      </w:pPr>
      <w:r>
        <w:rPr>
          <w:rFonts w:ascii="Arial" w:cs="Arial" w:eastAsia="Arial" w:hAnsi="Arial"/>
          <w:color w:val="1A1A1A"/>
          <w:sz w:val="20"/>
          <w:szCs w:val="20"/>
        </w:rPr>
        <w:t xml:space="preserve">Cifrado de datos en tránsito (TLS 1.2 mínimo) y en reposo (AES-256);</w:t>
      </w:r>
    </w:p>
    <w:p>
      <w:pPr>
        <w:pStyle w:val="ListParagraph"/>
        <w:numPr>
          <w:ilvl w:val="0"/>
          <w:numId w:val="2"/>
        </w:numPr>
        <w:spacing w:after="40" w:before="40"/>
      </w:pPr>
      <w:r>
        <w:rPr>
          <w:rFonts w:ascii="Arial" w:cs="Arial" w:eastAsia="Arial" w:hAnsi="Arial"/>
          <w:color w:val="1A1A1A"/>
          <w:sz w:val="20"/>
          <w:szCs w:val="20"/>
        </w:rPr>
        <w:t xml:space="preserve">Autenticación de doble factor (2FA) disponible para cuentas administradoras;</w:t>
      </w:r>
    </w:p>
    <w:p>
      <w:pPr>
        <w:pStyle w:val="ListParagraph"/>
        <w:numPr>
          <w:ilvl w:val="0"/>
          <w:numId w:val="2"/>
        </w:numPr>
        <w:spacing w:after="40" w:before="40"/>
      </w:pPr>
      <w:r>
        <w:rPr>
          <w:rFonts w:ascii="Arial" w:cs="Arial" w:eastAsia="Arial" w:hAnsi="Arial"/>
          <w:color w:val="1A1A1A"/>
          <w:sz w:val="20"/>
          <w:szCs w:val="20"/>
        </w:rPr>
        <w:t xml:space="preserve">Aislamiento de datos por tienda — ningún acceso cruzado;</w:t>
      </w:r>
    </w:p>
    <w:p>
      <w:pPr>
        <w:pStyle w:val="ListParagraph"/>
        <w:numPr>
          <w:ilvl w:val="0"/>
          <w:numId w:val="2"/>
        </w:numPr>
        <w:spacing w:after="40" w:before="40"/>
      </w:pPr>
      <w:r>
        <w:rPr>
          <w:rFonts w:ascii="Arial" w:cs="Arial" w:eastAsia="Arial" w:hAnsi="Arial"/>
          <w:color w:val="1A1A1A"/>
          <w:sz w:val="20"/>
          <w:szCs w:val="20"/>
        </w:rPr>
        <w:t xml:space="preserve">Copias de seguridad cifradas diarias, retención mínima de 30 días;</w:t>
      </w:r>
    </w:p>
    <w:p>
      <w:pPr>
        <w:pStyle w:val="ListParagraph"/>
        <w:numPr>
          <w:ilvl w:val="0"/>
          <w:numId w:val="2"/>
        </w:numPr>
        <w:spacing w:after="40" w:before="40"/>
      </w:pPr>
      <w:r>
        <w:rPr>
          <w:rFonts w:ascii="Arial" w:cs="Arial" w:eastAsia="Arial" w:hAnsi="Arial"/>
          <w:color w:val="1A1A1A"/>
          <w:sz w:val="20"/>
          <w:szCs w:val="20"/>
        </w:rPr>
        <w:t xml:space="preserve">Registro (logs) de accesos a datos sensibles;</w:t>
      </w:r>
    </w:p>
    <w:p>
      <w:pPr>
        <w:pStyle w:val="ListParagraph"/>
        <w:numPr>
          <w:ilvl w:val="0"/>
          <w:numId w:val="2"/>
        </w:numPr>
        <w:spacing w:after="40" w:before="40"/>
      </w:pPr>
      <w:r>
        <w:rPr>
          <w:rFonts w:ascii="Arial" w:cs="Arial" w:eastAsia="Arial" w:hAnsi="Arial"/>
          <w:color w:val="1A1A1A"/>
          <w:sz w:val="20"/>
          <w:szCs w:val="20"/>
        </w:rPr>
        <w:t xml:space="preserve">Parches de seguridad críticos aplicados en un plazo de 72 horas.</w:t>
      </w:r>
    </w:p>
    <w:p>
      <w:pPr>
        <w:pStyle w:val="Heading2"/>
        <w:pBdr>
          <w:bottom w:val="single" w:color="534AB7" w:sz="4" w:space="1"/>
        </w:pBdr>
        <w:spacing w:after="120" w:before="300"/>
      </w:pPr>
      <w:r>
        <w:rPr>
          <w:rFonts w:ascii="Arial" w:cs="Arial" w:eastAsia="Arial" w:hAnsi="Arial"/>
          <w:b/>
          <w:bCs/>
          <w:color w:val="534AB7"/>
          <w:sz w:val="24"/>
          <w:szCs w:val="24"/>
        </w:rPr>
        <w:t xml:space="preserve">Medidas organizativas</w:t>
      </w:r>
    </w:p>
    <w:p>
      <w:pPr>
        <w:pStyle w:val="ListParagraph"/>
        <w:numPr>
          <w:ilvl w:val="0"/>
          <w:numId w:val="2"/>
        </w:numPr>
        <w:spacing w:after="40" w:before="40"/>
      </w:pPr>
      <w:r>
        <w:rPr>
          <w:rFonts w:ascii="Arial" w:cs="Arial" w:eastAsia="Arial" w:hAnsi="Arial"/>
          <w:color w:val="1A1A1A"/>
          <w:sz w:val="20"/>
          <w:szCs w:val="20"/>
        </w:rPr>
        <w:t xml:space="preserve">Acceso a datos de producción limitado según el principio de mínimo privilegio;</w:t>
      </w:r>
    </w:p>
    <w:p>
      <w:pPr>
        <w:pStyle w:val="ListParagraph"/>
        <w:numPr>
          <w:ilvl w:val="0"/>
          <w:numId w:val="2"/>
        </w:numPr>
        <w:spacing w:after="40" w:before="40"/>
      </w:pPr>
      <w:r>
        <w:rPr>
          <w:rFonts w:ascii="Arial" w:cs="Arial" w:eastAsia="Arial" w:hAnsi="Arial"/>
          <w:color w:val="1A1A1A"/>
          <w:sz w:val="20"/>
          <w:szCs w:val="20"/>
        </w:rPr>
        <w:t xml:space="preserve">Compromiso de confidencialidad suscrito por todo el personal con acceso;</w:t>
      </w:r>
    </w:p>
    <w:p>
      <w:pPr>
        <w:pStyle w:val="ListParagraph"/>
        <w:numPr>
          <w:ilvl w:val="0"/>
          <w:numId w:val="2"/>
        </w:numPr>
        <w:spacing w:after="40" w:before="40"/>
      </w:pPr>
      <w:r>
        <w:rPr>
          <w:rFonts w:ascii="Arial" w:cs="Arial" w:eastAsia="Arial" w:hAnsi="Arial"/>
          <w:color w:val="1A1A1A"/>
          <w:sz w:val="20"/>
          <w:szCs w:val="20"/>
        </w:rPr>
        <w:t xml:space="preserve">Procedimiento documentado de gestión de incidentes y violaciones de datos;</w:t>
      </w:r>
    </w:p>
    <w:p>
      <w:pPr>
        <w:pStyle w:val="ListParagraph"/>
        <w:numPr>
          <w:ilvl w:val="0"/>
          <w:numId w:val="2"/>
        </w:numPr>
        <w:spacing w:after="40" w:before="40"/>
      </w:pPr>
      <w:r>
        <w:rPr>
          <w:rFonts w:ascii="Arial" w:cs="Arial" w:eastAsia="Arial" w:hAnsi="Arial"/>
          <w:color w:val="1A1A1A"/>
          <w:sz w:val="20"/>
          <w:szCs w:val="20"/>
        </w:rPr>
        <w:t xml:space="preserve">Formación anual del equipo en protección de datos.</w:t>
      </w:r>
    </w:p>
    <w:p>
      <w:pPr>
        <w:spacing w:after="60" w:before="60"/>
      </w:pPr>
      <w:r>
        <w:t xml:space="preserve"/>
      </w:r>
    </w:p>
    <w:p>
      <w:pPr>
        <w:pStyle w:val="Heading1"/>
        <w:shd w:fill="534AB7" w:val="clear"/>
        <w:spacing w:after="200" w:before="400"/>
        <w:ind w:left="200" w:right="200"/>
      </w:pPr>
      <w:r>
        <w:rPr>
          <w:rFonts w:ascii="Arial" w:cs="Arial" w:eastAsia="Arial" w:hAnsi="Arial"/>
          <w:b/>
          <w:bCs/>
          <w:color w:val="FFFFFF"/>
          <w:sz w:val="28"/>
          <w:szCs w:val="28"/>
        </w:rPr>
        <w:t xml:space="preserve">ARTÍCULO DPA-7 — SUBENCARGADOS</w:t>
      </w:r>
    </w:p>
    <w:p>
      <w:pPr>
        <w:spacing w:after="80" w:before="60"/>
        <w:jc w:val="both"/>
      </w:pPr>
      <w:r>
        <w:rPr>
          <w:rFonts w:ascii="Arial" w:cs="Arial" w:eastAsia="Arial" w:hAnsi="Arial"/>
          <w:color w:val="1A1A1A"/>
          <w:sz w:val="20"/>
          <w:szCs w:val="20"/>
        </w:rPr>
        <w:t xml:space="preserve">La Tienda autoriza, mediante la aceptación de las presentes CGCU, el recurso a los siguientes subencargados:</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2426"/>
        <w:gridCol w:w="2200"/>
        <w:gridCol w:w="2400"/>
      </w:tblGrid>
      <w:tr>
        <w:tc>
          <w:tcPr>
            <w:tcW w:type="dxa" w:w="2000"/>
            <w:tcBorders>
              <w:top w:val="single" w:color="CCCCCC" w:sz="1"/>
              <w:left w:val="single" w:color="CCCCCC" w:sz="1"/>
              <w:bottom w:val="single" w:color="CCCCCC" w:sz="1"/>
              <w:right w:val="single" w:color="CCCCCC" w:sz="1"/>
            </w:tcBorders>
            <w:shd w:fill="534AB7" w:val="clear"/>
            <w:tcMar>
              <w:top w:type="dxa" w:w="80"/>
              <w:left w:type="dxa" w:w="100"/>
              <w:bottom w:type="dxa" w:w="80"/>
              <w:right w:type="dxa" w:w="100"/>
            </w:tcMar>
          </w:tcPr>
          <w:p>
            <w:pPr>
              <w:spacing w:after="0" w:before="0"/>
            </w:pPr>
            <w:r>
              <w:rPr>
                <w:rFonts w:ascii="Arial" w:cs="Arial" w:eastAsia="Arial" w:hAnsi="Arial"/>
                <w:b/>
                <w:bCs/>
                <w:color w:val="FFFFFF"/>
                <w:sz w:val="17"/>
                <w:szCs w:val="17"/>
              </w:rPr>
              <w:t xml:space="preserve">Subencargado</w:t>
            </w:r>
          </w:p>
        </w:tc>
        <w:tc>
          <w:tcPr>
            <w:tcW w:type="dxa" w:w="2426"/>
            <w:tcBorders>
              <w:top w:val="single" w:color="CCCCCC" w:sz="1"/>
              <w:left w:val="single" w:color="CCCCCC" w:sz="1"/>
              <w:bottom w:val="single" w:color="CCCCCC" w:sz="1"/>
              <w:right w:val="single" w:color="CCCCCC" w:sz="1"/>
            </w:tcBorders>
            <w:shd w:fill="534AB7" w:val="clear"/>
            <w:tcMar>
              <w:top w:type="dxa" w:w="80"/>
              <w:left w:type="dxa" w:w="100"/>
              <w:bottom w:type="dxa" w:w="80"/>
              <w:right w:type="dxa" w:w="100"/>
            </w:tcMar>
          </w:tcPr>
          <w:p>
            <w:pPr>
              <w:spacing w:after="0" w:before="0"/>
            </w:pPr>
            <w:r>
              <w:rPr>
                <w:rFonts w:ascii="Arial" w:cs="Arial" w:eastAsia="Arial" w:hAnsi="Arial"/>
                <w:b/>
                <w:bCs/>
                <w:color w:val="FFFFFF"/>
                <w:sz w:val="17"/>
                <w:szCs w:val="17"/>
              </w:rPr>
              <w:t xml:space="preserve">Función</w:t>
            </w:r>
          </w:p>
        </w:tc>
        <w:tc>
          <w:tcPr>
            <w:tcW w:type="dxa" w:w="2200"/>
            <w:tcBorders>
              <w:top w:val="single" w:color="CCCCCC" w:sz="1"/>
              <w:left w:val="single" w:color="CCCCCC" w:sz="1"/>
              <w:bottom w:val="single" w:color="CCCCCC" w:sz="1"/>
              <w:right w:val="single" w:color="CCCCCC" w:sz="1"/>
            </w:tcBorders>
            <w:shd w:fill="534AB7" w:val="clear"/>
            <w:tcMar>
              <w:top w:type="dxa" w:w="80"/>
              <w:left w:type="dxa" w:w="100"/>
              <w:bottom w:type="dxa" w:w="80"/>
              <w:right w:type="dxa" w:w="100"/>
            </w:tcMar>
          </w:tcPr>
          <w:p>
            <w:pPr>
              <w:spacing w:after="0" w:before="0"/>
            </w:pPr>
            <w:r>
              <w:rPr>
                <w:rFonts w:ascii="Arial" w:cs="Arial" w:eastAsia="Arial" w:hAnsi="Arial"/>
                <w:b/>
                <w:bCs/>
                <w:color w:val="FFFFFF"/>
                <w:sz w:val="17"/>
                <w:szCs w:val="17"/>
              </w:rPr>
              <w:t xml:space="preserve">Localización</w:t>
            </w:r>
          </w:p>
        </w:tc>
        <w:tc>
          <w:tcPr>
            <w:tcW w:type="dxa" w:w="2400"/>
            <w:tcBorders>
              <w:top w:val="single" w:color="CCCCCC" w:sz="1"/>
              <w:left w:val="single" w:color="CCCCCC" w:sz="1"/>
              <w:bottom w:val="single" w:color="CCCCCC" w:sz="1"/>
              <w:right w:val="single" w:color="CCCCCC" w:sz="1"/>
            </w:tcBorders>
            <w:shd w:fill="534AB7" w:val="clear"/>
            <w:tcMar>
              <w:top w:type="dxa" w:w="80"/>
              <w:left w:type="dxa" w:w="100"/>
              <w:bottom w:type="dxa" w:w="80"/>
              <w:right w:type="dxa" w:w="100"/>
            </w:tcMar>
          </w:tcPr>
          <w:p>
            <w:pPr>
              <w:spacing w:after="0" w:before="0"/>
            </w:pPr>
            <w:r>
              <w:rPr>
                <w:rFonts w:ascii="Arial" w:cs="Arial" w:eastAsia="Arial" w:hAnsi="Arial"/>
                <w:b/>
                <w:bCs/>
                <w:color w:val="FFFFFF"/>
                <w:sz w:val="17"/>
                <w:szCs w:val="17"/>
              </w:rPr>
              <w:t xml:space="preserve">Garantías</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color w:val="1A1A1A"/>
                <w:sz w:val="17"/>
                <w:szCs w:val="17"/>
              </w:rPr>
              <w:t xml:space="preserve">[Proveedor cloud]</w:t>
            </w:r>
          </w:p>
        </w:tc>
        <w:tc>
          <w:tcPr>
            <w:tcW w:type="dxa" w:w="2426"/>
            <w:tcBorders>
              <w:top w:val="single" w:color="CCCCCC" w:sz="1"/>
              <w:left w:val="single" w:color="CCCCCC" w:sz="1"/>
              <w:bottom w:val="single" w:color="CCCCCC" w:sz="1"/>
              <w:right w:val="single" w:color="CCCCCC" w:sz="1"/>
            </w:tcBorders>
            <w:shd w:fill="EEEDFE" w:val="clear"/>
            <w:tcMar>
              <w:top w:type="dxa" w:w="80"/>
              <w:left w:type="dxa" w:w="100"/>
              <w:bottom w:type="dxa" w:w="80"/>
              <w:right w:type="dxa" w:w="100"/>
            </w:tcMar>
          </w:tcPr>
          <w:p>
            <w:pPr>
              <w:spacing w:after="0" w:before="0"/>
            </w:pPr>
            <w:r>
              <w:rPr>
                <w:rFonts w:ascii="Arial" w:cs="Arial" w:eastAsia="Arial" w:hAnsi="Arial"/>
                <w:b w:val="false"/>
                <w:bCs w:val="false"/>
                <w:color w:val="3C3489"/>
                <w:sz w:val="17"/>
                <w:szCs w:val="17"/>
              </w:rPr>
              <w:t xml:space="preserve">Infraest. y datos</w:t>
            </w:r>
          </w:p>
        </w:tc>
        <w:tc>
          <w:tcPr>
            <w:tcW w:type="dxa" w:w="2200"/>
            <w:tcBorders>
              <w:top w:val="single" w:color="CCCCCC" w:sz="1"/>
              <w:left w:val="single" w:color="CCCCCC" w:sz="1"/>
              <w:bottom w:val="single" w:color="CCCCCC" w:sz="1"/>
              <w:right w:val="single" w:color="CCCCCC" w:sz="1"/>
            </w:tcBorders>
            <w:shd w:fill="EEEDFE" w:val="clear"/>
            <w:tcMar>
              <w:top w:type="dxa" w:w="80"/>
              <w:left w:type="dxa" w:w="100"/>
              <w:bottom w:type="dxa" w:w="80"/>
              <w:right w:type="dxa" w:w="100"/>
            </w:tcMar>
          </w:tcPr>
          <w:p>
            <w:pPr>
              <w:spacing w:after="0" w:before="0"/>
            </w:pPr>
            <w:r>
              <w:rPr>
                <w:rFonts w:ascii="Arial" w:cs="Arial" w:eastAsia="Arial" w:hAnsi="Arial"/>
                <w:b w:val="false"/>
                <w:bCs w:val="false"/>
                <w:color w:val="3C3489"/>
                <w:sz w:val="17"/>
                <w:szCs w:val="17"/>
              </w:rPr>
              <w:t xml:space="preserve">UE (a precisar)</w:t>
            </w:r>
          </w:p>
        </w:tc>
        <w:tc>
          <w:tcPr>
            <w:tcW w:type="dxa" w:w="2400"/>
            <w:tcBorders>
              <w:top w:val="single" w:color="CCCCCC" w:sz="1"/>
              <w:left w:val="single" w:color="CCCCCC" w:sz="1"/>
              <w:bottom w:val="single" w:color="CCCCCC" w:sz="1"/>
              <w:right w:val="single" w:color="CCCCCC" w:sz="1"/>
            </w:tcBorders>
            <w:shd w:fill="EEEDFE" w:val="clear"/>
            <w:tcMar>
              <w:top w:type="dxa" w:w="80"/>
              <w:left w:type="dxa" w:w="100"/>
              <w:bottom w:type="dxa" w:w="80"/>
              <w:right w:type="dxa" w:w="100"/>
            </w:tcMar>
          </w:tcPr>
          <w:p>
            <w:pPr>
              <w:spacing w:after="0" w:before="0"/>
            </w:pPr>
            <w:r>
              <w:rPr>
                <w:rFonts w:ascii="Arial" w:cs="Arial" w:eastAsia="Arial" w:hAnsi="Arial"/>
                <w:b w:val="false"/>
                <w:bCs w:val="false"/>
                <w:color w:val="3C3489"/>
                <w:sz w:val="17"/>
                <w:szCs w:val="17"/>
              </w:rPr>
              <w:t xml:space="preserve">ISO 27001 / SCC</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color w:val="1A1A1A"/>
                <w:sz w:val="17"/>
                <w:szCs w:val="17"/>
              </w:rPr>
              <w:t xml:space="preserve">360dialog</w:t>
            </w:r>
          </w:p>
        </w:tc>
        <w:tc>
          <w:tcPr>
            <w:tcW w:type="dxa" w:w="2426"/>
            <w:tcBorders>
              <w:top w:val="single" w:color="CCCCCC" w:sz="1"/>
              <w:left w:val="single" w:color="CCCCCC" w:sz="1"/>
              <w:bottom w:val="single" w:color="CCCCCC" w:sz="1"/>
              <w:right w:val="single" w:color="CCCCCC" w:sz="1"/>
            </w:tcBorders>
            <w:shd w:fill="EEEDFE" w:val="clear"/>
            <w:tcMar>
              <w:top w:type="dxa" w:w="80"/>
              <w:left w:type="dxa" w:w="100"/>
              <w:bottom w:type="dxa" w:w="80"/>
              <w:right w:type="dxa" w:w="100"/>
            </w:tcMar>
          </w:tcPr>
          <w:p>
            <w:pPr>
              <w:spacing w:after="0" w:before="0"/>
            </w:pPr>
            <w:r>
              <w:rPr>
                <w:rFonts w:ascii="Arial" w:cs="Arial" w:eastAsia="Arial" w:hAnsi="Arial"/>
                <w:b w:val="false"/>
                <w:bCs w:val="false"/>
                <w:color w:val="3C3489"/>
                <w:sz w:val="17"/>
                <w:szCs w:val="17"/>
              </w:rPr>
              <w:t xml:space="preserve">BSP API WhatsApp</w:t>
            </w:r>
          </w:p>
        </w:tc>
        <w:tc>
          <w:tcPr>
            <w:tcW w:type="dxa" w:w="2200"/>
            <w:tcBorders>
              <w:top w:val="single" w:color="CCCCCC" w:sz="1"/>
              <w:left w:val="single" w:color="CCCCCC" w:sz="1"/>
              <w:bottom w:val="single" w:color="CCCCCC" w:sz="1"/>
              <w:right w:val="single" w:color="CCCCCC" w:sz="1"/>
            </w:tcBorders>
            <w:shd w:fill="EEEDFE" w:val="clear"/>
            <w:tcMar>
              <w:top w:type="dxa" w:w="80"/>
              <w:left w:type="dxa" w:w="100"/>
              <w:bottom w:type="dxa" w:w="80"/>
              <w:right w:type="dxa" w:w="100"/>
            </w:tcMar>
          </w:tcPr>
          <w:p>
            <w:pPr>
              <w:spacing w:after="0" w:before="0"/>
            </w:pPr>
            <w:r>
              <w:rPr>
                <w:rFonts w:ascii="Arial" w:cs="Arial" w:eastAsia="Arial" w:hAnsi="Arial"/>
                <w:b w:val="false"/>
                <w:bCs w:val="false"/>
                <w:color w:val="3C3489"/>
                <w:sz w:val="17"/>
                <w:szCs w:val="17"/>
              </w:rPr>
              <w:t xml:space="preserve">UE / Alemania</w:t>
            </w:r>
          </w:p>
        </w:tc>
        <w:tc>
          <w:tcPr>
            <w:tcW w:type="dxa" w:w="2400"/>
            <w:tcBorders>
              <w:top w:val="single" w:color="CCCCCC" w:sz="1"/>
              <w:left w:val="single" w:color="CCCCCC" w:sz="1"/>
              <w:bottom w:val="single" w:color="CCCCCC" w:sz="1"/>
              <w:right w:val="single" w:color="CCCCCC" w:sz="1"/>
            </w:tcBorders>
            <w:shd w:fill="EEEDFE" w:val="clear"/>
            <w:tcMar>
              <w:top w:type="dxa" w:w="80"/>
              <w:left w:type="dxa" w:w="100"/>
              <w:bottom w:type="dxa" w:w="80"/>
              <w:right w:type="dxa" w:w="100"/>
            </w:tcMar>
          </w:tcPr>
          <w:p>
            <w:pPr>
              <w:spacing w:after="0" w:before="0"/>
            </w:pPr>
            <w:r>
              <w:rPr>
                <w:rFonts w:ascii="Arial" w:cs="Arial" w:eastAsia="Arial" w:hAnsi="Arial"/>
                <w:b w:val="false"/>
                <w:bCs w:val="false"/>
                <w:color w:val="3C3489"/>
                <w:sz w:val="17"/>
                <w:szCs w:val="17"/>
              </w:rPr>
              <w:t xml:space="preserve">DPA + SCC</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color w:val="1A1A1A"/>
                <w:sz w:val="17"/>
                <w:szCs w:val="17"/>
              </w:rPr>
              <w:t xml:space="preserve">Wati</w:t>
            </w:r>
          </w:p>
        </w:tc>
        <w:tc>
          <w:tcPr>
            <w:tcW w:type="dxa" w:w="2426"/>
            <w:tcBorders>
              <w:top w:val="single" w:color="CCCCCC" w:sz="1"/>
              <w:left w:val="single" w:color="CCCCCC" w:sz="1"/>
              <w:bottom w:val="single" w:color="CCCCCC" w:sz="1"/>
              <w:right w:val="single" w:color="CCCCCC" w:sz="1"/>
            </w:tcBorders>
            <w:shd w:fill="EEEDFE" w:val="clear"/>
            <w:tcMar>
              <w:top w:type="dxa" w:w="80"/>
              <w:left w:type="dxa" w:w="100"/>
              <w:bottom w:type="dxa" w:w="80"/>
              <w:right w:type="dxa" w:w="100"/>
            </w:tcMar>
          </w:tcPr>
          <w:p>
            <w:pPr>
              <w:spacing w:after="0" w:before="0"/>
            </w:pPr>
            <w:r>
              <w:rPr>
                <w:rFonts w:ascii="Arial" w:cs="Arial" w:eastAsia="Arial" w:hAnsi="Arial"/>
                <w:b w:val="false"/>
                <w:bCs w:val="false"/>
                <w:color w:val="3C3489"/>
                <w:sz w:val="17"/>
                <w:szCs w:val="17"/>
              </w:rPr>
              <w:t xml:space="preserve">Gestión WhatsApp</w:t>
            </w:r>
          </w:p>
        </w:tc>
        <w:tc>
          <w:tcPr>
            <w:tcW w:type="dxa" w:w="2200"/>
            <w:tcBorders>
              <w:top w:val="single" w:color="CCCCCC" w:sz="1"/>
              <w:left w:val="single" w:color="CCCCCC" w:sz="1"/>
              <w:bottom w:val="single" w:color="CCCCCC" w:sz="1"/>
              <w:right w:val="single" w:color="CCCCCC" w:sz="1"/>
            </w:tcBorders>
            <w:shd w:fill="EEEDFE" w:val="clear"/>
            <w:tcMar>
              <w:top w:type="dxa" w:w="80"/>
              <w:left w:type="dxa" w:w="100"/>
              <w:bottom w:type="dxa" w:w="80"/>
              <w:right w:type="dxa" w:w="100"/>
            </w:tcMar>
          </w:tcPr>
          <w:p>
            <w:pPr>
              <w:spacing w:after="0" w:before="0"/>
            </w:pPr>
            <w:r>
              <w:rPr>
                <w:rFonts w:ascii="Arial" w:cs="Arial" w:eastAsia="Arial" w:hAnsi="Arial"/>
                <w:b w:val="false"/>
                <w:bCs w:val="false"/>
                <w:color w:val="3C3489"/>
                <w:sz w:val="17"/>
                <w:szCs w:val="17"/>
              </w:rPr>
              <w:t xml:space="preserve">Singapur / UE</w:t>
            </w:r>
          </w:p>
        </w:tc>
        <w:tc>
          <w:tcPr>
            <w:tcW w:type="dxa" w:w="2400"/>
            <w:tcBorders>
              <w:top w:val="single" w:color="CCCCCC" w:sz="1"/>
              <w:left w:val="single" w:color="CCCCCC" w:sz="1"/>
              <w:bottom w:val="single" w:color="CCCCCC" w:sz="1"/>
              <w:right w:val="single" w:color="CCCCCC" w:sz="1"/>
            </w:tcBorders>
            <w:shd w:fill="EEEDFE" w:val="clear"/>
            <w:tcMar>
              <w:top w:type="dxa" w:w="80"/>
              <w:left w:type="dxa" w:w="100"/>
              <w:bottom w:type="dxa" w:w="80"/>
              <w:right w:type="dxa" w:w="100"/>
            </w:tcMar>
          </w:tcPr>
          <w:p>
            <w:pPr>
              <w:spacing w:after="0" w:before="0"/>
            </w:pPr>
            <w:r>
              <w:rPr>
                <w:rFonts w:ascii="Arial" w:cs="Arial" w:eastAsia="Arial" w:hAnsi="Arial"/>
                <w:b w:val="false"/>
                <w:bCs w:val="false"/>
                <w:color w:val="3C3489"/>
                <w:sz w:val="17"/>
                <w:szCs w:val="17"/>
              </w:rPr>
              <w:t xml:space="preserve">DPA + SCC</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color w:val="1A1A1A"/>
                <w:sz w:val="17"/>
                <w:szCs w:val="17"/>
              </w:rPr>
              <w:t xml:space="preserve">[Proveedor email]</w:t>
            </w:r>
          </w:p>
        </w:tc>
        <w:tc>
          <w:tcPr>
            <w:tcW w:type="dxa" w:w="2426"/>
            <w:tcBorders>
              <w:top w:val="single" w:color="CCCCCC" w:sz="1"/>
              <w:left w:val="single" w:color="CCCCCC" w:sz="1"/>
              <w:bottom w:val="single" w:color="CCCCCC" w:sz="1"/>
              <w:right w:val="single" w:color="CCCCCC" w:sz="1"/>
            </w:tcBorders>
            <w:shd w:fill="EEEDFE" w:val="clear"/>
            <w:tcMar>
              <w:top w:type="dxa" w:w="80"/>
              <w:left w:type="dxa" w:w="100"/>
              <w:bottom w:type="dxa" w:w="80"/>
              <w:right w:type="dxa" w:w="100"/>
            </w:tcMar>
          </w:tcPr>
          <w:p>
            <w:pPr>
              <w:spacing w:after="0" w:before="0"/>
            </w:pPr>
            <w:r>
              <w:rPr>
                <w:rFonts w:ascii="Arial" w:cs="Arial" w:eastAsia="Arial" w:hAnsi="Arial"/>
                <w:b w:val="false"/>
                <w:bCs w:val="false"/>
                <w:color w:val="3C3489"/>
                <w:sz w:val="17"/>
                <w:szCs w:val="17"/>
              </w:rPr>
              <w:t xml:space="preserve">Emails transacc.</w:t>
            </w:r>
          </w:p>
        </w:tc>
        <w:tc>
          <w:tcPr>
            <w:tcW w:type="dxa" w:w="2200"/>
            <w:tcBorders>
              <w:top w:val="single" w:color="CCCCCC" w:sz="1"/>
              <w:left w:val="single" w:color="CCCCCC" w:sz="1"/>
              <w:bottom w:val="single" w:color="CCCCCC" w:sz="1"/>
              <w:right w:val="single" w:color="CCCCCC" w:sz="1"/>
            </w:tcBorders>
            <w:shd w:fill="EEEDFE" w:val="clear"/>
            <w:tcMar>
              <w:top w:type="dxa" w:w="80"/>
              <w:left w:type="dxa" w:w="100"/>
              <w:bottom w:type="dxa" w:w="80"/>
              <w:right w:type="dxa" w:w="100"/>
            </w:tcMar>
          </w:tcPr>
          <w:p>
            <w:pPr>
              <w:spacing w:after="0" w:before="0"/>
            </w:pPr>
            <w:r>
              <w:rPr>
                <w:rFonts w:ascii="Arial" w:cs="Arial" w:eastAsia="Arial" w:hAnsi="Arial"/>
                <w:b w:val="false"/>
                <w:bCs w:val="false"/>
                <w:color w:val="3C3489"/>
                <w:sz w:val="17"/>
                <w:szCs w:val="17"/>
              </w:rPr>
              <w:t xml:space="preserve">UE (a precisar)</w:t>
            </w:r>
          </w:p>
        </w:tc>
        <w:tc>
          <w:tcPr>
            <w:tcW w:type="dxa" w:w="2400"/>
            <w:tcBorders>
              <w:top w:val="single" w:color="CCCCCC" w:sz="1"/>
              <w:left w:val="single" w:color="CCCCCC" w:sz="1"/>
              <w:bottom w:val="single" w:color="CCCCCC" w:sz="1"/>
              <w:right w:val="single" w:color="CCCCCC" w:sz="1"/>
            </w:tcBorders>
            <w:shd w:fill="EEEDFE" w:val="clear"/>
            <w:tcMar>
              <w:top w:type="dxa" w:w="80"/>
              <w:left w:type="dxa" w:w="100"/>
              <w:bottom w:type="dxa" w:w="80"/>
              <w:right w:type="dxa" w:w="100"/>
            </w:tcMar>
          </w:tcPr>
          <w:p>
            <w:pPr>
              <w:spacing w:after="0" w:before="0"/>
            </w:pPr>
            <w:r>
              <w:rPr>
                <w:rFonts w:ascii="Arial" w:cs="Arial" w:eastAsia="Arial" w:hAnsi="Arial"/>
                <w:b w:val="false"/>
                <w:bCs w:val="false"/>
                <w:color w:val="3C3489"/>
                <w:sz w:val="17"/>
                <w:szCs w:val="17"/>
              </w:rPr>
              <w:t xml:space="preserve">ISO 27001</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color w:val="1A1A1A"/>
                <w:sz w:val="17"/>
                <w:szCs w:val="17"/>
              </w:rPr>
              <w:t xml:space="preserve">[Proveedor SMS]</w:t>
            </w:r>
          </w:p>
        </w:tc>
        <w:tc>
          <w:tcPr>
            <w:tcW w:type="dxa" w:w="2426"/>
            <w:tcBorders>
              <w:top w:val="single" w:color="CCCCCC" w:sz="1"/>
              <w:left w:val="single" w:color="CCCCCC" w:sz="1"/>
              <w:bottom w:val="single" w:color="CCCCCC" w:sz="1"/>
              <w:right w:val="single" w:color="CCCCCC" w:sz="1"/>
            </w:tcBorders>
            <w:shd w:fill="EEEDFE" w:val="clear"/>
            <w:tcMar>
              <w:top w:type="dxa" w:w="80"/>
              <w:left w:type="dxa" w:w="100"/>
              <w:bottom w:type="dxa" w:w="80"/>
              <w:right w:type="dxa" w:w="100"/>
            </w:tcMar>
          </w:tcPr>
          <w:p>
            <w:pPr>
              <w:spacing w:after="0" w:before="0"/>
            </w:pPr>
            <w:r>
              <w:rPr>
                <w:rFonts w:ascii="Arial" w:cs="Arial" w:eastAsia="Arial" w:hAnsi="Arial"/>
                <w:b w:val="false"/>
                <w:bCs w:val="false"/>
                <w:color w:val="3C3489"/>
                <w:sz w:val="17"/>
                <w:szCs w:val="17"/>
              </w:rPr>
              <w:t xml:space="preserve">Envío SMS</w:t>
            </w:r>
          </w:p>
        </w:tc>
        <w:tc>
          <w:tcPr>
            <w:tcW w:type="dxa" w:w="2200"/>
            <w:tcBorders>
              <w:top w:val="single" w:color="CCCCCC" w:sz="1"/>
              <w:left w:val="single" w:color="CCCCCC" w:sz="1"/>
              <w:bottom w:val="single" w:color="CCCCCC" w:sz="1"/>
              <w:right w:val="single" w:color="CCCCCC" w:sz="1"/>
            </w:tcBorders>
            <w:shd w:fill="EEEDFE" w:val="clear"/>
            <w:tcMar>
              <w:top w:type="dxa" w:w="80"/>
              <w:left w:type="dxa" w:w="100"/>
              <w:bottom w:type="dxa" w:w="80"/>
              <w:right w:type="dxa" w:w="100"/>
            </w:tcMar>
          </w:tcPr>
          <w:p>
            <w:pPr>
              <w:spacing w:after="0" w:before="0"/>
            </w:pPr>
            <w:r>
              <w:rPr>
                <w:rFonts w:ascii="Arial" w:cs="Arial" w:eastAsia="Arial" w:hAnsi="Arial"/>
                <w:b w:val="false"/>
                <w:bCs w:val="false"/>
                <w:color w:val="3C3489"/>
                <w:sz w:val="17"/>
                <w:szCs w:val="17"/>
              </w:rPr>
              <w:t xml:space="preserve">UE (a precisar)</w:t>
            </w:r>
          </w:p>
        </w:tc>
        <w:tc>
          <w:tcPr>
            <w:tcW w:type="dxa" w:w="2400"/>
            <w:tcBorders>
              <w:top w:val="single" w:color="CCCCCC" w:sz="1"/>
              <w:left w:val="single" w:color="CCCCCC" w:sz="1"/>
              <w:bottom w:val="single" w:color="CCCCCC" w:sz="1"/>
              <w:right w:val="single" w:color="CCCCCC" w:sz="1"/>
            </w:tcBorders>
            <w:shd w:fill="EEEDFE" w:val="clear"/>
            <w:tcMar>
              <w:top w:type="dxa" w:w="80"/>
              <w:left w:type="dxa" w:w="100"/>
              <w:bottom w:type="dxa" w:w="80"/>
              <w:right w:type="dxa" w:w="100"/>
            </w:tcMar>
          </w:tcPr>
          <w:p>
            <w:pPr>
              <w:spacing w:after="0" w:before="0"/>
            </w:pPr>
            <w:r>
              <w:rPr>
                <w:rFonts w:ascii="Arial" w:cs="Arial" w:eastAsia="Arial" w:hAnsi="Arial"/>
                <w:b w:val="false"/>
                <w:bCs w:val="false"/>
                <w:color w:val="3C3489"/>
                <w:sz w:val="17"/>
                <w:szCs w:val="17"/>
              </w:rPr>
              <w:t xml:space="preserve">DPA disponible</w:t>
            </w:r>
          </w:p>
        </w:tc>
      </w:tr>
    </w:tbl>
    <w:p>
      <w:pPr>
        <w:spacing w:after="60" w:before="60"/>
      </w:pPr>
      <w:r>
        <w:t xml:space="preserve"/>
      </w:r>
    </w:p>
    <w:p>
      <w:pPr>
        <w:spacing w:after="80" w:before="60"/>
        <w:jc w:val="both"/>
      </w:pPr>
      <w:r>
        <w:rPr>
          <w:rFonts w:ascii="Arial" w:cs="Arial" w:eastAsia="Arial" w:hAnsi="Arial"/>
          <w:color w:val="1A1A1A"/>
          <w:sz w:val="20"/>
          <w:szCs w:val="20"/>
        </w:rPr>
        <w:t xml:space="preserve">BridalB2B SL informará a la Tienda de cualquier modificación prevista con un preaviso de 30 días. La Tienda dispondrá de un derecho de oposición motivado en dicho plazo.</w:t>
      </w:r>
    </w:p>
    <w:p>
      <w:pPr>
        <w:spacing w:after="60" w:before="60"/>
      </w:pPr>
      <w:r>
        <w:t xml:space="preserve"/>
      </w:r>
    </w:p>
    <w:p>
      <w:pPr>
        <w:pStyle w:val="Heading1"/>
        <w:shd w:fill="534AB7" w:val="clear"/>
        <w:spacing w:after="200" w:before="400"/>
        <w:ind w:left="200" w:right="200"/>
      </w:pPr>
      <w:r>
        <w:rPr>
          <w:rFonts w:ascii="Arial" w:cs="Arial" w:eastAsia="Arial" w:hAnsi="Arial"/>
          <w:b/>
          <w:bCs/>
          <w:color w:val="FFFFFF"/>
          <w:sz w:val="28"/>
          <w:szCs w:val="28"/>
        </w:rPr>
        <w:t xml:space="preserve">ARTÍCULO DPA-8 — TRANSFERENCIAS FUERA DE LA UE</w:t>
      </w:r>
    </w:p>
    <w:p>
      <w:pPr>
        <w:spacing w:after="80" w:before="60"/>
        <w:jc w:val="both"/>
      </w:pPr>
      <w:r>
        <w:rPr>
          <w:rFonts w:ascii="Arial" w:cs="Arial" w:eastAsia="Arial" w:hAnsi="Arial"/>
          <w:color w:val="1A1A1A"/>
          <w:sz w:val="20"/>
          <w:szCs w:val="20"/>
        </w:rPr>
        <w:t xml:space="preserve">BridalB2B SL garantiza que cualquier transferencia a un país tercero estará amparada por: decisión de adecuación de la Comisión Europea, cláusulas contractuales tipo (SCC), o normas corporativas vinculantes (BCR), conforme al Capítulo V del RGPD.</w:t>
      </w:r>
    </w:p>
    <w:p>
      <w:pPr>
        <w:spacing w:after="60" w:before="60"/>
      </w:pPr>
      <w:r>
        <w:t xml:space="preserve"/>
      </w:r>
    </w:p>
    <w:p>
      <w:pPr>
        <w:pStyle w:val="Heading1"/>
        <w:shd w:fill="534AB7" w:val="clear"/>
        <w:spacing w:after="200" w:before="400"/>
        <w:ind w:left="200" w:right="200"/>
      </w:pPr>
      <w:r>
        <w:rPr>
          <w:rFonts w:ascii="Arial" w:cs="Arial" w:eastAsia="Arial" w:hAnsi="Arial"/>
          <w:b/>
          <w:bCs/>
          <w:color w:val="FFFFFF"/>
          <w:sz w:val="28"/>
          <w:szCs w:val="28"/>
        </w:rPr>
        <w:t xml:space="preserve">ARTÍCULO DPA-9 — DERECHOS DE LOS INTERESADOS</w:t>
      </w:r>
    </w:p>
    <w:p>
      <w:pPr>
        <w:spacing w:after="80" w:before="60"/>
        <w:jc w:val="both"/>
      </w:pPr>
      <w:r>
        <w:rPr>
          <w:rFonts w:ascii="Arial" w:cs="Arial" w:eastAsia="Arial" w:hAnsi="Arial"/>
          <w:color w:val="1A1A1A"/>
          <w:sz w:val="20"/>
          <w:szCs w:val="20"/>
        </w:rPr>
        <w:t xml:space="preserve">Cuando un interesado ejerza directamente ante BridalB2B SL algún derecho, ésta redirigirá la solicitud a la Tienda a la mayor brevedad. BridalB2B SL asistirá técnicamente a la Tienda en un plazo de 72 horas (extracción, supresión selectiva, exportación).</w:t>
      </w:r>
    </w:p>
    <w:p>
      <w:pPr>
        <w:spacing w:after="60" w:before="60"/>
      </w:pPr>
      <w:r>
        <w:t xml:space="preserve"/>
      </w:r>
    </w:p>
    <w:p>
      <w:pPr>
        <w:pStyle w:val="Heading1"/>
        <w:shd w:fill="534AB7" w:val="clear"/>
        <w:spacing w:after="200" w:before="400"/>
        <w:ind w:left="200" w:right="200"/>
      </w:pPr>
      <w:r>
        <w:rPr>
          <w:rFonts w:ascii="Arial" w:cs="Arial" w:eastAsia="Arial" w:hAnsi="Arial"/>
          <w:b/>
          <w:bCs/>
          <w:color w:val="FFFFFF"/>
          <w:sz w:val="28"/>
          <w:szCs w:val="28"/>
        </w:rPr>
        <w:t xml:space="preserve">ARTÍCULO DPA-10 — DESTINO DE LOS DATOS AL FINALIZAR EL CONTRATO</w:t>
      </w:r>
    </w:p>
    <w:p>
      <w:pPr>
        <w:pStyle w:val="ListParagraph"/>
        <w:numPr>
          <w:ilvl w:val="0"/>
          <w:numId w:val="2"/>
        </w:numPr>
        <w:spacing w:after="40" w:before="40"/>
      </w:pPr>
      <w:r>
        <w:rPr>
          <w:rFonts w:ascii="Arial" w:cs="Arial" w:eastAsia="Arial" w:hAnsi="Arial"/>
          <w:color w:val="1A1A1A"/>
          <w:sz w:val="20"/>
          <w:szCs w:val="20"/>
        </w:rPr>
        <w:t xml:space="preserve">Exportación íntegra de los datos (CSV/JSON) posible durante 30 días tras la resolución;</w:t>
      </w:r>
    </w:p>
    <w:p>
      <w:pPr>
        <w:pStyle w:val="ListParagraph"/>
        <w:numPr>
          <w:ilvl w:val="0"/>
          <w:numId w:val="2"/>
        </w:numPr>
        <w:spacing w:after="40" w:before="40"/>
      </w:pPr>
      <w:r>
        <w:rPr>
          <w:rFonts w:ascii="Arial" w:cs="Arial" w:eastAsia="Arial" w:hAnsi="Arial"/>
          <w:color w:val="1A1A1A"/>
          <w:sz w:val="20"/>
          <w:szCs w:val="20"/>
        </w:rPr>
        <w:t xml:space="preserve">Supresión definitiva de todos los datos en un plazo de 60 días, salvo obligación legal;</w:t>
      </w:r>
    </w:p>
    <w:p>
      <w:pPr>
        <w:pStyle w:val="ListParagraph"/>
        <w:numPr>
          <w:ilvl w:val="0"/>
          <w:numId w:val="2"/>
        </w:numPr>
        <w:spacing w:after="40" w:before="40"/>
      </w:pPr>
      <w:r>
        <w:rPr>
          <w:rFonts w:ascii="Arial" w:cs="Arial" w:eastAsia="Arial" w:hAnsi="Arial"/>
          <w:color w:val="1A1A1A"/>
          <w:sz w:val="20"/>
          <w:szCs w:val="20"/>
        </w:rPr>
        <w:t xml:space="preserve">Certificado escrito de supresión a petición;</w:t>
      </w:r>
    </w:p>
    <w:p>
      <w:pPr>
        <w:pStyle w:val="ListParagraph"/>
        <w:numPr>
          <w:ilvl w:val="0"/>
          <w:numId w:val="2"/>
        </w:numPr>
        <w:spacing w:after="40" w:before="40"/>
      </w:pPr>
      <w:r>
        <w:rPr>
          <w:rFonts w:ascii="Arial" w:cs="Arial" w:eastAsia="Arial" w:hAnsi="Arial"/>
          <w:color w:val="1A1A1A"/>
          <w:sz w:val="20"/>
          <w:szCs w:val="20"/>
        </w:rPr>
        <w:t xml:space="preserve">Notificación a los subencargados para que procedan igualmente.</w:t>
      </w:r>
    </w:p>
    <w:p>
      <w:pPr>
        <w:spacing w:after="60" w:before="60"/>
      </w:pPr>
      <w:r>
        <w:t xml:space="preserve"/>
      </w:r>
    </w:p>
    <w:p>
      <w:pPr>
        <w:pStyle w:val="Heading1"/>
        <w:shd w:fill="534AB7" w:val="clear"/>
        <w:spacing w:after="200" w:before="400"/>
        <w:ind w:left="200" w:right="200"/>
      </w:pPr>
      <w:r>
        <w:rPr>
          <w:rFonts w:ascii="Arial" w:cs="Arial" w:eastAsia="Arial" w:hAnsi="Arial"/>
          <w:b/>
          <w:bCs/>
          <w:color w:val="FFFFFF"/>
          <w:sz w:val="28"/>
          <w:szCs w:val="28"/>
        </w:rPr>
        <w:t xml:space="preserve">ARTÍCULO DPA-11 — NOTIFICACIÓN DE VIOLACIONES DE DATOS</w:t>
      </w:r>
    </w:p>
    <w:p>
      <w:pPr>
        <w:spacing w:after="80" w:before="60"/>
        <w:jc w:val="both"/>
      </w:pPr>
      <w:r>
        <w:rPr>
          <w:rFonts w:ascii="Arial" w:cs="Arial" w:eastAsia="Arial" w:hAnsi="Arial"/>
          <w:color w:val="1A1A1A"/>
          <w:sz w:val="20"/>
          <w:szCs w:val="20"/>
        </w:rPr>
        <w:t xml:space="preserve">En caso de violación de datos (art. 4(12) RGPD), BridalB2B SL notificará a la Tienda en las 24 horas siguientes indicando: naturaleza del incidente, categorías y volumen de datos, consecuencias probables y medidas adoptadas. La Tienda es la única responsable de notificar a la AEPD en el plazo de 72 horas (art. 33 RGPD).</w:t>
      </w:r>
    </w:p>
    <w:p>
      <w:pPr>
        <w:spacing w:after="60" w:before="60"/>
      </w:pPr>
      <w:r>
        <w:t xml:space="preserve"/>
      </w:r>
    </w:p>
    <w:p>
      <w:pPr>
        <w:pStyle w:val="Heading1"/>
        <w:shd w:fill="534AB7" w:val="clear"/>
        <w:spacing w:after="200" w:before="400"/>
        <w:ind w:left="200" w:right="200"/>
      </w:pPr>
      <w:r>
        <w:rPr>
          <w:rFonts w:ascii="Arial" w:cs="Arial" w:eastAsia="Arial" w:hAnsi="Arial"/>
          <w:b/>
          <w:bCs/>
          <w:color w:val="FFFFFF"/>
          <w:sz w:val="28"/>
          <w:szCs w:val="28"/>
        </w:rPr>
        <w:t xml:space="preserve">ARTÍCULO DPA-12 — DERECHO APLICABLE Y AUTORIDADES DE CONTROL</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c>
          <w:tcPr>
            <w:tcW w:type="dxa" w:w="2800"/>
            <w:tcBorders>
              <w:top w:val="single" w:color="CCCCCC" w:sz="1"/>
              <w:left w:val="single" w:color="CCCCCC" w:sz="1"/>
              <w:bottom w:val="single" w:color="CCCCCC" w:sz="1"/>
              <w:right w:val="single" w:color="CCCCCC" w:sz="1"/>
            </w:tcBorders>
            <w:shd w:fill="534AB7" w:val="clear"/>
            <w:tcMar>
              <w:top w:type="dxa" w:w="80"/>
              <w:left w:type="dxa" w:w="120"/>
              <w:bottom w:type="dxa" w:w="80"/>
              <w:right w:type="dxa" w:w="120"/>
            </w:tcMar>
          </w:tcPr>
          <w:p>
            <w:pPr>
              <w:spacing w:after="0" w:before="0"/>
            </w:pPr>
            <w:r>
              <w:rPr>
                <w:rFonts w:ascii="Arial" w:cs="Arial" w:eastAsia="Arial" w:hAnsi="Arial"/>
                <w:b/>
                <w:bCs/>
                <w:color w:val="FFFFFF"/>
                <w:sz w:val="19"/>
                <w:szCs w:val="19"/>
              </w:rPr>
              <w:t xml:space="preserve">Derecho aplicable</w:t>
            </w:r>
          </w:p>
        </w:tc>
        <w:tc>
          <w:tcPr>
            <w:tcW w:type="dxa" w:w="6226"/>
            <w:tcBorders>
              <w:top w:val="single" w:color="CCCCCC" w:sz="1"/>
              <w:left w:val="single" w:color="CCCCCC" w:sz="1"/>
              <w:bottom w:val="single" w:color="CCCCCC" w:sz="1"/>
              <w:right w:val="single" w:color="CCCCCC" w:sz="1"/>
            </w:tcBorders>
            <w:shd w:fill="534AB7" w:val="clear"/>
            <w:tcMar>
              <w:top w:type="dxa" w:w="80"/>
              <w:left w:type="dxa" w:w="120"/>
              <w:bottom w:type="dxa" w:w="80"/>
              <w:right w:type="dxa" w:w="120"/>
            </w:tcMar>
          </w:tcPr>
          <w:p>
            <w:pPr>
              <w:spacing w:after="0" w:before="0"/>
            </w:pPr>
            <w:r>
              <w:rPr>
                <w:rFonts w:ascii="Arial" w:cs="Arial" w:eastAsia="Arial" w:hAnsi="Arial"/>
                <w:b/>
                <w:bCs/>
                <w:color w:val="FFFFFF"/>
                <w:sz w:val="19"/>
                <w:szCs w:val="19"/>
              </w:rPr>
              <w:t xml:space="preserve">Derecho español, RGPD (UE) 2016/679, LOPDGDD (LO 3/2018)</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España</w:t>
            </w:r>
          </w:p>
        </w:tc>
        <w:tc>
          <w:tcPr>
            <w:tcW w:type="dxa" w:w="6226"/>
            <w:tcBorders>
              <w:top w:val="single" w:color="CCCCCC" w:sz="1"/>
              <w:left w:val="single" w:color="CCCCCC" w:sz="1"/>
              <w:bottom w:val="single" w:color="CCCCCC" w:sz="1"/>
              <w:right w:val="single" w:color="CCCCCC" w:sz="1"/>
            </w:tcBorders>
            <w:shd w:fill="EEEDFE" w:val="clear"/>
            <w:tcMar>
              <w:top w:type="dxa" w:w="80"/>
              <w:left w:type="dxa" w:w="120"/>
              <w:bottom w:type="dxa" w:w="80"/>
              <w:right w:type="dxa" w:w="120"/>
            </w:tcMar>
          </w:tcPr>
          <w:p>
            <w:pPr>
              <w:spacing w:after="0" w:before="0"/>
            </w:pPr>
            <w:r>
              <w:rPr>
                <w:rFonts w:ascii="Arial" w:cs="Arial" w:eastAsia="Arial" w:hAnsi="Arial"/>
                <w:b w:val="false"/>
                <w:bCs w:val="false"/>
                <w:color w:val="3C3489"/>
                <w:sz w:val="19"/>
                <w:szCs w:val="19"/>
              </w:rPr>
              <w:t xml:space="preserve">AEPD — www.aepd.es — C/ Jorge Juan, 6 — 28001 Madrid</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Francia</w:t>
            </w:r>
          </w:p>
        </w:tc>
        <w:tc>
          <w:tcPr>
            <w:tcW w:type="dxa" w:w="6226"/>
            <w:tcBorders>
              <w:top w:val="single" w:color="CCCCCC" w:sz="1"/>
              <w:left w:val="single" w:color="CCCCCC" w:sz="1"/>
              <w:bottom w:val="single" w:color="CCCCCC" w:sz="1"/>
              <w:right w:val="single" w:color="CCCCCC" w:sz="1"/>
            </w:tcBorders>
            <w:shd w:fill="EEEDFE" w:val="clear"/>
            <w:tcMar>
              <w:top w:type="dxa" w:w="80"/>
              <w:left w:type="dxa" w:w="120"/>
              <w:bottom w:type="dxa" w:w="80"/>
              <w:right w:type="dxa" w:w="120"/>
            </w:tcMar>
          </w:tcPr>
          <w:p>
            <w:pPr>
              <w:spacing w:after="0" w:before="0"/>
            </w:pPr>
            <w:r>
              <w:rPr>
                <w:rFonts w:ascii="Arial" w:cs="Arial" w:eastAsia="Arial" w:hAnsi="Arial"/>
                <w:b w:val="false"/>
                <w:bCs w:val="false"/>
                <w:color w:val="3C3489"/>
                <w:sz w:val="19"/>
                <w:szCs w:val="19"/>
              </w:rPr>
              <w:t xml:space="preserve">CNIL — www.cnil.fr</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Alemania</w:t>
            </w:r>
          </w:p>
        </w:tc>
        <w:tc>
          <w:tcPr>
            <w:tcW w:type="dxa" w:w="6226"/>
            <w:tcBorders>
              <w:top w:val="single" w:color="CCCCCC" w:sz="1"/>
              <w:left w:val="single" w:color="CCCCCC" w:sz="1"/>
              <w:bottom w:val="single" w:color="CCCCCC" w:sz="1"/>
              <w:right w:val="single" w:color="CCCCCC" w:sz="1"/>
            </w:tcBorders>
            <w:shd w:fill="EEEDFE" w:val="clear"/>
            <w:tcMar>
              <w:top w:type="dxa" w:w="80"/>
              <w:left w:type="dxa" w:w="120"/>
              <w:bottom w:type="dxa" w:w="80"/>
              <w:right w:type="dxa" w:w="120"/>
            </w:tcMar>
          </w:tcPr>
          <w:p>
            <w:pPr>
              <w:spacing w:after="0" w:before="0"/>
            </w:pPr>
            <w:r>
              <w:rPr>
                <w:rFonts w:ascii="Arial" w:cs="Arial" w:eastAsia="Arial" w:hAnsi="Arial"/>
                <w:b w:val="false"/>
                <w:bCs w:val="false"/>
                <w:color w:val="3C3489"/>
                <w:sz w:val="19"/>
                <w:szCs w:val="19"/>
              </w:rPr>
              <w:t xml:space="preserve">BfDI — www.bfdi.bund.de</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Bélgica</w:t>
            </w:r>
          </w:p>
        </w:tc>
        <w:tc>
          <w:tcPr>
            <w:tcW w:type="dxa" w:w="6226"/>
            <w:tcBorders>
              <w:top w:val="single" w:color="CCCCCC" w:sz="1"/>
              <w:left w:val="single" w:color="CCCCCC" w:sz="1"/>
              <w:bottom w:val="single" w:color="CCCCCC" w:sz="1"/>
              <w:right w:val="single" w:color="CCCCCC" w:sz="1"/>
            </w:tcBorders>
            <w:shd w:fill="EEEDFE" w:val="clear"/>
            <w:tcMar>
              <w:top w:type="dxa" w:w="80"/>
              <w:left w:type="dxa" w:w="120"/>
              <w:bottom w:type="dxa" w:w="80"/>
              <w:right w:type="dxa" w:w="120"/>
            </w:tcMar>
          </w:tcPr>
          <w:p>
            <w:pPr>
              <w:spacing w:after="0" w:before="0"/>
            </w:pPr>
            <w:r>
              <w:rPr>
                <w:rFonts w:ascii="Arial" w:cs="Arial" w:eastAsia="Arial" w:hAnsi="Arial"/>
                <w:b w:val="false"/>
                <w:bCs w:val="false"/>
                <w:color w:val="3C3489"/>
                <w:sz w:val="19"/>
                <w:szCs w:val="19"/>
              </w:rPr>
              <w:t xml:space="preserve">APD — www.autoriteprotectiondonnees.be</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Países Bajos</w:t>
            </w:r>
          </w:p>
        </w:tc>
        <w:tc>
          <w:tcPr>
            <w:tcW w:type="dxa" w:w="6226"/>
            <w:tcBorders>
              <w:top w:val="single" w:color="CCCCCC" w:sz="1"/>
              <w:left w:val="single" w:color="CCCCCC" w:sz="1"/>
              <w:bottom w:val="single" w:color="CCCCCC" w:sz="1"/>
              <w:right w:val="single" w:color="CCCCCC" w:sz="1"/>
            </w:tcBorders>
            <w:shd w:fill="EEEDFE" w:val="clear"/>
            <w:tcMar>
              <w:top w:type="dxa" w:w="80"/>
              <w:left w:type="dxa" w:w="120"/>
              <w:bottom w:type="dxa" w:w="80"/>
              <w:right w:type="dxa" w:w="120"/>
            </w:tcMar>
          </w:tcPr>
          <w:p>
            <w:pPr>
              <w:spacing w:after="0" w:before="0"/>
            </w:pPr>
            <w:r>
              <w:rPr>
                <w:rFonts w:ascii="Arial" w:cs="Arial" w:eastAsia="Arial" w:hAnsi="Arial"/>
                <w:b w:val="false"/>
                <w:bCs w:val="false"/>
                <w:color w:val="3C3489"/>
                <w:sz w:val="19"/>
                <w:szCs w:val="19"/>
              </w:rPr>
              <w:t xml:space="preserve">AP — www.autoriteitpersoonsgegevens.nl</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val="false"/>
                <w:bCs w:val="false"/>
                <w:color w:val="1A1A1A"/>
                <w:sz w:val="19"/>
                <w:szCs w:val="19"/>
              </w:rPr>
              <w:t xml:space="preserve">Luxemburgo</w:t>
            </w:r>
          </w:p>
        </w:tc>
        <w:tc>
          <w:tcPr>
            <w:tcW w:type="dxa" w:w="6226"/>
            <w:tcBorders>
              <w:top w:val="single" w:color="CCCCCC" w:sz="1"/>
              <w:left w:val="single" w:color="CCCCCC" w:sz="1"/>
              <w:bottom w:val="single" w:color="CCCCCC" w:sz="1"/>
              <w:right w:val="single" w:color="CCCCCC" w:sz="1"/>
            </w:tcBorders>
            <w:shd w:fill="EEEDFE" w:val="clear"/>
            <w:tcMar>
              <w:top w:type="dxa" w:w="80"/>
              <w:left w:type="dxa" w:w="120"/>
              <w:bottom w:type="dxa" w:w="80"/>
              <w:right w:type="dxa" w:w="120"/>
            </w:tcMar>
          </w:tcPr>
          <w:p>
            <w:pPr>
              <w:spacing w:after="0" w:before="0"/>
            </w:pPr>
            <w:r>
              <w:rPr>
                <w:rFonts w:ascii="Arial" w:cs="Arial" w:eastAsia="Arial" w:hAnsi="Arial"/>
                <w:b w:val="false"/>
                <w:bCs w:val="false"/>
                <w:color w:val="3C3489"/>
                <w:sz w:val="19"/>
                <w:szCs w:val="19"/>
              </w:rPr>
              <w:t xml:space="preserve">CNPD — www.cnpd.lu</w:t>
            </w:r>
          </w:p>
        </w:tc>
      </w:tr>
    </w:tbl>
    <w:p>
      <w:pPr>
        <w:spacing w:after="60" w:before="60"/>
      </w:pPr>
      <w:r>
        <w:t xml:space="preserve"/>
      </w:r>
    </w:p>
    <w:p>
      <w:pPr>
        <w:pStyle w:val="Heading1"/>
        <w:shd w:fill="534AB7" w:val="clear"/>
        <w:spacing w:after="200" w:before="400"/>
        <w:ind w:left="200" w:right="200"/>
      </w:pPr>
      <w:r>
        <w:rPr>
          <w:rFonts w:ascii="Arial" w:cs="Arial" w:eastAsia="Arial" w:hAnsi="Arial"/>
          <w:b/>
          <w:bCs/>
          <w:color w:val="FFFFFF"/>
          <w:sz w:val="28"/>
          <w:szCs w:val="28"/>
        </w:rPr>
        <w:t xml:space="preserve">ANEXO A — DESCRIPCIÓN DETALLADA DE LOS TRATAMIENTOS</w:t>
      </w:r>
    </w:p>
    <w:p>
      <w:pPr>
        <w:spacing w:after="80" w:before="60"/>
        <w:jc w:val="both"/>
      </w:pPr>
      <w:r>
        <w:rPr>
          <w:rFonts w:ascii="Arial" w:cs="Arial" w:eastAsia="Arial" w:hAnsi="Arial"/>
          <w:color w:val="1A1A1A"/>
          <w:sz w:val="20"/>
          <w:szCs w:val="20"/>
        </w:rPr>
        <w:t xml:space="preserve">De conformidad con el artículo 28(3) del RGPD:</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3613"/>
        <w:gridCol w:w="3013"/>
      </w:tblGrid>
      <w:tr>
        <w:tc>
          <w:tcPr>
            <w:tcW w:type="dxa" w:w="2400"/>
            <w:tcBorders>
              <w:top w:val="single" w:color="CCCCCC" w:sz="1"/>
              <w:left w:val="single" w:color="CCCCCC" w:sz="1"/>
              <w:bottom w:val="single" w:color="CCCCCC" w:sz="1"/>
              <w:right w:val="single" w:color="CCCCCC" w:sz="1"/>
            </w:tcBorders>
            <w:shd w:fill="534AB7" w:val="clear"/>
            <w:tcMar>
              <w:top w:type="dxa" w:w="80"/>
              <w:left w:type="dxa" w:w="120"/>
              <w:bottom w:type="dxa" w:w="80"/>
              <w:right w:type="dxa" w:w="120"/>
            </w:tcMar>
          </w:tcPr>
          <w:p>
            <w:pPr>
              <w:spacing w:after="0" w:before="0"/>
            </w:pPr>
            <w:r>
              <w:rPr>
                <w:rFonts w:ascii="Arial" w:cs="Arial" w:eastAsia="Arial" w:hAnsi="Arial"/>
                <w:b/>
                <w:bCs/>
                <w:color w:val="FFFFFF"/>
                <w:sz w:val="18"/>
                <w:szCs w:val="18"/>
              </w:rPr>
              <w:t xml:space="preserve">Tratamiento</w:t>
            </w:r>
          </w:p>
        </w:tc>
        <w:tc>
          <w:tcPr>
            <w:tcW w:type="dxa" w:w="3613"/>
            <w:tcBorders>
              <w:top w:val="single" w:color="CCCCCC" w:sz="1"/>
              <w:left w:val="single" w:color="CCCCCC" w:sz="1"/>
              <w:bottom w:val="single" w:color="CCCCCC" w:sz="1"/>
              <w:right w:val="single" w:color="CCCCCC" w:sz="1"/>
            </w:tcBorders>
            <w:shd w:fill="534AB7" w:val="clear"/>
            <w:tcMar>
              <w:top w:type="dxa" w:w="80"/>
              <w:left w:type="dxa" w:w="120"/>
              <w:bottom w:type="dxa" w:w="80"/>
              <w:right w:type="dxa" w:w="120"/>
            </w:tcMar>
          </w:tcPr>
          <w:p>
            <w:pPr>
              <w:spacing w:after="0" w:before="0"/>
            </w:pPr>
            <w:r>
              <w:rPr>
                <w:rFonts w:ascii="Arial" w:cs="Arial" w:eastAsia="Arial" w:hAnsi="Arial"/>
                <w:b/>
                <w:bCs/>
                <w:color w:val="FFFFFF"/>
                <w:sz w:val="18"/>
                <w:szCs w:val="18"/>
              </w:rPr>
              <w:t xml:space="preserve">Datos concernidos</w:t>
            </w:r>
          </w:p>
        </w:tc>
        <w:tc>
          <w:tcPr>
            <w:tcW w:type="dxa" w:w="3013"/>
            <w:tcBorders>
              <w:top w:val="single" w:color="CCCCCC" w:sz="1"/>
              <w:left w:val="single" w:color="CCCCCC" w:sz="1"/>
              <w:bottom w:val="single" w:color="CCCCCC" w:sz="1"/>
              <w:right w:val="single" w:color="CCCCCC" w:sz="1"/>
            </w:tcBorders>
            <w:shd w:fill="534AB7" w:val="clear"/>
            <w:tcMar>
              <w:top w:type="dxa" w:w="80"/>
              <w:left w:type="dxa" w:w="120"/>
              <w:bottom w:type="dxa" w:w="80"/>
              <w:right w:type="dxa" w:w="120"/>
            </w:tcMar>
          </w:tcPr>
          <w:p>
            <w:pPr>
              <w:spacing w:after="0" w:before="0"/>
            </w:pPr>
            <w:r>
              <w:rPr>
                <w:rFonts w:ascii="Arial" w:cs="Arial" w:eastAsia="Arial" w:hAnsi="Arial"/>
                <w:b/>
                <w:bCs/>
                <w:color w:val="FFFFFF"/>
                <w:sz w:val="18"/>
                <w:szCs w:val="18"/>
              </w:rPr>
              <w:t xml:space="preserve">Plazo de conservación</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val="false"/>
                <w:bCs w:val="false"/>
                <w:color w:val="1A1A1A"/>
                <w:sz w:val="18"/>
                <w:szCs w:val="18"/>
              </w:rPr>
              <w:t xml:space="preserve">Gestión de citas</w:t>
            </w:r>
          </w:p>
        </w:tc>
        <w:tc>
          <w:tcPr>
            <w:tcW w:type="dxa" w:w="3613"/>
            <w:tcBorders>
              <w:top w:val="single" w:color="CCCCCC" w:sz="1"/>
              <w:left w:val="single" w:color="CCCCCC" w:sz="1"/>
              <w:bottom w:val="single" w:color="CCCCCC" w:sz="1"/>
              <w:right w:val="single" w:color="CCCCCC" w:sz="1"/>
            </w:tcBorders>
            <w:shd w:fill="EEEDFE" w:val="clear"/>
            <w:tcMar>
              <w:top w:type="dxa" w:w="80"/>
              <w:left w:type="dxa" w:w="120"/>
              <w:bottom w:type="dxa" w:w="80"/>
              <w:right w:type="dxa" w:w="120"/>
            </w:tcMar>
          </w:tcPr>
          <w:p>
            <w:pPr>
              <w:spacing w:after="0" w:before="0"/>
            </w:pPr>
            <w:r>
              <w:rPr>
                <w:rFonts w:ascii="Arial" w:cs="Arial" w:eastAsia="Arial" w:hAnsi="Arial"/>
                <w:b w:val="false"/>
                <w:bCs w:val="false"/>
                <w:color w:val="3C3489"/>
                <w:sz w:val="18"/>
                <w:szCs w:val="18"/>
              </w:rPr>
              <w:t xml:space="preserve">Nombre, apellidos, email, teléfono, fecha/hora, motivo, comentario</w:t>
            </w:r>
          </w:p>
        </w:tc>
        <w:tc>
          <w:tcPr>
            <w:tcW w:type="dxa" w:w="3013"/>
            <w:tcBorders>
              <w:top w:val="single" w:color="CCCCCC" w:sz="1"/>
              <w:left w:val="single" w:color="CCCCCC" w:sz="1"/>
              <w:bottom w:val="single" w:color="CCCCCC" w:sz="1"/>
              <w:right w:val="single" w:color="CCCCCC" w:sz="1"/>
            </w:tcBorders>
            <w:shd w:fill="EEEDFE" w:val="clear"/>
            <w:tcMar>
              <w:top w:type="dxa" w:w="80"/>
              <w:left w:type="dxa" w:w="120"/>
              <w:bottom w:type="dxa" w:w="80"/>
              <w:right w:type="dxa" w:w="120"/>
            </w:tcMar>
          </w:tcPr>
          <w:p>
            <w:pPr>
              <w:spacing w:after="0" w:before="0"/>
            </w:pPr>
            <w:r>
              <w:rPr>
                <w:rFonts w:ascii="Arial" w:cs="Arial" w:eastAsia="Arial" w:hAnsi="Arial"/>
                <w:b w:val="false"/>
                <w:bCs w:val="false"/>
                <w:color w:val="3C3489"/>
                <w:sz w:val="18"/>
                <w:szCs w:val="18"/>
              </w:rPr>
              <w:t xml:space="preserve">3 años desde el último contacto</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val="false"/>
                <w:bCs w:val="false"/>
                <w:color w:val="1A1A1A"/>
                <w:sz w:val="18"/>
                <w:szCs w:val="18"/>
              </w:rPr>
              <w:t xml:space="preserve">Confirmaciones/recordatorios</w:t>
            </w:r>
          </w:p>
        </w:tc>
        <w:tc>
          <w:tcPr>
            <w:tcW w:type="dxa" w:w="3613"/>
            <w:tcBorders>
              <w:top w:val="single" w:color="CCCCCC" w:sz="1"/>
              <w:left w:val="single" w:color="CCCCCC" w:sz="1"/>
              <w:bottom w:val="single" w:color="CCCCCC" w:sz="1"/>
              <w:right w:val="single" w:color="CCCCCC" w:sz="1"/>
            </w:tcBorders>
            <w:shd w:fill="EEEDFE" w:val="clear"/>
            <w:tcMar>
              <w:top w:type="dxa" w:w="80"/>
              <w:left w:type="dxa" w:w="120"/>
              <w:bottom w:type="dxa" w:w="80"/>
              <w:right w:type="dxa" w:w="120"/>
            </w:tcMar>
          </w:tcPr>
          <w:p>
            <w:pPr>
              <w:spacing w:after="0" w:before="0"/>
            </w:pPr>
            <w:r>
              <w:rPr>
                <w:rFonts w:ascii="Arial" w:cs="Arial" w:eastAsia="Arial" w:hAnsi="Arial"/>
                <w:b w:val="false"/>
                <w:bCs w:val="false"/>
                <w:color w:val="3C3489"/>
                <w:sz w:val="18"/>
                <w:szCs w:val="18"/>
              </w:rPr>
              <w:t xml:space="preserve">Email, teléfono, contenido, fecha, estado de entrega</w:t>
            </w:r>
          </w:p>
        </w:tc>
        <w:tc>
          <w:tcPr>
            <w:tcW w:type="dxa" w:w="3013"/>
            <w:tcBorders>
              <w:top w:val="single" w:color="CCCCCC" w:sz="1"/>
              <w:left w:val="single" w:color="CCCCCC" w:sz="1"/>
              <w:bottom w:val="single" w:color="CCCCCC" w:sz="1"/>
              <w:right w:val="single" w:color="CCCCCC" w:sz="1"/>
            </w:tcBorders>
            <w:shd w:fill="EEEDFE" w:val="clear"/>
            <w:tcMar>
              <w:top w:type="dxa" w:w="80"/>
              <w:left w:type="dxa" w:w="120"/>
              <w:bottom w:type="dxa" w:w="80"/>
              <w:right w:type="dxa" w:w="120"/>
            </w:tcMar>
          </w:tcPr>
          <w:p>
            <w:pPr>
              <w:spacing w:after="0" w:before="0"/>
            </w:pPr>
            <w:r>
              <w:rPr>
                <w:rFonts w:ascii="Arial" w:cs="Arial" w:eastAsia="Arial" w:hAnsi="Arial"/>
                <w:b w:val="false"/>
                <w:bCs w:val="false"/>
                <w:color w:val="3C3489"/>
                <w:sz w:val="18"/>
                <w:szCs w:val="18"/>
              </w:rPr>
              <w:t xml:space="preserve">1 año (registros de comunicación)</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val="false"/>
                <w:bCs w:val="false"/>
                <w:color w:val="1A1A1A"/>
                <w:sz w:val="18"/>
                <w:szCs w:val="18"/>
              </w:rPr>
              <w:t xml:space="preserve">CRM clientas</w:t>
            </w:r>
          </w:p>
        </w:tc>
        <w:tc>
          <w:tcPr>
            <w:tcW w:type="dxa" w:w="3613"/>
            <w:tcBorders>
              <w:top w:val="single" w:color="CCCCCC" w:sz="1"/>
              <w:left w:val="single" w:color="CCCCCC" w:sz="1"/>
              <w:bottom w:val="single" w:color="CCCCCC" w:sz="1"/>
              <w:right w:val="single" w:color="CCCCCC" w:sz="1"/>
            </w:tcBorders>
            <w:shd w:fill="EEEDFE" w:val="clear"/>
            <w:tcMar>
              <w:top w:type="dxa" w:w="80"/>
              <w:left w:type="dxa" w:w="120"/>
              <w:bottom w:type="dxa" w:w="80"/>
              <w:right w:type="dxa" w:w="120"/>
            </w:tcMar>
          </w:tcPr>
          <w:p>
            <w:pPr>
              <w:spacing w:after="0" w:before="0"/>
            </w:pPr>
            <w:r>
              <w:rPr>
                <w:rFonts w:ascii="Arial" w:cs="Arial" w:eastAsia="Arial" w:hAnsi="Arial"/>
                <w:b w:val="false"/>
                <w:bCs w:val="false"/>
                <w:color w:val="3C3489"/>
                <w:sz w:val="18"/>
                <w:szCs w:val="18"/>
              </w:rPr>
              <w:t xml:space="preserve">Nombre, apellidos, email, teléfono, historial, notas internas</w:t>
            </w:r>
          </w:p>
        </w:tc>
        <w:tc>
          <w:tcPr>
            <w:tcW w:type="dxa" w:w="3013"/>
            <w:tcBorders>
              <w:top w:val="single" w:color="CCCCCC" w:sz="1"/>
              <w:left w:val="single" w:color="CCCCCC" w:sz="1"/>
              <w:bottom w:val="single" w:color="CCCCCC" w:sz="1"/>
              <w:right w:val="single" w:color="CCCCCC" w:sz="1"/>
            </w:tcBorders>
            <w:shd w:fill="EEEDFE" w:val="clear"/>
            <w:tcMar>
              <w:top w:type="dxa" w:w="80"/>
              <w:left w:type="dxa" w:w="120"/>
              <w:bottom w:type="dxa" w:w="80"/>
              <w:right w:type="dxa" w:w="120"/>
            </w:tcMar>
          </w:tcPr>
          <w:p>
            <w:pPr>
              <w:spacing w:after="0" w:before="0"/>
            </w:pPr>
            <w:r>
              <w:rPr>
                <w:rFonts w:ascii="Arial" w:cs="Arial" w:eastAsia="Arial" w:hAnsi="Arial"/>
                <w:b w:val="false"/>
                <w:bCs w:val="false"/>
                <w:color w:val="3C3489"/>
                <w:sz w:val="18"/>
                <w:szCs w:val="18"/>
              </w:rPr>
              <w:t xml:space="preserve">3 años desde el último contacto activo</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val="false"/>
                <w:bCs w:val="false"/>
                <w:color w:val="1A1A1A"/>
                <w:sz w:val="18"/>
                <w:szCs w:val="18"/>
              </w:rPr>
              <w:t xml:space="preserve">Facturación / transacciones</w:t>
            </w:r>
          </w:p>
        </w:tc>
        <w:tc>
          <w:tcPr>
            <w:tcW w:type="dxa" w:w="3613"/>
            <w:tcBorders>
              <w:top w:val="single" w:color="CCCCCC" w:sz="1"/>
              <w:left w:val="single" w:color="CCCCCC" w:sz="1"/>
              <w:bottom w:val="single" w:color="CCCCCC" w:sz="1"/>
              <w:right w:val="single" w:color="CCCCCC" w:sz="1"/>
            </w:tcBorders>
            <w:shd w:fill="EEEDFE" w:val="clear"/>
            <w:tcMar>
              <w:top w:type="dxa" w:w="80"/>
              <w:left w:type="dxa" w:w="120"/>
              <w:bottom w:type="dxa" w:w="80"/>
              <w:right w:type="dxa" w:w="120"/>
            </w:tcMar>
          </w:tcPr>
          <w:p>
            <w:pPr>
              <w:spacing w:after="0" w:before="0"/>
            </w:pPr>
            <w:r>
              <w:rPr>
                <w:rFonts w:ascii="Arial" w:cs="Arial" w:eastAsia="Arial" w:hAnsi="Arial"/>
                <w:b w:val="false"/>
                <w:bCs w:val="false"/>
                <w:color w:val="3C3489"/>
                <w:sz w:val="18"/>
                <w:szCs w:val="18"/>
              </w:rPr>
              <w:t xml:space="preserve">Nombre, importes, artículos, fecha, forma de pago</w:t>
            </w:r>
          </w:p>
        </w:tc>
        <w:tc>
          <w:tcPr>
            <w:tcW w:type="dxa" w:w="3013"/>
            <w:tcBorders>
              <w:top w:val="single" w:color="CCCCCC" w:sz="1"/>
              <w:left w:val="single" w:color="CCCCCC" w:sz="1"/>
              <w:bottom w:val="single" w:color="CCCCCC" w:sz="1"/>
              <w:right w:val="single" w:color="CCCCCC" w:sz="1"/>
            </w:tcBorders>
            <w:shd w:fill="EEEDFE" w:val="clear"/>
            <w:tcMar>
              <w:top w:type="dxa" w:w="80"/>
              <w:left w:type="dxa" w:w="120"/>
              <w:bottom w:type="dxa" w:w="80"/>
              <w:right w:type="dxa" w:w="120"/>
            </w:tcMar>
          </w:tcPr>
          <w:p>
            <w:pPr>
              <w:spacing w:after="0" w:before="0"/>
            </w:pPr>
            <w:r>
              <w:rPr>
                <w:rFonts w:ascii="Arial" w:cs="Arial" w:eastAsia="Arial" w:hAnsi="Arial"/>
                <w:b w:val="false"/>
                <w:bCs w:val="false"/>
                <w:color w:val="3C3489"/>
                <w:sz w:val="18"/>
                <w:szCs w:val="18"/>
              </w:rPr>
              <w:t xml:space="preserve">7 años (obligación contable — Código de Comercio)</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val="false"/>
                <w:bCs w:val="false"/>
                <w:color w:val="1A1A1A"/>
                <w:sz w:val="18"/>
                <w:szCs w:val="18"/>
              </w:rPr>
              <w:t xml:space="preserve">Comunicaciones marketing</w:t>
            </w:r>
          </w:p>
        </w:tc>
        <w:tc>
          <w:tcPr>
            <w:tcW w:type="dxa" w:w="3613"/>
            <w:tcBorders>
              <w:top w:val="single" w:color="CCCCCC" w:sz="1"/>
              <w:left w:val="single" w:color="CCCCCC" w:sz="1"/>
              <w:bottom w:val="single" w:color="CCCCCC" w:sz="1"/>
              <w:right w:val="single" w:color="CCCCCC" w:sz="1"/>
            </w:tcBorders>
            <w:shd w:fill="EEEDFE" w:val="clear"/>
            <w:tcMar>
              <w:top w:type="dxa" w:w="80"/>
              <w:left w:type="dxa" w:w="120"/>
              <w:bottom w:type="dxa" w:w="80"/>
              <w:right w:type="dxa" w:w="120"/>
            </w:tcMar>
          </w:tcPr>
          <w:p>
            <w:pPr>
              <w:spacing w:after="0" w:before="0"/>
            </w:pPr>
            <w:r>
              <w:rPr>
                <w:rFonts w:ascii="Arial" w:cs="Arial" w:eastAsia="Arial" w:hAnsi="Arial"/>
                <w:b w:val="false"/>
                <w:bCs w:val="false"/>
                <w:color w:val="3C3489"/>
                <w:sz w:val="18"/>
                <w:szCs w:val="18"/>
              </w:rPr>
              <w:t xml:space="preserve">Email, teléfono, consentimientos con marca de tiempo, contenido</w:t>
            </w:r>
          </w:p>
        </w:tc>
        <w:tc>
          <w:tcPr>
            <w:tcW w:type="dxa" w:w="3013"/>
            <w:tcBorders>
              <w:top w:val="single" w:color="CCCCCC" w:sz="1"/>
              <w:left w:val="single" w:color="CCCCCC" w:sz="1"/>
              <w:bottom w:val="single" w:color="CCCCCC" w:sz="1"/>
              <w:right w:val="single" w:color="CCCCCC" w:sz="1"/>
            </w:tcBorders>
            <w:shd w:fill="EEEDFE" w:val="clear"/>
            <w:tcMar>
              <w:top w:type="dxa" w:w="80"/>
              <w:left w:type="dxa" w:w="120"/>
              <w:bottom w:type="dxa" w:w="80"/>
              <w:right w:type="dxa" w:w="120"/>
            </w:tcMar>
          </w:tcPr>
          <w:p>
            <w:pPr>
              <w:spacing w:after="0" w:before="0"/>
            </w:pPr>
            <w:r>
              <w:rPr>
                <w:rFonts w:ascii="Arial" w:cs="Arial" w:eastAsia="Arial" w:hAnsi="Arial"/>
                <w:b w:val="false"/>
                <w:bCs w:val="false"/>
                <w:color w:val="3C3489"/>
                <w:sz w:val="18"/>
                <w:szCs w:val="18"/>
              </w:rPr>
              <w:t xml:space="preserve">3 años o hasta retirada del consentimiento</w:t>
            </w:r>
          </w:p>
        </w:tc>
      </w:tr>
    </w:tbl>
    <w:p>
      <w:pPr>
        <w:spacing w:after="60" w:before="60"/>
      </w:pPr>
      <w:r>
        <w:t xml:space="preserve"/>
      </w:r>
    </w:p>
    <w:p>
      <w:pPr>
        <w:spacing w:after="60" w:before="60"/>
      </w:pPr>
      <w:r>
        <w:t xml:space="preserve"/>
      </w:r>
    </w:p>
    <w:p>
      <w:pPr>
        <w:pBdr>
          <w:top w:val="single" w:color="0891B2" w:sz="4" w:space="4"/>
        </w:pBdr>
        <w:spacing w:after="100" w:before="300"/>
        <w:jc w:val="center"/>
      </w:pPr>
      <w:r>
        <w:rPr>
          <w:rFonts w:ascii="Arial" w:cs="Arial" w:eastAsia="Arial" w:hAnsi="Arial"/>
          <w:i/>
          <w:iCs/>
          <w:color w:val="444444"/>
          <w:sz w:val="19"/>
          <w:szCs w:val="19"/>
        </w:rPr>
        <w:t xml:space="preserve">Al marcar la casilla de aceptación durante la creación de su cuenta, usted acepta la Parte I (CGCU) y la Parte II (DPA) en su totalidad.</w:t>
      </w:r>
    </w:p>
    <w:p>
      <w:pPr>
        <w:jc w:val="center"/>
      </w:pPr>
      <w:r>
        <w:rPr>
          <w:rFonts w:ascii="Arial" w:cs="Arial" w:eastAsia="Arial" w:hAnsi="Arial"/>
          <w:color w:val="888888"/>
          <w:sz w:val="17"/>
          <w:szCs w:val="17"/>
        </w:rPr>
        <w:t xml:space="preserve">BrideALL — Versión 1.0 — Junio 2026 — BridalB2B SL — CIF ES67417485 — www.bride-all.com</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891B2" w:sz="4" w:space="1"/>
      </w:pBdr>
      <w:tabs>
        <w:tab w:val="right" w:pos="9026"/>
      </w:tabs>
      <w:spacing w:after="0" w:before="80"/>
    </w:pPr>
    <w:r>
      <w:rPr>
        <w:rFonts w:ascii="Arial" w:cs="Arial" w:eastAsia="Arial" w:hAnsi="Arial"/>
        <w:color w:val="666666"/>
        <w:sz w:val="17"/>
        <w:szCs w:val="17"/>
      </w:rPr>
      <w:t xml:space="preserve">www.bride-all.com  |  hello@bride-all.com</w:t>
    </w:r>
    <w:r>
      <w:rPr>
        <w:rFonts w:ascii="Arial" w:cs="Arial" w:eastAsia="Arial" w:hAnsi="Arial"/>
        <w:sz w:val="17"/>
        <w:szCs w:val="17"/>
      </w:rPr>
      <w:t xml:space="preserve">	</w:t>
    </w:r>
    <w:r>
      <w:rPr>
        <w:rFonts w:ascii="Arial" w:cs="Arial" w:eastAsia="Arial" w:hAnsi="Arial"/>
        <w:color w:val="666666"/>
        <w:sz w:val="17"/>
        <w:szCs w:val="17"/>
      </w:rPr>
      <w:t xml:space="preserve">Página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891B2" w:sz="4" w:space="1"/>
      </w:pBdr>
      <w:tabs>
        <w:tab w:val="right" w:pos="9026"/>
      </w:tabs>
      <w:spacing w:after="80" w:before="0"/>
    </w:pPr>
    <w:r>
      <w:rPr>
        <w:rFonts w:ascii="Arial" w:cs="Arial" w:eastAsia="Arial" w:hAnsi="Arial"/>
        <w:color w:val="666666"/>
        <w:sz w:val="18"/>
        <w:szCs w:val="18"/>
      </w:rPr>
      <w:t xml:space="preserve">BrideALL — CGC/CGV + DPA — España</w:t>
    </w:r>
    <w:r>
      <w:rPr>
        <w:rFonts w:ascii="Arial" w:cs="Arial" w:eastAsia="Arial" w:hAnsi="Arial"/>
        <w:sz w:val="18"/>
        <w:szCs w:val="18"/>
      </w:rPr>
      <w:t xml:space="preserve">	</w:t>
    </w:r>
    <w:r>
      <w:rPr>
        <w:rFonts w:ascii="Arial" w:cs="Arial" w:eastAsia="Arial" w:hAnsi="Arial"/>
        <w:color w:val="999999"/>
        <w:sz w:val="18"/>
        <w:szCs w:val="18"/>
      </w:rPr>
      <w:t xml:space="preserve">Versión 1.0 — Junio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400"/>
      <w:outlineLvl w:val="0"/>
    </w:pPr>
    <w:rPr>
      <w:rFonts w:ascii="Arial" w:cs="Arial" w:eastAsia="Arial" w:hAnsi="Arial"/>
      <w:b/>
      <w:bCs/>
      <w:color w:val="FFFFFF"/>
      <w:sz w:val="28"/>
      <w:szCs w:val="28"/>
    </w:rPr>
  </w:style>
  <w:style w:type="paragraph" w:styleId="Heading2">
    <w:name w:val="Heading 2"/>
    <w:basedOn w:val="Normal"/>
    <w:next w:val="Normal"/>
    <w:qFormat/>
    <w:pPr>
      <w:spacing w:after="120" w:before="300"/>
      <w:outlineLvl w:val="1"/>
    </w:pPr>
    <w:rPr>
      <w:rFonts w:ascii="Arial" w:cs="Arial" w:eastAsia="Arial" w:hAnsi="Arial"/>
      <w:b/>
      <w:bCs/>
      <w:color w:val="0891B2"/>
      <w:sz w:val="24"/>
      <w:szCs w:val="24"/>
    </w:rPr>
  </w:style>
  <w:style w:type="paragraph" w:styleId="Heading3">
    <w:name w:val="Heading 3"/>
    <w:basedOn w:val="Normal"/>
    <w:next w:val="Normal"/>
    <w:qFormat/>
    <w:pPr>
      <w:spacing w:after="80" w:before="200"/>
      <w:outlineLvl w:val="2"/>
    </w:pPr>
    <w:rPr>
      <w:rFonts w:ascii="Arial" w:cs="Arial" w:eastAsia="Arial" w:hAnsi="Arial"/>
      <w:b/>
      <w:bCs/>
      <w:color w:val="1A1A1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2026-06-03T15:03:25.256Z</dcterms:created>
  <dcterms:modified xsi:type="dcterms:W3CDTF">2026-06-03T15:03:25.269Z</dcterms:modified>
</cp:coreProperties>
</file>

<file path=docProps/custom.xml><?xml version="1.0" encoding="utf-8"?>
<Properties xmlns="http://schemas.openxmlformats.org/officeDocument/2006/custom-properties" xmlns:vt="http://schemas.openxmlformats.org/officeDocument/2006/docPropsVTypes"/>
</file>