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5B21B6"/>
          <w:sz w:val="52"/>
          <w:szCs w:val="52"/>
        </w:rPr>
        <w:t xml:space="preserve">Energy Shift</w:t>
      </w:r>
    </w:p>
    <w:p>
      <w:pPr>
        <w:spacing w:after="80" w:before="0"/>
      </w:pPr>
      <w:r>
        <w:rPr>
          <w:rFonts w:ascii="Arial" w:cs="Arial" w:eastAsia="Arial" w:hAnsi="Arial"/>
          <w:b/>
          <w:bCs/>
          <w:color w:val="111827"/>
          <w:sz w:val="40"/>
          <w:szCs w:val="40"/>
        </w:rPr>
        <w:t xml:space="preserve">Privacy Policy</w:t>
      </w:r>
    </w:p>
    <w:p>
      <w:pPr>
        <w:spacing w:after="320" w:before="0"/>
      </w:pPr>
      <w:r>
        <w:rPr>
          <w:rFonts w:ascii="Arial" w:cs="Arial" w:eastAsia="Arial" w:hAnsi="Arial"/>
          <w:color w:val="6B7280"/>
          <w:sz w:val="20"/>
          <w:szCs w:val="20"/>
        </w:rPr>
        <w:t xml:space="preserve">Last updated: 21 March 2026  ·  Version 1.0</w:t>
      </w:r>
    </w:p>
    <w:p>
      <w:pPr>
        <w:pBdr>
          <w:bottom w:val="single" w:color="E5E7EB" w:sz="4" w:space="1"/>
        </w:pBdr>
        <w:spacing w:after="200" w:before="200"/>
      </w:pPr>
      <w:r>
        <w:t xml:space="preserve"/>
      </w:r>
    </w:p>
    <w:p>
      <w:pPr>
        <w:spacing w:after="140" w:before="0"/>
      </w:pPr>
      <w:r>
        <w:rPr>
          <w:rFonts w:ascii="Arial" w:cs="Arial" w:eastAsia="Arial" w:hAnsi="Arial"/>
          <w:i w:val="false"/>
          <w:iCs w:val="false"/>
          <w:color w:val="111827"/>
          <w:sz w:val="22"/>
          <w:szCs w:val="22"/>
        </w:rPr>
        <w:t xml:space="preserve">This Privacy Policy explains how Energy Shift Europe Limited (“we”, “us”, or “our”) collects, uses, stores, and protects your personal data when you use our website at energy-vouchers.com, our consumer application, our partner portals (utility, fuel, and retail), and any related services (collectively, the “Services”).</w:t>
      </w:r>
    </w:p>
    <w:p>
      <w:pPr>
        <w:spacing w:after="140" w:before="0"/>
      </w:pPr>
      <w:r>
        <w:rPr>
          <w:rFonts w:ascii="Arial" w:cs="Arial" w:eastAsia="Arial" w:hAnsi="Arial"/>
          <w:i w:val="false"/>
          <w:iCs w:val="false"/>
          <w:color w:val="111827"/>
          <w:sz w:val="22"/>
          <w:szCs w:val="22"/>
        </w:rPr>
        <w:t xml:space="preserve">We are committed to protecting your privacy and complying with the UK General Data Protection Regulation (UK GDPR) as retained in UK law by the Data Protection Act 2018, and all other applicable UK data protection legislation.</w:t>
      </w:r>
    </w:p>
    <w:p>
      <w:pPr>
        <w:spacing w:after="140" w:before="0"/>
      </w:pPr>
      <w:r>
        <w:rPr>
          <w:rFonts w:ascii="Arial" w:cs="Arial" w:eastAsia="Arial" w:hAnsi="Arial"/>
          <w:i w:val="false"/>
          <w:iCs w:val="false"/>
          <w:color w:val="111827"/>
          <w:sz w:val="22"/>
          <w:szCs w:val="22"/>
        </w:rPr>
        <w:t xml:space="preserve">If you are located in the European Economic Area (EEA), please note that your personal data is transferred to and processed by a UK-based company. The UK has been granted an adequacy decision by the European Commission (28 June 2021), meaning the UK is considered to provide an equivalent level of data protection to the EU. Further details are provided in Section 8.</w:t>
      </w:r>
    </w:p>
    <w:p>
      <w:pPr>
        <w:spacing w:after="140" w:before="0"/>
      </w:pPr>
      <w:r>
        <w:rPr>
          <w:rFonts w:ascii="Arial" w:cs="Arial" w:eastAsia="Arial" w:hAnsi="Arial"/>
          <w:i w:val="false"/>
          <w:iCs w:val="false"/>
          <w:color w:val="111827"/>
          <w:sz w:val="22"/>
          <w:szCs w:val="22"/>
        </w:rPr>
        <w:t xml:space="preserve">Please read this policy carefully. By using our Services you confirm you have read and understood it.</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 Who We Are (Data Controller)</w:t>
      </w:r>
    </w:p>
    <w:p>
      <w:pPr>
        <w:spacing w:after="140" w:before="0"/>
      </w:pPr>
      <w:r>
        <w:rPr>
          <w:rFonts w:ascii="Arial" w:cs="Arial" w:eastAsia="Arial" w:hAnsi="Arial"/>
          <w:i w:val="false"/>
          <w:iCs w:val="false"/>
          <w:color w:val="111827"/>
          <w:sz w:val="22"/>
          <w:szCs w:val="22"/>
        </w:rPr>
        <w:t xml:space="preserve">The data controller responsible for your personal data is:</w:t>
      </w:r>
    </w:p>
    <w:p>
      <w:pPr>
        <w:spacing w:after="120" w:before="0"/>
      </w:pPr>
      <w:r>
        <w:t xml:space="preserve"/>
      </w:r>
    </w:p>
    <w:p>
      <w:pPr>
        <w:spacing w:after="80" w:before="0"/>
      </w:pPr>
      <w:r>
        <w:rPr>
          <w:rFonts w:ascii="Arial" w:cs="Arial" w:eastAsia="Arial" w:hAnsi="Arial"/>
          <w:b/>
          <w:bCs/>
          <w:color w:val="111827"/>
          <w:sz w:val="22"/>
          <w:szCs w:val="22"/>
        </w:rPr>
        <w:t xml:space="preserve">Energy Shift Europe Limited</w:t>
      </w:r>
    </w:p>
    <w:p>
      <w:pPr>
        <w:spacing w:after="140" w:before="0"/>
      </w:pPr>
      <w:r>
        <w:rPr>
          <w:rFonts w:ascii="Arial" w:cs="Arial" w:eastAsia="Arial" w:hAnsi="Arial"/>
          <w:i w:val="false"/>
          <w:iCs w:val="false"/>
          <w:color w:val="111827"/>
          <w:sz w:val="22"/>
          <w:szCs w:val="22"/>
        </w:rPr>
        <w:t xml:space="preserve">Registered in England and Wales</w:t>
      </w:r>
    </w:p>
    <w:p>
      <w:pPr>
        <w:spacing w:after="140" w:before="0"/>
      </w:pPr>
      <w:r>
        <w:rPr>
          <w:rFonts w:ascii="Arial" w:cs="Arial" w:eastAsia="Arial" w:hAnsi="Arial"/>
          <w:i w:val="false"/>
          <w:iCs w:val="false"/>
          <w:color w:val="111827"/>
          <w:sz w:val="22"/>
          <w:szCs w:val="22"/>
        </w:rPr>
        <w:t xml:space="preserve">Companies House registration number: 13579214</w:t>
      </w:r>
    </w:p>
    <w:p>
      <w:pPr>
        <w:spacing w:after="140" w:before="0"/>
      </w:pPr>
      <w:r>
        <w:rPr>
          <w:rFonts w:ascii="Arial" w:cs="Arial" w:eastAsia="Arial" w:hAnsi="Arial"/>
          <w:i w:val="false"/>
          <w:iCs w:val="false"/>
          <w:color w:val="111827"/>
          <w:sz w:val="22"/>
          <w:szCs w:val="22"/>
        </w:rPr>
        <w:t xml:space="preserve">ICO registration reference: ZB382436</w:t>
      </w:r>
    </w:p>
    <w:p>
      <w:pPr>
        <w:spacing w:after="140" w:before="0"/>
      </w:pPr>
      <w:r>
        <w:rPr>
          <w:rFonts w:ascii="Arial" w:cs="Arial" w:eastAsia="Arial" w:hAnsi="Arial"/>
          <w:i w:val="false"/>
          <w:iCs w:val="false"/>
          <w:color w:val="111827"/>
          <w:sz w:val="22"/>
          <w:szCs w:val="22"/>
        </w:rPr>
        <w:t xml:space="preserve">Company registration number: 13579214</w:t>
      </w:r>
    </w:p>
    <w:p>
      <w:pPr>
        <w:spacing w:after="140" w:before="0"/>
      </w:pPr>
      <w:r>
        <w:rPr>
          <w:rFonts w:ascii="Arial" w:cs="Arial" w:eastAsia="Arial" w:hAnsi="Arial"/>
          <w:i w:val="false"/>
          <w:iCs w:val="false"/>
          <w:color w:val="111827"/>
          <w:sz w:val="22"/>
          <w:szCs w:val="22"/>
        </w:rPr>
        <w:t xml:space="preserve">ICO registration reference: ZB382436</w:t>
      </w:r>
    </w:p>
    <w:p>
      <w:pPr>
        <w:spacing w:after="140" w:before="0"/>
      </w:pPr>
      <w:r>
        <w:rPr>
          <w:rFonts w:ascii="Arial" w:cs="Arial" w:eastAsia="Arial" w:hAnsi="Arial"/>
          <w:i w:val="false"/>
          <w:iCs w:val="false"/>
          <w:color w:val="111827"/>
          <w:sz w:val="22"/>
          <w:szCs w:val="22"/>
        </w:rPr>
        <w:t xml:space="preserve">Registered office: 124 City Road, London, EC1V 2NX, United Kingdom</w:t>
      </w:r>
    </w:p>
    <w:p>
      <w:pPr>
        <w:spacing w:after="140" w:before="0"/>
      </w:pPr>
      <w:r>
        <w:rPr>
          <w:rFonts w:ascii="Arial" w:cs="Arial" w:eastAsia="Arial" w:hAnsi="Arial"/>
          <w:b/>
          <w:bCs/>
          <w:color w:val="111827"/>
          <w:sz w:val="22"/>
          <w:szCs w:val="22"/>
        </w:rPr>
        <w:t xml:space="preserve">Email: </w:t>
      </w:r>
      <w:hyperlink w:history="1" r:id="rIdoukqshngiw1af43c0ru2-">
        <w:r>
          <w:rPr>
            <w:rStyle w:val="Hyperlink"/>
            <w:rFonts w:ascii="Arial" w:cs="Arial" w:eastAsia="Arial" w:hAnsi="Arial"/>
            <w:color w:val="5B21B6"/>
            <w:sz w:val="22"/>
            <w:szCs w:val="22"/>
            <w:u w:val="single"/>
          </w:rPr>
          <w:t xml:space="preserve">privacy@energyshift.eu</w:t>
        </w:r>
      </w:hyperlink>
    </w:p>
    <w:p>
      <w:pPr>
        <w:spacing w:after="140" w:before="0"/>
      </w:pPr>
      <w:r>
        <w:rPr>
          <w:rFonts w:ascii="Arial" w:cs="Arial" w:eastAsia="Arial" w:hAnsi="Arial"/>
          <w:b/>
          <w:bCs/>
          <w:color w:val="111827"/>
          <w:sz w:val="22"/>
          <w:szCs w:val="22"/>
        </w:rPr>
        <w:t xml:space="preserve">Support: </w:t>
      </w:r>
      <w:hyperlink w:history="1" r:id="rIdathifp7nzqwvgsw6qe6jc">
        <w:r>
          <w:rPr>
            <w:rStyle w:val="Hyperlink"/>
            <w:rFonts w:ascii="Arial" w:cs="Arial" w:eastAsia="Arial" w:hAnsi="Arial"/>
            <w:color w:val="5B21B6"/>
            <w:sz w:val="22"/>
            <w:szCs w:val="22"/>
            <w:u w:val="single"/>
          </w:rPr>
          <w:t xml:space="preserve">support@energyshift.eu</w:t>
        </w:r>
      </w:hyperlink>
    </w:p>
    <w:p>
      <w:pPr>
        <w:spacing w:after="140" w:before="0"/>
      </w:pPr>
      <w:r>
        <w:rPr>
          <w:rFonts w:ascii="Arial" w:cs="Arial" w:eastAsia="Arial" w:hAnsi="Arial"/>
          <w:b/>
          <w:bCs/>
          <w:color w:val="111827"/>
          <w:sz w:val="22"/>
          <w:szCs w:val="22"/>
        </w:rPr>
        <w:t xml:space="preserve">Website: </w:t>
      </w:r>
      <w:hyperlink w:history="1" r:id="rId81dp9s4n2dwjkpt2mdfax">
        <w:r>
          <w:rPr>
            <w:rStyle w:val="Hyperlink"/>
            <w:rFonts w:ascii="Arial" w:cs="Arial" w:eastAsia="Arial" w:hAnsi="Arial"/>
            <w:color w:val="5B21B6"/>
            <w:sz w:val="22"/>
            <w:szCs w:val="22"/>
            <w:u w:val="single"/>
          </w:rPr>
          <w:t xml:space="preserve">https://energy-vouchers.com</w:t>
        </w:r>
      </w:hyperlink>
    </w:p>
    <w:p>
      <w:pPr>
        <w:spacing w:after="120" w:before="0"/>
      </w:pPr>
      <w:r>
        <w:t xml:space="preserve"/>
      </w:r>
    </w:p>
    <w:p>
      <w:pPr>
        <w:pStyle w:val="Heading2"/>
        <w:spacing w:after="120" w:before="320"/>
      </w:pPr>
      <w:r>
        <w:rPr>
          <w:rFonts w:ascii="Arial" w:cs="Arial" w:eastAsia="Arial" w:hAnsi="Arial"/>
          <w:b/>
          <w:bCs/>
          <w:color w:val="111827"/>
          <w:sz w:val="26"/>
          <w:szCs w:val="26"/>
        </w:rPr>
        <w:t xml:space="preserve">2. What Personal Data We Collect</w:t>
      </w:r>
    </w:p>
    <w:p>
      <w:pPr>
        <w:spacing w:after="80" w:before="240"/>
      </w:pPr>
      <w:r>
        <w:rPr>
          <w:rFonts w:ascii="Arial" w:cs="Arial" w:eastAsia="Arial" w:hAnsi="Arial"/>
          <w:b/>
          <w:bCs/>
          <w:color w:val="111827"/>
          <w:sz w:val="22"/>
          <w:szCs w:val="22"/>
        </w:rPr>
        <w:t xml:space="preserve">2.1  Consumer account holders</w:t>
      </w:r>
    </w:p>
    <w:p>
      <w:pPr>
        <w:pStyle w:val="ListParagraph"/>
        <w:numPr>
          <w:ilvl w:val="0"/>
          <w:numId w:val="2"/>
        </w:numPr>
        <w:spacing w:after="80" w:before="0"/>
      </w:pPr>
      <w:r>
        <w:rPr>
          <w:rFonts w:ascii="Arial" w:cs="Arial" w:eastAsia="Arial" w:hAnsi="Arial"/>
          <w:color w:val="111827"/>
          <w:sz w:val="22"/>
          <w:szCs w:val="22"/>
        </w:rPr>
        <w:t xml:space="preserve">Identity data: full name, username or display name</w:t>
      </w:r>
    </w:p>
    <w:p>
      <w:pPr>
        <w:pStyle w:val="ListParagraph"/>
        <w:numPr>
          <w:ilvl w:val="0"/>
          <w:numId w:val="2"/>
        </w:numPr>
        <w:spacing w:after="80" w:before="0"/>
      </w:pPr>
      <w:r>
        <w:rPr>
          <w:rFonts w:ascii="Arial" w:cs="Arial" w:eastAsia="Arial" w:hAnsi="Arial"/>
          <w:color w:val="111827"/>
          <w:sz w:val="22"/>
          <w:szCs w:val="22"/>
        </w:rPr>
        <w:t xml:space="preserve">Contact data: email address, phone number, postal address</w:t>
      </w:r>
    </w:p>
    <w:p>
      <w:pPr>
        <w:pStyle w:val="ListParagraph"/>
        <w:numPr>
          <w:ilvl w:val="0"/>
          <w:numId w:val="2"/>
        </w:numPr>
        <w:spacing w:after="80" w:before="0"/>
      </w:pPr>
      <w:r>
        <w:rPr>
          <w:rFonts w:ascii="Arial" w:cs="Arial" w:eastAsia="Arial" w:hAnsi="Arial"/>
          <w:color w:val="111827"/>
          <w:sz w:val="22"/>
          <w:szCs w:val="22"/>
        </w:rPr>
        <w:t xml:space="preserve">Account credentials: hashed password (we never store plaintext passwords)</w:t>
      </w:r>
    </w:p>
    <w:p>
      <w:pPr>
        <w:pStyle w:val="ListParagraph"/>
        <w:numPr>
          <w:ilvl w:val="0"/>
          <w:numId w:val="2"/>
        </w:numPr>
        <w:spacing w:after="80" w:before="0"/>
      </w:pPr>
      <w:r>
        <w:rPr>
          <w:rFonts w:ascii="Arial" w:cs="Arial" w:eastAsia="Arial" w:hAnsi="Arial"/>
          <w:color w:val="111827"/>
          <w:sz w:val="22"/>
          <w:szCs w:val="22"/>
        </w:rPr>
        <w:t xml:space="preserve">Transaction data: voucher purchase history, redemption history, payment amounts, currency</w:t>
      </w:r>
    </w:p>
    <w:p>
      <w:pPr>
        <w:pStyle w:val="ListParagraph"/>
        <w:numPr>
          <w:ilvl w:val="0"/>
          <w:numId w:val="2"/>
        </w:numPr>
        <w:spacing w:after="80" w:before="0"/>
      </w:pPr>
      <w:r>
        <w:rPr>
          <w:rFonts w:ascii="Arial" w:cs="Arial" w:eastAsia="Arial" w:hAnsi="Arial"/>
          <w:color w:val="111827"/>
          <w:sz w:val="22"/>
          <w:szCs w:val="22"/>
        </w:rPr>
        <w:t xml:space="preserve">Wallet data: voucher codes, kWh balances, voucher status (active / redeemed / expired)</w:t>
      </w:r>
    </w:p>
    <w:p>
      <w:pPr>
        <w:pStyle w:val="ListParagraph"/>
        <w:numPr>
          <w:ilvl w:val="0"/>
          <w:numId w:val="2"/>
        </w:numPr>
        <w:spacing w:after="80" w:before="0"/>
      </w:pPr>
      <w:r>
        <w:rPr>
          <w:rFonts w:ascii="Arial" w:cs="Arial" w:eastAsia="Arial" w:hAnsi="Arial"/>
          <w:color w:val="111827"/>
          <w:sz w:val="22"/>
          <w:szCs w:val="22"/>
        </w:rPr>
        <w:t xml:space="preserve">Impact data: CO₂ offset figures, trees equivalent, clean energy used — derived from your redemptions</w:t>
      </w:r>
    </w:p>
    <w:p>
      <w:pPr>
        <w:pStyle w:val="ListParagraph"/>
        <w:numPr>
          <w:ilvl w:val="0"/>
          <w:numId w:val="2"/>
        </w:numPr>
        <w:spacing w:after="80" w:before="0"/>
      </w:pPr>
      <w:r>
        <w:rPr>
          <w:rFonts w:ascii="Arial" w:cs="Arial" w:eastAsia="Arial" w:hAnsi="Arial"/>
          <w:color w:val="111827"/>
          <w:sz w:val="22"/>
          <w:szCs w:val="22"/>
        </w:rPr>
        <w:t xml:space="preserve">Utility account data: your energy provider name and account reference (only if you choose to link your utility account)</w:t>
      </w:r>
    </w:p>
    <w:p>
      <w:pPr>
        <w:pStyle w:val="ListParagraph"/>
        <w:numPr>
          <w:ilvl w:val="0"/>
          <w:numId w:val="2"/>
        </w:numPr>
        <w:spacing w:after="80" w:before="0"/>
      </w:pPr>
      <w:r>
        <w:rPr>
          <w:rFonts w:ascii="Arial" w:cs="Arial" w:eastAsia="Arial" w:hAnsi="Arial"/>
          <w:color w:val="111827"/>
          <w:sz w:val="22"/>
          <w:szCs w:val="22"/>
        </w:rPr>
        <w:t xml:space="preserve">Referral data: your referral code, who you referred, bonus kWh earned</w:t>
      </w:r>
    </w:p>
    <w:p>
      <w:pPr>
        <w:pStyle w:val="ListParagraph"/>
        <w:numPr>
          <w:ilvl w:val="0"/>
          <w:numId w:val="2"/>
        </w:numPr>
        <w:spacing w:after="80" w:before="0"/>
      </w:pPr>
      <w:r>
        <w:rPr>
          <w:rFonts w:ascii="Arial" w:cs="Arial" w:eastAsia="Arial" w:hAnsi="Arial"/>
          <w:color w:val="111827"/>
          <w:sz w:val="22"/>
          <w:szCs w:val="22"/>
        </w:rPr>
        <w:t xml:space="preserve">Preference data: notification settings, language, display preferences</w:t>
      </w:r>
    </w:p>
    <w:p>
      <w:pPr>
        <w:pStyle w:val="ListParagraph"/>
        <w:numPr>
          <w:ilvl w:val="0"/>
          <w:numId w:val="2"/>
        </w:numPr>
        <w:spacing w:after="80" w:before="0"/>
      </w:pPr>
      <w:r>
        <w:rPr>
          <w:rFonts w:ascii="Arial" w:cs="Arial" w:eastAsia="Arial" w:hAnsi="Arial"/>
          <w:color w:val="111827"/>
          <w:sz w:val="22"/>
          <w:szCs w:val="22"/>
        </w:rPr>
        <w:t xml:space="preserve">Usage data: pages visited, features used, click events, session duration — collected via cookies and analytics tools</w:t>
      </w:r>
    </w:p>
    <w:p>
      <w:pPr>
        <w:pStyle w:val="ListParagraph"/>
        <w:numPr>
          <w:ilvl w:val="0"/>
          <w:numId w:val="2"/>
        </w:numPr>
        <w:spacing w:after="80" w:before="0"/>
      </w:pPr>
      <w:r>
        <w:rPr>
          <w:rFonts w:ascii="Arial" w:cs="Arial" w:eastAsia="Arial" w:hAnsi="Arial"/>
          <w:color w:val="111827"/>
          <w:sz w:val="22"/>
          <w:szCs w:val="22"/>
        </w:rPr>
        <w:t xml:space="preserve">Device and technical data: IP address, browser type and version, operating system, screen resolution</w:t>
      </w:r>
    </w:p>
    <w:p>
      <w:pPr>
        <w:spacing w:after="120" w:before="0"/>
      </w:pPr>
      <w:r>
        <w:t xml:space="preserve"/>
      </w:r>
    </w:p>
    <w:p>
      <w:pPr>
        <w:spacing w:after="80" w:before="240"/>
      </w:pPr>
      <w:r>
        <w:rPr>
          <w:rFonts w:ascii="Arial" w:cs="Arial" w:eastAsia="Arial" w:hAnsi="Arial"/>
          <w:b/>
          <w:bCs/>
          <w:color w:val="111827"/>
          <w:sz w:val="22"/>
          <w:szCs w:val="22"/>
        </w:rPr>
        <w:t xml:space="preserve">2.2  Business partner users (utility, fuel, and retail portals)</w:t>
      </w:r>
    </w:p>
    <w:p>
      <w:pPr>
        <w:pStyle w:val="ListParagraph"/>
        <w:numPr>
          <w:ilvl w:val="0"/>
          <w:numId w:val="2"/>
        </w:numPr>
        <w:spacing w:after="80" w:before="0"/>
      </w:pPr>
      <w:r>
        <w:rPr>
          <w:rFonts w:ascii="Arial" w:cs="Arial" w:eastAsia="Arial" w:hAnsi="Arial"/>
          <w:color w:val="111827"/>
          <w:sz w:val="22"/>
          <w:szCs w:val="22"/>
        </w:rPr>
        <w:t xml:space="preserve">Company data: company name, registered address, VAT number, country of incorporation</w:t>
      </w:r>
    </w:p>
    <w:p>
      <w:pPr>
        <w:pStyle w:val="ListParagraph"/>
        <w:numPr>
          <w:ilvl w:val="0"/>
          <w:numId w:val="2"/>
        </w:numPr>
        <w:spacing w:after="80" w:before="0"/>
      </w:pPr>
      <w:r>
        <w:rPr>
          <w:rFonts w:ascii="Arial" w:cs="Arial" w:eastAsia="Arial" w:hAnsi="Arial"/>
          <w:color w:val="111827"/>
          <w:sz w:val="22"/>
          <w:szCs w:val="22"/>
        </w:rPr>
        <w:t xml:space="preserve">Contact data: contact name, business email address, phone number</w:t>
      </w:r>
    </w:p>
    <w:p>
      <w:pPr>
        <w:pStyle w:val="ListParagraph"/>
        <w:numPr>
          <w:ilvl w:val="0"/>
          <w:numId w:val="2"/>
        </w:numPr>
        <w:spacing w:after="80" w:before="0"/>
      </w:pPr>
      <w:r>
        <w:rPr>
          <w:rFonts w:ascii="Arial" w:cs="Arial" w:eastAsia="Arial" w:hAnsi="Arial"/>
          <w:color w:val="111827"/>
          <w:sz w:val="22"/>
          <w:szCs w:val="22"/>
        </w:rPr>
        <w:t xml:space="preserve">Account credentials: hashed password, role (Admin / Manager / Analyst / Read-only)</w:t>
      </w:r>
    </w:p>
    <w:p>
      <w:pPr>
        <w:pStyle w:val="ListParagraph"/>
        <w:numPr>
          <w:ilvl w:val="0"/>
          <w:numId w:val="2"/>
        </w:numPr>
        <w:spacing w:after="80" w:before="0"/>
      </w:pPr>
      <w:r>
        <w:rPr>
          <w:rFonts w:ascii="Arial" w:cs="Arial" w:eastAsia="Arial" w:hAnsi="Arial"/>
          <w:color w:val="111827"/>
          <w:sz w:val="22"/>
          <w:szCs w:val="22"/>
        </w:rPr>
        <w:t xml:space="preserve">API credentials: API key identifiers (key secrets are shown only once at creation and never stored in plaintext)</w:t>
      </w:r>
    </w:p>
    <w:p>
      <w:pPr>
        <w:pStyle w:val="ListParagraph"/>
        <w:numPr>
          <w:ilvl w:val="0"/>
          <w:numId w:val="2"/>
        </w:numPr>
        <w:spacing w:after="80" w:before="0"/>
      </w:pPr>
      <w:r>
        <w:rPr>
          <w:rFonts w:ascii="Arial" w:cs="Arial" w:eastAsia="Arial" w:hAnsi="Arial"/>
          <w:color w:val="111827"/>
          <w:sz w:val="22"/>
          <w:szCs w:val="22"/>
        </w:rPr>
        <w:t xml:space="preserve">Operational data: redemption queues, reconciliation reports, promotional offer data, analytics queries</w:t>
      </w:r>
    </w:p>
    <w:p>
      <w:pPr>
        <w:pStyle w:val="ListParagraph"/>
        <w:numPr>
          <w:ilvl w:val="0"/>
          <w:numId w:val="2"/>
        </w:numPr>
        <w:spacing w:after="80" w:before="0"/>
      </w:pPr>
      <w:r>
        <w:rPr>
          <w:rFonts w:ascii="Arial" w:cs="Arial" w:eastAsia="Arial" w:hAnsi="Arial"/>
          <w:color w:val="111827"/>
          <w:sz w:val="22"/>
          <w:szCs w:val="22"/>
        </w:rPr>
        <w:t xml:space="preserve">Network data: station locations, POS system configuration, webhook endpoints</w:t>
      </w:r>
    </w:p>
    <w:p>
      <w:pPr>
        <w:pStyle w:val="ListParagraph"/>
        <w:numPr>
          <w:ilvl w:val="0"/>
          <w:numId w:val="2"/>
        </w:numPr>
        <w:spacing w:after="80" w:before="0"/>
      </w:pPr>
      <w:r>
        <w:rPr>
          <w:rFonts w:ascii="Arial" w:cs="Arial" w:eastAsia="Arial" w:hAnsi="Arial"/>
          <w:color w:val="111827"/>
          <w:sz w:val="22"/>
          <w:szCs w:val="22"/>
        </w:rPr>
        <w:t xml:space="preserve">B2B account data: corporate client names and contact details entered by the partner</w:t>
      </w:r>
    </w:p>
    <w:p>
      <w:pPr>
        <w:spacing w:after="120" w:before="0"/>
      </w:pPr>
      <w:r>
        <w:t xml:space="preserve"/>
      </w:r>
    </w:p>
    <w:p>
      <w:pPr>
        <w:spacing w:after="80" w:before="240"/>
      </w:pPr>
      <w:r>
        <w:rPr>
          <w:rFonts w:ascii="Arial" w:cs="Arial" w:eastAsia="Arial" w:hAnsi="Arial"/>
          <w:b/>
          <w:bCs/>
          <w:color w:val="111827"/>
          <w:sz w:val="22"/>
          <w:szCs w:val="22"/>
        </w:rPr>
        <w:t xml:space="preserve">2.3  Data we do NOT collect</w:t>
      </w:r>
    </w:p>
    <w:p>
      <w:pPr>
        <w:pStyle w:val="ListParagraph"/>
        <w:numPr>
          <w:ilvl w:val="0"/>
          <w:numId w:val="2"/>
        </w:numPr>
        <w:spacing w:after="80" w:before="0"/>
      </w:pPr>
      <w:r>
        <w:rPr>
          <w:rFonts w:ascii="Arial" w:cs="Arial" w:eastAsia="Arial" w:hAnsi="Arial"/>
          <w:color w:val="111827"/>
          <w:sz w:val="22"/>
          <w:szCs w:val="22"/>
        </w:rPr>
        <w:t xml:space="preserve">We do not collect payment card numbers, CVV codes, or bank account numbers directly. Payments are processed by our PCI-DSS-compliant payment processor (Stripe). We receive only a tokenised reference.</w:t>
      </w:r>
    </w:p>
    <w:p>
      <w:pPr>
        <w:pStyle w:val="ListParagraph"/>
        <w:numPr>
          <w:ilvl w:val="0"/>
          <w:numId w:val="2"/>
        </w:numPr>
        <w:spacing w:after="80" w:before="0"/>
      </w:pPr>
      <w:r>
        <w:rPr>
          <w:rFonts w:ascii="Arial" w:cs="Arial" w:eastAsia="Arial" w:hAnsi="Arial"/>
          <w:color w:val="111827"/>
          <w:sz w:val="22"/>
          <w:szCs w:val="22"/>
        </w:rPr>
        <w:t xml:space="preserve">We do not collect biometric data, health data, racial or ethnic origin, political opinions, religious beliefs, or any other special category data under UK GDPR Article 9.</w:t>
      </w:r>
    </w:p>
    <w:p>
      <w:pPr>
        <w:pStyle w:val="ListParagraph"/>
        <w:numPr>
          <w:ilvl w:val="0"/>
          <w:numId w:val="2"/>
        </w:numPr>
        <w:spacing w:after="80" w:before="0"/>
      </w:pPr>
      <w:r>
        <w:rPr>
          <w:rFonts w:ascii="Arial" w:cs="Arial" w:eastAsia="Arial" w:hAnsi="Arial"/>
          <w:color w:val="111827"/>
          <w:sz w:val="22"/>
          <w:szCs w:val="22"/>
        </w:rPr>
        <w:t xml:space="preserve">We do not knowingly collect data from children under 13 (or under 16 where consent of a parent or guardian is required). If you are under 13, do not use our Services.</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3. How We Collect Your Data</w:t>
      </w:r>
    </w:p>
    <w:p>
      <w:pPr>
        <w:pStyle w:val="ListParagraph"/>
        <w:numPr>
          <w:ilvl w:val="0"/>
          <w:numId w:val="2"/>
        </w:numPr>
        <w:spacing w:after="80" w:before="0"/>
      </w:pPr>
      <w:r>
        <w:rPr>
          <w:rFonts w:ascii="Arial" w:cs="Arial" w:eastAsia="Arial" w:hAnsi="Arial"/>
          <w:color w:val="111827"/>
          <w:sz w:val="22"/>
          <w:szCs w:val="22"/>
        </w:rPr>
        <w:t xml:space="preserve">Directly from you: when you create an account, make a purchase, link a utility account, contact support, or fill in any form on our Services.</w:t>
      </w:r>
    </w:p>
    <w:p>
      <w:pPr>
        <w:pStyle w:val="ListParagraph"/>
        <w:numPr>
          <w:ilvl w:val="0"/>
          <w:numId w:val="2"/>
        </w:numPr>
        <w:spacing w:after="80" w:before="0"/>
      </w:pPr>
      <w:r>
        <w:rPr>
          <w:rFonts w:ascii="Arial" w:cs="Arial" w:eastAsia="Arial" w:hAnsi="Arial"/>
          <w:color w:val="111827"/>
          <w:sz w:val="22"/>
          <w:szCs w:val="22"/>
        </w:rPr>
        <w:t xml:space="preserve">Automatically: when you use our Services, we collect usage and technical data via cookies, web beacons, and server logs.</w:t>
      </w:r>
    </w:p>
    <w:p>
      <w:pPr>
        <w:pStyle w:val="ListParagraph"/>
        <w:numPr>
          <w:ilvl w:val="0"/>
          <w:numId w:val="2"/>
        </w:numPr>
        <w:spacing w:after="80" w:before="0"/>
      </w:pPr>
      <w:r>
        <w:rPr>
          <w:rFonts w:ascii="Arial" w:cs="Arial" w:eastAsia="Arial" w:hAnsi="Arial"/>
          <w:color w:val="111827"/>
          <w:sz w:val="22"/>
          <w:szCs w:val="22"/>
        </w:rPr>
        <w:t xml:space="preserve">From third parties: from our payment processor (Stripe) when you complete a transaction; from authentication providers if you use social sign-in; from partner systems when a voucher redemption is triggered via API.</w:t>
      </w:r>
    </w:p>
    <w:p>
      <w:pPr>
        <w:pStyle w:val="ListParagraph"/>
        <w:numPr>
          <w:ilvl w:val="0"/>
          <w:numId w:val="2"/>
        </w:numPr>
        <w:spacing w:after="80" w:before="0"/>
      </w:pPr>
      <w:r>
        <w:rPr>
          <w:rFonts w:ascii="Arial" w:cs="Arial" w:eastAsia="Arial" w:hAnsi="Arial"/>
          <w:color w:val="111827"/>
          <w:sz w:val="22"/>
          <w:szCs w:val="22"/>
        </w:rPr>
        <w:t xml:space="preserve">From your employer or partner: if your company is a registered Energy Shift partner and creates an account on your behalf.</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4. Legal Basis for Processing (UK GDPR Article 6)</w:t>
      </w:r>
    </w:p>
    <w:p>
      <w:pPr>
        <w:spacing w:after="140" w:before="0"/>
      </w:pPr>
      <w:r>
        <w:rPr>
          <w:rFonts w:ascii="Arial" w:cs="Arial" w:eastAsia="Arial" w:hAnsi="Arial"/>
          <w:i w:val="false"/>
          <w:iCs w:val="false"/>
          <w:color w:val="111827"/>
          <w:sz w:val="22"/>
          <w:szCs w:val="22"/>
        </w:rPr>
        <w:t xml:space="preserve">We process your personal data only when we have a valid legal basis. The bases we rely on are:</w:t>
      </w:r>
    </w:p>
    <w:p>
      <w:pPr>
        <w:spacing w:after="120" w:before="0"/>
      </w:pPr>
      <w:r>
        <w:t xml:space="preserve"/>
      </w:r>
    </w:p>
    <w:p>
      <w:pPr>
        <w:pStyle w:val="ListParagraph"/>
        <w:numPr>
          <w:ilvl w:val="0"/>
          <w:numId w:val="2"/>
        </w:numPr>
        <w:spacing w:after="80" w:before="0"/>
      </w:pPr>
      <w:r>
        <w:rPr>
          <w:rFonts w:ascii="Arial" w:cs="Arial" w:eastAsia="Arial" w:hAnsi="Arial"/>
          <w:color w:val="111827"/>
          <w:sz w:val="22"/>
          <w:szCs w:val="22"/>
        </w:rPr>
        <w:t xml:space="preserve">Contract performance (Art. 6(1)(b)): to create and manage your account, process voucher purchases and redemptions, provide customer support, and deliver the core Services you have signed up for.</w:t>
      </w:r>
    </w:p>
    <w:p>
      <w:pPr>
        <w:pStyle w:val="ListParagraph"/>
        <w:numPr>
          <w:ilvl w:val="0"/>
          <w:numId w:val="2"/>
        </w:numPr>
        <w:spacing w:after="80" w:before="0"/>
      </w:pPr>
      <w:r>
        <w:rPr>
          <w:rFonts w:ascii="Arial" w:cs="Arial" w:eastAsia="Arial" w:hAnsi="Arial"/>
          <w:color w:val="111827"/>
          <w:sz w:val="22"/>
          <w:szCs w:val="22"/>
        </w:rPr>
        <w:t xml:space="preserve">Legitimate interests (Art. 6(1)(f)): to prevent fraud and abuse, ensure platform security, improve our Services through analytics, send service-related notifications, and conduct direct marketing to existing customers for similar services (where you have not opted out). We have carried out a legitimate interests assessment (LIA) and are satisfied our interests are not overridden by your rights.</w:t>
      </w:r>
    </w:p>
    <w:p>
      <w:pPr>
        <w:pStyle w:val="ListParagraph"/>
        <w:numPr>
          <w:ilvl w:val="0"/>
          <w:numId w:val="2"/>
        </w:numPr>
        <w:spacing w:after="80" w:before="0"/>
      </w:pPr>
      <w:r>
        <w:rPr>
          <w:rFonts w:ascii="Arial" w:cs="Arial" w:eastAsia="Arial" w:hAnsi="Arial"/>
          <w:color w:val="111827"/>
          <w:sz w:val="22"/>
          <w:szCs w:val="22"/>
        </w:rPr>
        <w:t xml:space="preserve">Legal obligation (Art. 6(1)(c)): to comply with tax, accounting, consumer protection, and anti-money-laundering laws applicable in the UK and EU.</w:t>
      </w:r>
    </w:p>
    <w:p>
      <w:pPr>
        <w:pStyle w:val="ListParagraph"/>
        <w:numPr>
          <w:ilvl w:val="0"/>
          <w:numId w:val="2"/>
        </w:numPr>
        <w:spacing w:after="80" w:before="0"/>
      </w:pPr>
      <w:r>
        <w:rPr>
          <w:rFonts w:ascii="Arial" w:cs="Arial" w:eastAsia="Arial" w:hAnsi="Arial"/>
          <w:color w:val="111827"/>
          <w:sz w:val="22"/>
          <w:szCs w:val="22"/>
        </w:rPr>
        <w:t xml:space="preserve">Consent (Art. 6(1)(a)): for non-essential cookies and tracking technologies; for marketing emails to new subscribers; for any other processing where we have explicitly requested and you have freely given consent. You may withdraw consent at any time without affecting the lawfulness of prior processing.</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5. How We Use Your Personal Data</w:t>
      </w:r>
    </w:p>
    <w:p>
      <w:pPr>
        <w:pStyle w:val="ListParagraph"/>
        <w:numPr>
          <w:ilvl w:val="0"/>
          <w:numId w:val="2"/>
        </w:numPr>
        <w:spacing w:after="80" w:before="0"/>
      </w:pPr>
      <w:r>
        <w:rPr>
          <w:rFonts w:ascii="Arial" w:cs="Arial" w:eastAsia="Arial" w:hAnsi="Arial"/>
          <w:color w:val="111827"/>
          <w:sz w:val="22"/>
          <w:szCs w:val="22"/>
        </w:rPr>
        <w:t xml:space="preserve">To create and maintain your account and verify your identity.</w:t>
      </w:r>
    </w:p>
    <w:p>
      <w:pPr>
        <w:pStyle w:val="ListParagraph"/>
        <w:numPr>
          <w:ilvl w:val="0"/>
          <w:numId w:val="2"/>
        </w:numPr>
        <w:spacing w:after="80" w:before="0"/>
      </w:pPr>
      <w:r>
        <w:rPr>
          <w:rFonts w:ascii="Arial" w:cs="Arial" w:eastAsia="Arial" w:hAnsi="Arial"/>
          <w:color w:val="111827"/>
          <w:sz w:val="22"/>
          <w:szCs w:val="22"/>
        </w:rPr>
        <w:t xml:space="preserve">To process voucher purchases, redemptions, and refunds.</w:t>
      </w:r>
    </w:p>
    <w:p>
      <w:pPr>
        <w:pStyle w:val="ListParagraph"/>
        <w:numPr>
          <w:ilvl w:val="0"/>
          <w:numId w:val="2"/>
        </w:numPr>
        <w:spacing w:after="80" w:before="0"/>
      </w:pPr>
      <w:r>
        <w:rPr>
          <w:rFonts w:ascii="Arial" w:cs="Arial" w:eastAsia="Arial" w:hAnsi="Arial"/>
          <w:color w:val="111827"/>
          <w:sz w:val="22"/>
          <w:szCs w:val="22"/>
        </w:rPr>
        <w:t xml:space="preserve">To calculate and display your environmental impact (CO₂ offset, trees equivalent).</w:t>
      </w:r>
    </w:p>
    <w:p>
      <w:pPr>
        <w:pStyle w:val="ListParagraph"/>
        <w:numPr>
          <w:ilvl w:val="0"/>
          <w:numId w:val="2"/>
        </w:numPr>
        <w:spacing w:after="80" w:before="0"/>
      </w:pPr>
      <w:r>
        <w:rPr>
          <w:rFonts w:ascii="Arial" w:cs="Arial" w:eastAsia="Arial" w:hAnsi="Arial"/>
          <w:color w:val="111827"/>
          <w:sz w:val="22"/>
          <w:szCs w:val="22"/>
        </w:rPr>
        <w:t xml:space="preserve">To link your utility account and apply vouchers to your energy bill (if you opt in).</w:t>
      </w:r>
    </w:p>
    <w:p>
      <w:pPr>
        <w:pStyle w:val="ListParagraph"/>
        <w:numPr>
          <w:ilvl w:val="0"/>
          <w:numId w:val="2"/>
        </w:numPr>
        <w:spacing w:after="80" w:before="0"/>
      </w:pPr>
      <w:r>
        <w:rPr>
          <w:rFonts w:ascii="Arial" w:cs="Arial" w:eastAsia="Arial" w:hAnsi="Arial"/>
          <w:color w:val="111827"/>
          <w:sz w:val="22"/>
          <w:szCs w:val="22"/>
        </w:rPr>
        <w:t xml:space="preserve">To send transactional emails: purchase confirmations, redemption confirmations, receipts, and account security alerts.</w:t>
      </w:r>
    </w:p>
    <w:p>
      <w:pPr>
        <w:pStyle w:val="ListParagraph"/>
        <w:numPr>
          <w:ilvl w:val="0"/>
          <w:numId w:val="2"/>
        </w:numPr>
        <w:spacing w:after="80" w:before="0"/>
      </w:pPr>
      <w:r>
        <w:rPr>
          <w:rFonts w:ascii="Arial" w:cs="Arial" w:eastAsia="Arial" w:hAnsi="Arial"/>
          <w:color w:val="111827"/>
          <w:sz w:val="22"/>
          <w:szCs w:val="22"/>
        </w:rPr>
        <w:t xml:space="preserve">To send marketing communications about Energy Shift products and services (you can opt out at any time).</w:t>
      </w:r>
    </w:p>
    <w:p>
      <w:pPr>
        <w:pStyle w:val="ListParagraph"/>
        <w:numPr>
          <w:ilvl w:val="0"/>
          <w:numId w:val="2"/>
        </w:numPr>
        <w:spacing w:after="80" w:before="0"/>
      </w:pPr>
      <w:r>
        <w:rPr>
          <w:rFonts w:ascii="Arial" w:cs="Arial" w:eastAsia="Arial" w:hAnsi="Arial"/>
          <w:color w:val="111827"/>
          <w:sz w:val="22"/>
          <w:szCs w:val="22"/>
        </w:rPr>
        <w:t xml:space="preserve">To operate the referral programme and credit referral bonuses.</w:t>
      </w:r>
    </w:p>
    <w:p>
      <w:pPr>
        <w:pStyle w:val="ListParagraph"/>
        <w:numPr>
          <w:ilvl w:val="0"/>
          <w:numId w:val="2"/>
        </w:numPr>
        <w:spacing w:after="80" w:before="0"/>
      </w:pPr>
      <w:r>
        <w:rPr>
          <w:rFonts w:ascii="Arial" w:cs="Arial" w:eastAsia="Arial" w:hAnsi="Arial"/>
          <w:color w:val="111827"/>
          <w:sz w:val="22"/>
          <w:szCs w:val="22"/>
        </w:rPr>
        <w:t xml:space="preserve">To provide customer support and respond to queries or complaints.</w:t>
      </w:r>
    </w:p>
    <w:p>
      <w:pPr>
        <w:pStyle w:val="ListParagraph"/>
        <w:numPr>
          <w:ilvl w:val="0"/>
          <w:numId w:val="2"/>
        </w:numPr>
        <w:spacing w:after="80" w:before="0"/>
      </w:pPr>
      <w:r>
        <w:rPr>
          <w:rFonts w:ascii="Arial" w:cs="Arial" w:eastAsia="Arial" w:hAnsi="Arial"/>
          <w:color w:val="111827"/>
          <w:sz w:val="22"/>
          <w:szCs w:val="22"/>
        </w:rPr>
        <w:t xml:space="preserve">To prevent fraud, abuse, and unauthorised access to the platform.</w:t>
      </w:r>
    </w:p>
    <w:p>
      <w:pPr>
        <w:pStyle w:val="ListParagraph"/>
        <w:numPr>
          <w:ilvl w:val="0"/>
          <w:numId w:val="2"/>
        </w:numPr>
        <w:spacing w:after="80" w:before="0"/>
      </w:pPr>
      <w:r>
        <w:rPr>
          <w:rFonts w:ascii="Arial" w:cs="Arial" w:eastAsia="Arial" w:hAnsi="Arial"/>
          <w:color w:val="111827"/>
          <w:sz w:val="22"/>
          <w:szCs w:val="22"/>
        </w:rPr>
        <w:t xml:space="preserve">To comply with our legal and regulatory obligations.</w:t>
      </w:r>
    </w:p>
    <w:p>
      <w:pPr>
        <w:pStyle w:val="ListParagraph"/>
        <w:numPr>
          <w:ilvl w:val="0"/>
          <w:numId w:val="2"/>
        </w:numPr>
        <w:spacing w:after="80" w:before="0"/>
      </w:pPr>
      <w:r>
        <w:rPr>
          <w:rFonts w:ascii="Arial" w:cs="Arial" w:eastAsia="Arial" w:hAnsi="Arial"/>
          <w:color w:val="111827"/>
          <w:sz w:val="22"/>
          <w:szCs w:val="22"/>
        </w:rPr>
        <w:t xml:space="preserve">To generate anonymised and aggregated analytics to improve the platform.</w:t>
      </w:r>
    </w:p>
    <w:p>
      <w:pPr>
        <w:pStyle w:val="ListParagraph"/>
        <w:numPr>
          <w:ilvl w:val="0"/>
          <w:numId w:val="2"/>
        </w:numPr>
        <w:spacing w:after="80" w:before="0"/>
      </w:pPr>
      <w:r>
        <w:rPr>
          <w:rFonts w:ascii="Arial" w:cs="Arial" w:eastAsia="Arial" w:hAnsi="Arial"/>
          <w:color w:val="111827"/>
          <w:sz w:val="22"/>
          <w:szCs w:val="22"/>
        </w:rPr>
        <w:t xml:space="preserve">For partner portal users: to manage your partner account, process redemption queues, generate reconciliation reports, and provide analytics on voucher performance.</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6. Cookies and Tracking Technologies</w:t>
      </w:r>
    </w:p>
    <w:p>
      <w:pPr>
        <w:spacing w:after="140" w:before="0"/>
      </w:pPr>
      <w:r>
        <w:rPr>
          <w:rFonts w:ascii="Arial" w:cs="Arial" w:eastAsia="Arial" w:hAnsi="Arial"/>
          <w:i w:val="false"/>
          <w:iCs w:val="false"/>
          <w:color w:val="111827"/>
          <w:sz w:val="22"/>
          <w:szCs w:val="22"/>
        </w:rPr>
        <w:t xml:space="preserve">We use cookies and similar technologies on our website and application. Cookies are small text files stored on your device. Our use of cookies is also governed by our Cookie Policy, accessible from the website footer.</w:t>
      </w:r>
    </w:p>
    <w:p>
      <w:pPr>
        <w:spacing w:after="120" w:before="0"/>
      </w:pPr>
      <w:r>
        <w:t xml:space="preserve"/>
      </w:r>
    </w:p>
    <w:p>
      <w:pPr>
        <w:spacing w:after="80" w:before="240"/>
      </w:pPr>
      <w:r>
        <w:rPr>
          <w:rFonts w:ascii="Arial" w:cs="Arial" w:eastAsia="Arial" w:hAnsi="Arial"/>
          <w:b/>
          <w:bCs/>
          <w:color w:val="111827"/>
          <w:sz w:val="22"/>
          <w:szCs w:val="22"/>
        </w:rPr>
        <w:t xml:space="preserve">Essential cookies (no consent required)</w:t>
      </w:r>
    </w:p>
    <w:p>
      <w:pPr>
        <w:pStyle w:val="ListParagraph"/>
        <w:numPr>
          <w:ilvl w:val="0"/>
          <w:numId w:val="2"/>
        </w:numPr>
        <w:spacing w:after="80" w:before="0"/>
      </w:pPr>
      <w:r>
        <w:rPr>
          <w:rFonts w:ascii="Arial" w:cs="Arial" w:eastAsia="Arial" w:hAnsi="Arial"/>
          <w:color w:val="111827"/>
          <w:sz w:val="22"/>
          <w:szCs w:val="22"/>
        </w:rPr>
        <w:t xml:space="preserve">Session management: keeps you logged in during your session.</w:t>
      </w:r>
    </w:p>
    <w:p>
      <w:pPr>
        <w:pStyle w:val="ListParagraph"/>
        <w:numPr>
          <w:ilvl w:val="0"/>
          <w:numId w:val="2"/>
        </w:numPr>
        <w:spacing w:after="80" w:before="0"/>
      </w:pPr>
      <w:r>
        <w:rPr>
          <w:rFonts w:ascii="Arial" w:cs="Arial" w:eastAsia="Arial" w:hAnsi="Arial"/>
          <w:color w:val="111827"/>
          <w:sz w:val="22"/>
          <w:szCs w:val="22"/>
        </w:rPr>
        <w:t xml:space="preserve">Security: CSRF protection tokens to prevent cross-site request forgery.</w:t>
      </w:r>
    </w:p>
    <w:p>
      <w:pPr>
        <w:pStyle w:val="ListParagraph"/>
        <w:numPr>
          <w:ilvl w:val="0"/>
          <w:numId w:val="2"/>
        </w:numPr>
        <w:spacing w:after="80" w:before="0"/>
      </w:pPr>
      <w:r>
        <w:rPr>
          <w:rFonts w:ascii="Arial" w:cs="Arial" w:eastAsia="Arial" w:hAnsi="Arial"/>
          <w:color w:val="111827"/>
          <w:sz w:val="22"/>
          <w:szCs w:val="22"/>
        </w:rPr>
        <w:t xml:space="preserve">Load balancing: routes your requests to the correct server.</w:t>
      </w:r>
    </w:p>
    <w:p>
      <w:pPr>
        <w:spacing w:after="120" w:before="0"/>
      </w:pPr>
      <w:r>
        <w:t xml:space="preserve"/>
      </w:r>
    </w:p>
    <w:p>
      <w:pPr>
        <w:spacing w:after="80" w:before="240"/>
      </w:pPr>
      <w:r>
        <w:rPr>
          <w:rFonts w:ascii="Arial" w:cs="Arial" w:eastAsia="Arial" w:hAnsi="Arial"/>
          <w:b/>
          <w:bCs/>
          <w:color w:val="111827"/>
          <w:sz w:val="22"/>
          <w:szCs w:val="22"/>
        </w:rPr>
        <w:t xml:space="preserve">Analytics cookies (consent required)</w:t>
      </w:r>
    </w:p>
    <w:p>
      <w:pPr>
        <w:pStyle w:val="ListParagraph"/>
        <w:numPr>
          <w:ilvl w:val="0"/>
          <w:numId w:val="2"/>
        </w:numPr>
        <w:spacing w:after="80" w:before="0"/>
      </w:pPr>
      <w:r>
        <w:rPr>
          <w:rFonts w:ascii="Arial" w:cs="Arial" w:eastAsia="Arial" w:hAnsi="Arial"/>
          <w:color w:val="111827"/>
          <w:sz w:val="22"/>
          <w:szCs w:val="22"/>
        </w:rPr>
        <w:t xml:space="preserve">We use privacy-respecting analytics to understand how users navigate the platform, which features are most used, and where errors occur. Analytics data is aggregated and does not identify you personally.</w:t>
      </w:r>
    </w:p>
    <w:p>
      <w:pPr>
        <w:spacing w:after="120" w:before="0"/>
      </w:pPr>
      <w:r>
        <w:t xml:space="preserve"/>
      </w:r>
    </w:p>
    <w:p>
      <w:pPr>
        <w:spacing w:after="80" w:before="240"/>
      </w:pPr>
      <w:r>
        <w:rPr>
          <w:rFonts w:ascii="Arial" w:cs="Arial" w:eastAsia="Arial" w:hAnsi="Arial"/>
          <w:b/>
          <w:bCs/>
          <w:color w:val="111827"/>
          <w:sz w:val="22"/>
          <w:szCs w:val="22"/>
        </w:rPr>
        <w:t xml:space="preserve">Marketing cookies (consent required)</w:t>
      </w:r>
    </w:p>
    <w:p>
      <w:pPr>
        <w:pStyle w:val="ListParagraph"/>
        <w:numPr>
          <w:ilvl w:val="0"/>
          <w:numId w:val="2"/>
        </w:numPr>
        <w:spacing w:after="80" w:before="0"/>
      </w:pPr>
      <w:r>
        <w:rPr>
          <w:rFonts w:ascii="Arial" w:cs="Arial" w:eastAsia="Arial" w:hAnsi="Arial"/>
          <w:color w:val="111827"/>
          <w:sz w:val="22"/>
          <w:szCs w:val="22"/>
        </w:rPr>
        <w:t xml:space="preserve">If you consent, we may use cookies to measure the effectiveness of our marketing campaigns and to show relevant content.</w:t>
      </w:r>
    </w:p>
    <w:p>
      <w:pPr>
        <w:spacing w:after="120" w:before="0"/>
      </w:pPr>
      <w:r>
        <w:t xml:space="preserve"/>
      </w:r>
    </w:p>
    <w:p>
      <w:pPr>
        <w:spacing w:after="140" w:before="0"/>
      </w:pPr>
      <w:r>
        <w:rPr>
          <w:rFonts w:ascii="Arial" w:cs="Arial" w:eastAsia="Arial" w:hAnsi="Arial"/>
          <w:i w:val="false"/>
          <w:iCs w:val="false"/>
          <w:color w:val="111827"/>
          <w:sz w:val="22"/>
          <w:szCs w:val="22"/>
        </w:rPr>
        <w:t xml:space="preserve">You can manage cookie preferences at any time via our Cookie Settings panel (accessible from the footer). Withdrawing consent for non-essential cookies will not affect core platform functionality.</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7. Who We Share Your Personal Data With</w:t>
      </w:r>
    </w:p>
    <w:p>
      <w:pPr>
        <w:spacing w:after="140" w:before="0"/>
      </w:pPr>
      <w:r>
        <w:rPr>
          <w:rFonts w:ascii="Arial" w:cs="Arial" w:eastAsia="Arial" w:hAnsi="Arial"/>
          <w:i w:val="false"/>
          <w:iCs w:val="false"/>
          <w:color w:val="111827"/>
          <w:sz w:val="22"/>
          <w:szCs w:val="22"/>
        </w:rPr>
        <w:t xml:space="preserve">We do not sell your personal data. We share your data only in the following circumstances:</w:t>
      </w:r>
    </w:p>
    <w:p>
      <w:pPr>
        <w:spacing w:after="120" w:before="0"/>
      </w:pPr>
      <w:r>
        <w:t xml:space="preserve"/>
      </w:r>
    </w:p>
    <w:p>
      <w:pPr>
        <w:pStyle w:val="ListParagraph"/>
        <w:numPr>
          <w:ilvl w:val="0"/>
          <w:numId w:val="2"/>
        </w:numPr>
        <w:spacing w:after="80" w:before="0"/>
      </w:pPr>
      <w:r>
        <w:rPr>
          <w:rFonts w:ascii="Arial" w:cs="Arial" w:eastAsia="Arial" w:hAnsi="Arial"/>
          <w:color w:val="111827"/>
          <w:sz w:val="22"/>
          <w:szCs w:val="22"/>
        </w:rPr>
        <w:t xml:space="preserve">Service providers (data processors): companies that process data on our behalf under written data processing agreements, including:</w:t>
      </w:r>
    </w:p>
    <w:p>
      <w:pPr>
        <w:pStyle w:val="ListParagraph"/>
        <w:numPr>
          <w:ilvl w:val="1"/>
          <w:numId w:val="3"/>
        </w:numPr>
        <w:spacing w:after="60" w:before="0"/>
      </w:pPr>
      <w:r>
        <w:rPr>
          <w:rFonts w:ascii="Arial" w:cs="Arial" w:eastAsia="Arial" w:hAnsi="Arial"/>
          <w:color w:val="111827"/>
          <w:sz w:val="22"/>
          <w:szCs w:val="22"/>
        </w:rPr>
        <w:t xml:space="preserve">Cloud infrastructure: hosting, databases, and storage</w:t>
      </w:r>
    </w:p>
    <w:p>
      <w:pPr>
        <w:pStyle w:val="ListParagraph"/>
        <w:numPr>
          <w:ilvl w:val="1"/>
          <w:numId w:val="3"/>
        </w:numPr>
        <w:spacing w:after="60" w:before="0"/>
      </w:pPr>
      <w:r>
        <w:rPr>
          <w:rFonts w:ascii="Arial" w:cs="Arial" w:eastAsia="Arial" w:hAnsi="Arial"/>
          <w:color w:val="111827"/>
          <w:sz w:val="22"/>
          <w:szCs w:val="22"/>
        </w:rPr>
        <w:t xml:space="preserve">Payment processing: Stripe (PCI-DSS compliant; see stripe.com/privacy)</w:t>
      </w:r>
    </w:p>
    <w:p>
      <w:pPr>
        <w:pStyle w:val="ListParagraph"/>
        <w:numPr>
          <w:ilvl w:val="1"/>
          <w:numId w:val="3"/>
        </w:numPr>
        <w:spacing w:after="60" w:before="0"/>
      </w:pPr>
      <w:r>
        <w:rPr>
          <w:rFonts w:ascii="Arial" w:cs="Arial" w:eastAsia="Arial" w:hAnsi="Arial"/>
          <w:color w:val="111827"/>
          <w:sz w:val="22"/>
          <w:szCs w:val="22"/>
        </w:rPr>
        <w:t xml:space="preserve">Email delivery: transactional and marketing email service</w:t>
      </w:r>
    </w:p>
    <w:p>
      <w:pPr>
        <w:pStyle w:val="ListParagraph"/>
        <w:numPr>
          <w:ilvl w:val="1"/>
          <w:numId w:val="3"/>
        </w:numPr>
        <w:spacing w:after="60" w:before="0"/>
      </w:pPr>
      <w:r>
        <w:rPr>
          <w:rFonts w:ascii="Arial" w:cs="Arial" w:eastAsia="Arial" w:hAnsi="Arial"/>
          <w:color w:val="111827"/>
          <w:sz w:val="22"/>
          <w:szCs w:val="22"/>
        </w:rPr>
        <w:t xml:space="preserve">Analytics: aggregated, anonymised platform analytics</w:t>
      </w:r>
    </w:p>
    <w:p>
      <w:pPr>
        <w:pStyle w:val="ListParagraph"/>
        <w:numPr>
          <w:ilvl w:val="1"/>
          <w:numId w:val="3"/>
        </w:numPr>
        <w:spacing w:after="60" w:before="0"/>
      </w:pPr>
      <w:r>
        <w:rPr>
          <w:rFonts w:ascii="Arial" w:cs="Arial" w:eastAsia="Arial" w:hAnsi="Arial"/>
          <w:color w:val="111827"/>
          <w:sz w:val="22"/>
          <w:szCs w:val="22"/>
        </w:rPr>
        <w:t xml:space="preserve">Customer support tooling: ticketing and live chat platform</w:t>
      </w:r>
    </w:p>
    <w:p>
      <w:pPr>
        <w:pStyle w:val="ListParagraph"/>
        <w:numPr>
          <w:ilvl w:val="0"/>
          <w:numId w:val="2"/>
        </w:numPr>
        <w:spacing w:after="80" w:before="0"/>
      </w:pPr>
      <w:r>
        <w:rPr>
          <w:rFonts w:ascii="Arial" w:cs="Arial" w:eastAsia="Arial" w:hAnsi="Arial"/>
          <w:color w:val="111827"/>
          <w:sz w:val="22"/>
          <w:szCs w:val="22"/>
        </w:rPr>
        <w:t xml:space="preserve">Partner companies: when you redeem a voucher at a partner location (Shell, BP, Lidl, Kaufland, or a linked utility provider), we share the minimum data necessary to process the redemption — typically a voucher code and redemption timestamp. We do not share your name or contact details with retail partners.</w:t>
      </w:r>
    </w:p>
    <w:p>
      <w:pPr>
        <w:pStyle w:val="ListParagraph"/>
        <w:numPr>
          <w:ilvl w:val="0"/>
          <w:numId w:val="2"/>
        </w:numPr>
        <w:spacing w:after="80" w:before="0"/>
      </w:pPr>
      <w:r>
        <w:rPr>
          <w:rFonts w:ascii="Arial" w:cs="Arial" w:eastAsia="Arial" w:hAnsi="Arial"/>
          <w:color w:val="111827"/>
          <w:sz w:val="22"/>
          <w:szCs w:val="22"/>
        </w:rPr>
        <w:t xml:space="preserve">Legal requirements: when required by law, court order, or regulatory authority, including UK or EU/EEA authorities.</w:t>
      </w:r>
    </w:p>
    <w:p>
      <w:pPr>
        <w:pStyle w:val="ListParagraph"/>
        <w:numPr>
          <w:ilvl w:val="0"/>
          <w:numId w:val="2"/>
        </w:numPr>
        <w:spacing w:after="80" w:before="0"/>
      </w:pPr>
      <w:r>
        <w:rPr>
          <w:rFonts w:ascii="Arial" w:cs="Arial" w:eastAsia="Arial" w:hAnsi="Arial"/>
          <w:color w:val="111827"/>
          <w:sz w:val="22"/>
          <w:szCs w:val="22"/>
        </w:rPr>
        <w:t xml:space="preserve">Business transfers: in the event of a merger, acquisition, or sale of all or part of our business, your data may be transferred to the acquiring entity, subject to the same privacy protections.</w:t>
      </w:r>
    </w:p>
    <w:p>
      <w:pPr>
        <w:pStyle w:val="ListParagraph"/>
        <w:numPr>
          <w:ilvl w:val="0"/>
          <w:numId w:val="2"/>
        </w:numPr>
        <w:spacing w:after="80" w:before="0"/>
      </w:pPr>
      <w:r>
        <w:rPr>
          <w:rFonts w:ascii="Arial" w:cs="Arial" w:eastAsia="Arial" w:hAnsi="Arial"/>
          <w:color w:val="111827"/>
          <w:sz w:val="22"/>
          <w:szCs w:val="22"/>
        </w:rPr>
        <w:t xml:space="preserve">With your consent: for any other sharing not described above, we will ask for your explicit consent first.</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8. International Data Transfers</w:t>
      </w:r>
    </w:p>
    <w:p>
      <w:pPr>
        <w:spacing w:after="140" w:before="0"/>
      </w:pPr>
      <w:r>
        <w:rPr>
          <w:rFonts w:ascii="Arial" w:cs="Arial" w:eastAsia="Arial" w:hAnsi="Arial"/>
          <w:i w:val="false"/>
          <w:iCs w:val="false"/>
          <w:color w:val="111827"/>
          <w:sz w:val="22"/>
          <w:szCs w:val="22"/>
        </w:rPr>
        <w:t xml:space="preserve">Energy Shift Europe Limited is based in the United Kingdom. The UK is not a member of the European Union; however, the European Commission granted the UK an adequacy decision on 28 June 2021, recognising that the UK provides an equivalent level of data protection to the EU. This means that personal data may flow from the EU/EEA to Energy Shift in the UK without additional transfer mechanisms being required on the part of EU-based data subjects.</w:t>
      </w:r>
    </w:p>
    <w:p>
      <w:pPr>
        <w:spacing w:after="140" w:before="0"/>
      </w:pPr>
      <w:r>
        <w:rPr>
          <w:rFonts w:ascii="Arial" w:cs="Arial" w:eastAsia="Arial" w:hAnsi="Arial"/>
          <w:i w:val="false"/>
          <w:iCs w:val="false"/>
          <w:color w:val="111827"/>
          <w:sz w:val="22"/>
          <w:szCs w:val="22"/>
        </w:rPr>
        <w:t xml:space="preserve">Where any of our service providers process data outside the UK and EEA, we ensure appropriate safeguards are in place, including:</w:t>
      </w:r>
    </w:p>
    <w:p>
      <w:pPr>
        <w:pStyle w:val="ListParagraph"/>
        <w:numPr>
          <w:ilvl w:val="0"/>
          <w:numId w:val="2"/>
        </w:numPr>
        <w:spacing w:after="80" w:before="0"/>
      </w:pPr>
      <w:r>
        <w:rPr>
          <w:rFonts w:ascii="Arial" w:cs="Arial" w:eastAsia="Arial" w:hAnsi="Arial"/>
          <w:color w:val="111827"/>
          <w:sz w:val="22"/>
          <w:szCs w:val="22"/>
        </w:rPr>
        <w:t xml:space="preserve">UK International Data Transfer Agreements (IDTAs) or EU Standard Contractual Clauses (SCCs) as adopted or recognised under UK law</w:t>
      </w:r>
    </w:p>
    <w:p>
      <w:pPr>
        <w:pStyle w:val="ListParagraph"/>
        <w:numPr>
          <w:ilvl w:val="0"/>
          <w:numId w:val="2"/>
        </w:numPr>
        <w:spacing w:after="80" w:before="0"/>
      </w:pPr>
      <w:r>
        <w:rPr>
          <w:rFonts w:ascii="Arial" w:cs="Arial" w:eastAsia="Arial" w:hAnsi="Arial"/>
          <w:color w:val="111827"/>
          <w:sz w:val="22"/>
          <w:szCs w:val="22"/>
        </w:rPr>
        <w:t xml:space="preserve">Adequacy regulations made by the UK Secretary of State where applicable</w:t>
      </w:r>
    </w:p>
    <w:p>
      <w:pPr>
        <w:pStyle w:val="ListParagraph"/>
        <w:numPr>
          <w:ilvl w:val="0"/>
          <w:numId w:val="2"/>
        </w:numPr>
        <w:spacing w:after="80" w:before="0"/>
      </w:pPr>
      <w:r>
        <w:rPr>
          <w:rFonts w:ascii="Arial" w:cs="Arial" w:eastAsia="Arial" w:hAnsi="Arial"/>
          <w:color w:val="111827"/>
          <w:sz w:val="22"/>
          <w:szCs w:val="22"/>
        </w:rPr>
        <w:t xml:space="preserve">Binding Corporate Rules where the provider operates under them</w:t>
      </w:r>
    </w:p>
    <w:p>
      <w:pPr>
        <w:spacing w:after="140" w:before="0"/>
      </w:pPr>
      <w:r>
        <w:rPr>
          <w:rFonts w:ascii="Arial" w:cs="Arial" w:eastAsia="Arial" w:hAnsi="Arial"/>
          <w:i w:val="false"/>
          <w:iCs w:val="false"/>
          <w:color w:val="111827"/>
          <w:sz w:val="22"/>
          <w:szCs w:val="22"/>
        </w:rPr>
        <w:t xml:space="preserve">You can request details of the specific safeguards in place for any international transfer by contacting us at privacy@energyshift.eu.</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9. Data Retention</w:t>
      </w:r>
    </w:p>
    <w:p>
      <w:pPr>
        <w:spacing w:after="140" w:before="0"/>
      </w:pPr>
      <w:r>
        <w:rPr>
          <w:rFonts w:ascii="Arial" w:cs="Arial" w:eastAsia="Arial" w:hAnsi="Arial"/>
          <w:i w:val="false"/>
          <w:iCs w:val="false"/>
          <w:color w:val="111827"/>
          <w:sz w:val="22"/>
          <w:szCs w:val="22"/>
        </w:rPr>
        <w:t xml:space="preserve">We retain your personal data only for as long as necessary for the purposes described in this policy, or as required by law.</w:t>
      </w:r>
    </w:p>
    <w:p>
      <w:pPr>
        <w:spacing w:after="120" w:before="0"/>
      </w:pPr>
      <w:r>
        <w:t xml:space="preserve"/>
      </w:r>
    </w:p>
    <w:p>
      <w:pPr>
        <w:pStyle w:val="ListParagraph"/>
        <w:numPr>
          <w:ilvl w:val="0"/>
          <w:numId w:val="2"/>
        </w:numPr>
        <w:spacing w:after="80" w:before="0"/>
      </w:pPr>
      <w:r>
        <w:rPr>
          <w:rFonts w:ascii="Arial" w:cs="Arial" w:eastAsia="Arial" w:hAnsi="Arial"/>
          <w:color w:val="111827"/>
          <w:sz w:val="22"/>
          <w:szCs w:val="22"/>
        </w:rPr>
        <w:t xml:space="preserve">Account data: retained for the duration of your account plus 3 years after account closure (to comply with tax and accounting obligations).</w:t>
      </w:r>
    </w:p>
    <w:p>
      <w:pPr>
        <w:pStyle w:val="ListParagraph"/>
        <w:numPr>
          <w:ilvl w:val="0"/>
          <w:numId w:val="2"/>
        </w:numPr>
        <w:spacing w:after="80" w:before="0"/>
      </w:pPr>
      <w:r>
        <w:rPr>
          <w:rFonts w:ascii="Arial" w:cs="Arial" w:eastAsia="Arial" w:hAnsi="Arial"/>
          <w:color w:val="111827"/>
          <w:sz w:val="22"/>
          <w:szCs w:val="22"/>
        </w:rPr>
        <w:t xml:space="preserve">Transaction and payment data: 6 years from the date of transaction (UK Companies Act / HMRC record-keeping requirement).</w:t>
      </w:r>
    </w:p>
    <w:p>
      <w:pPr>
        <w:pStyle w:val="ListParagraph"/>
        <w:numPr>
          <w:ilvl w:val="0"/>
          <w:numId w:val="2"/>
        </w:numPr>
        <w:spacing w:after="80" w:before="0"/>
      </w:pPr>
      <w:r>
        <w:rPr>
          <w:rFonts w:ascii="Arial" w:cs="Arial" w:eastAsia="Arial" w:hAnsi="Arial"/>
          <w:color w:val="111827"/>
          <w:sz w:val="22"/>
          <w:szCs w:val="22"/>
        </w:rPr>
        <w:t xml:space="preserve">Support correspondence: 2 years from the date of the interaction.</w:t>
      </w:r>
    </w:p>
    <w:p>
      <w:pPr>
        <w:pStyle w:val="ListParagraph"/>
        <w:numPr>
          <w:ilvl w:val="0"/>
          <w:numId w:val="2"/>
        </w:numPr>
        <w:spacing w:after="80" w:before="0"/>
      </w:pPr>
      <w:r>
        <w:rPr>
          <w:rFonts w:ascii="Arial" w:cs="Arial" w:eastAsia="Arial" w:hAnsi="Arial"/>
          <w:color w:val="111827"/>
          <w:sz w:val="22"/>
          <w:szCs w:val="22"/>
        </w:rPr>
        <w:t xml:space="preserve">Marketing consent records: 3 years from the date consent was given or last renewed.</w:t>
      </w:r>
    </w:p>
    <w:p>
      <w:pPr>
        <w:pStyle w:val="ListParagraph"/>
        <w:numPr>
          <w:ilvl w:val="0"/>
          <w:numId w:val="2"/>
        </w:numPr>
        <w:spacing w:after="80" w:before="0"/>
      </w:pPr>
      <w:r>
        <w:rPr>
          <w:rFonts w:ascii="Arial" w:cs="Arial" w:eastAsia="Arial" w:hAnsi="Arial"/>
          <w:color w:val="111827"/>
          <w:sz w:val="22"/>
          <w:szCs w:val="22"/>
        </w:rPr>
        <w:t xml:space="preserve">Server logs and technical data: 90 days on a rolling basis.</w:t>
      </w:r>
    </w:p>
    <w:p>
      <w:pPr>
        <w:pStyle w:val="ListParagraph"/>
        <w:numPr>
          <w:ilvl w:val="0"/>
          <w:numId w:val="2"/>
        </w:numPr>
        <w:spacing w:after="80" w:before="0"/>
      </w:pPr>
      <w:r>
        <w:rPr>
          <w:rFonts w:ascii="Arial" w:cs="Arial" w:eastAsia="Arial" w:hAnsi="Arial"/>
          <w:color w:val="111827"/>
          <w:sz w:val="22"/>
          <w:szCs w:val="22"/>
        </w:rPr>
        <w:t xml:space="preserve">Anonymised analytics data: retained indefinitely (it cannot identify you).</w:t>
      </w:r>
    </w:p>
    <w:p>
      <w:pPr>
        <w:spacing w:after="120" w:before="0"/>
      </w:pPr>
      <w:r>
        <w:t xml:space="preserve"/>
      </w:r>
    </w:p>
    <w:p>
      <w:pPr>
        <w:spacing w:after="140" w:before="0"/>
      </w:pPr>
      <w:r>
        <w:rPr>
          <w:rFonts w:ascii="Arial" w:cs="Arial" w:eastAsia="Arial" w:hAnsi="Arial"/>
          <w:i w:val="false"/>
          <w:iCs w:val="false"/>
          <w:color w:val="111827"/>
          <w:sz w:val="22"/>
          <w:szCs w:val="22"/>
        </w:rPr>
        <w:t xml:space="preserve">When retention periods expire, data is securely deleted or anonymised. You may request earlier deletion — see Section 11 (Your Rights).</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10. Security Measures</w:t>
      </w:r>
    </w:p>
    <w:p>
      <w:pPr>
        <w:spacing w:after="140" w:before="0"/>
      </w:pPr>
      <w:r>
        <w:rPr>
          <w:rFonts w:ascii="Arial" w:cs="Arial" w:eastAsia="Arial" w:hAnsi="Arial"/>
          <w:i w:val="false"/>
          <w:iCs w:val="false"/>
          <w:color w:val="111827"/>
          <w:sz w:val="22"/>
          <w:szCs w:val="22"/>
        </w:rPr>
        <w:t xml:space="preserve">We take the security of your personal data seriously. Our technical and organisational measures include:</w:t>
      </w:r>
    </w:p>
    <w:p>
      <w:pPr>
        <w:pStyle w:val="ListParagraph"/>
        <w:numPr>
          <w:ilvl w:val="0"/>
          <w:numId w:val="2"/>
        </w:numPr>
        <w:spacing w:after="80" w:before="0"/>
      </w:pPr>
      <w:r>
        <w:rPr>
          <w:rFonts w:ascii="Arial" w:cs="Arial" w:eastAsia="Arial" w:hAnsi="Arial"/>
          <w:color w:val="111827"/>
          <w:sz w:val="22"/>
          <w:szCs w:val="22"/>
        </w:rPr>
        <w:t xml:space="preserve">Encryption in transit: all data transmitted between your browser and our servers is encrypted using TLS 1.2 or higher (HTTPS).</w:t>
      </w:r>
    </w:p>
    <w:p>
      <w:pPr>
        <w:pStyle w:val="ListParagraph"/>
        <w:numPr>
          <w:ilvl w:val="0"/>
          <w:numId w:val="2"/>
        </w:numPr>
        <w:spacing w:after="80" w:before="0"/>
      </w:pPr>
      <w:r>
        <w:rPr>
          <w:rFonts w:ascii="Arial" w:cs="Arial" w:eastAsia="Arial" w:hAnsi="Arial"/>
          <w:color w:val="111827"/>
          <w:sz w:val="22"/>
          <w:szCs w:val="22"/>
        </w:rPr>
        <w:t xml:space="preserve">Encryption at rest: sensitive data fields (API keys, payment tokens) are encrypted at rest in our database.</w:t>
      </w:r>
    </w:p>
    <w:p>
      <w:pPr>
        <w:pStyle w:val="ListParagraph"/>
        <w:numPr>
          <w:ilvl w:val="0"/>
          <w:numId w:val="2"/>
        </w:numPr>
        <w:spacing w:after="80" w:before="0"/>
      </w:pPr>
      <w:r>
        <w:rPr>
          <w:rFonts w:ascii="Arial" w:cs="Arial" w:eastAsia="Arial" w:hAnsi="Arial"/>
          <w:color w:val="111827"/>
          <w:sz w:val="22"/>
          <w:szCs w:val="22"/>
        </w:rPr>
        <w:t xml:space="preserve">Password hashing: passwords are hashed using bcrypt with a strong work factor and are never stored in plaintext.</w:t>
      </w:r>
    </w:p>
    <w:p>
      <w:pPr>
        <w:pStyle w:val="ListParagraph"/>
        <w:numPr>
          <w:ilvl w:val="0"/>
          <w:numId w:val="2"/>
        </w:numPr>
        <w:spacing w:after="80" w:before="0"/>
      </w:pPr>
      <w:r>
        <w:rPr>
          <w:rFonts w:ascii="Arial" w:cs="Arial" w:eastAsia="Arial" w:hAnsi="Arial"/>
          <w:color w:val="111827"/>
          <w:sz w:val="22"/>
          <w:szCs w:val="22"/>
        </w:rPr>
        <w:t xml:space="preserve">Access controls: role-based access control (RBAC) ensures staff and systems access only the data they need (principle of least privilege).</w:t>
      </w:r>
    </w:p>
    <w:p>
      <w:pPr>
        <w:pStyle w:val="ListParagraph"/>
        <w:numPr>
          <w:ilvl w:val="0"/>
          <w:numId w:val="2"/>
        </w:numPr>
        <w:spacing w:after="80" w:before="0"/>
      </w:pPr>
      <w:r>
        <w:rPr>
          <w:rFonts w:ascii="Arial" w:cs="Arial" w:eastAsia="Arial" w:hAnsi="Arial"/>
          <w:color w:val="111827"/>
          <w:sz w:val="22"/>
          <w:szCs w:val="22"/>
        </w:rPr>
        <w:t xml:space="preserve">Unique cryptographic voucher IDs: each voucher has a unique, tamper-proof identifier to prevent forgery and double-spending.</w:t>
      </w:r>
    </w:p>
    <w:p>
      <w:pPr>
        <w:pStyle w:val="ListParagraph"/>
        <w:numPr>
          <w:ilvl w:val="0"/>
          <w:numId w:val="2"/>
        </w:numPr>
        <w:spacing w:after="80" w:before="0"/>
      </w:pPr>
      <w:r>
        <w:rPr>
          <w:rFonts w:ascii="Arial" w:cs="Arial" w:eastAsia="Arial" w:hAnsi="Arial"/>
          <w:color w:val="111827"/>
          <w:sz w:val="22"/>
          <w:szCs w:val="22"/>
        </w:rPr>
        <w:t xml:space="preserve">Security monitoring: we monitor for anomalous access patterns and potential breaches.</w:t>
      </w:r>
    </w:p>
    <w:p>
      <w:pPr>
        <w:pStyle w:val="ListParagraph"/>
        <w:numPr>
          <w:ilvl w:val="0"/>
          <w:numId w:val="2"/>
        </w:numPr>
        <w:spacing w:after="80" w:before="0"/>
      </w:pPr>
      <w:r>
        <w:rPr>
          <w:rFonts w:ascii="Arial" w:cs="Arial" w:eastAsia="Arial" w:hAnsi="Arial"/>
          <w:color w:val="111827"/>
          <w:sz w:val="22"/>
          <w:szCs w:val="22"/>
        </w:rPr>
        <w:t xml:space="preserve">Penetration testing: we conduct periodic security assessments of our platform.</w:t>
      </w:r>
    </w:p>
    <w:p>
      <w:pPr>
        <w:pStyle w:val="ListParagraph"/>
        <w:numPr>
          <w:ilvl w:val="0"/>
          <w:numId w:val="2"/>
        </w:numPr>
        <w:spacing w:after="80" w:before="0"/>
      </w:pPr>
      <w:r>
        <w:rPr>
          <w:rFonts w:ascii="Arial" w:cs="Arial" w:eastAsia="Arial" w:hAnsi="Arial"/>
          <w:color w:val="111827"/>
          <w:sz w:val="22"/>
          <w:szCs w:val="22"/>
        </w:rPr>
        <w:t xml:space="preserve">Incident response: we have a documented personal data breach response procedure. In the event of a breach likely to risk your rights, we will notify the Information Commissioner’s Office (ICO) within 72 hours and affected individuals without undue delay, as required by UK GDPR Articles 33–34.</w:t>
      </w:r>
    </w:p>
    <w:p>
      <w:pPr>
        <w:spacing w:after="120" w:before="0"/>
      </w:pPr>
      <w:r>
        <w:t xml:space="preserve"/>
      </w:r>
    </w:p>
    <w:p>
      <w:pPr>
        <w:spacing w:after="140" w:before="0"/>
      </w:pPr>
      <w:r>
        <w:rPr>
          <w:rFonts w:ascii="Arial" w:cs="Arial" w:eastAsia="Arial" w:hAnsi="Arial"/>
          <w:i w:val="false"/>
          <w:iCs w:val="false"/>
          <w:color w:val="111827"/>
          <w:sz w:val="22"/>
          <w:szCs w:val="22"/>
        </w:rPr>
        <w:t xml:space="preserve">No system is 100% secure. If you believe your account has been compromised, please contact support@energyshift.eu immediately.</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11. Your Rights Under UK GDPR</w:t>
      </w:r>
    </w:p>
    <w:p>
      <w:pPr>
        <w:spacing w:after="140" w:before="0"/>
      </w:pPr>
      <w:r>
        <w:rPr>
          <w:rFonts w:ascii="Arial" w:cs="Arial" w:eastAsia="Arial" w:hAnsi="Arial"/>
          <w:i w:val="false"/>
          <w:iCs w:val="false"/>
          <w:color w:val="111827"/>
          <w:sz w:val="22"/>
          <w:szCs w:val="22"/>
        </w:rPr>
        <w:t xml:space="preserve">As a data subject under UK GDPR, you have the following rights. You can exercise them by contacting privacy@energyshift.eu or through your account settings where available.</w:t>
      </w:r>
    </w:p>
    <w:p>
      <w:pPr>
        <w:spacing w:after="120" w:before="0"/>
      </w:pPr>
      <w:r>
        <w:t xml:space="preserve"/>
      </w:r>
    </w:p>
    <w:p>
      <w:pPr>
        <w:pStyle w:val="ListParagraph"/>
        <w:numPr>
          <w:ilvl w:val="0"/>
          <w:numId w:val="2"/>
        </w:numPr>
        <w:spacing w:after="80" w:before="0"/>
      </w:pPr>
      <w:r>
        <w:rPr>
          <w:rFonts w:ascii="Arial" w:cs="Arial" w:eastAsia="Arial" w:hAnsi="Arial"/>
          <w:color w:val="111827"/>
          <w:sz w:val="22"/>
          <w:szCs w:val="22"/>
        </w:rPr>
        <w:t xml:space="preserve">Right of access (Art. 15): you may request a copy of all personal data we hold about you, along with information about how we use it. We will respond within one calendar month.</w:t>
      </w:r>
    </w:p>
    <w:p>
      <w:pPr>
        <w:pStyle w:val="ListParagraph"/>
        <w:numPr>
          <w:ilvl w:val="0"/>
          <w:numId w:val="2"/>
        </w:numPr>
        <w:spacing w:after="80" w:before="0"/>
      </w:pPr>
      <w:r>
        <w:rPr>
          <w:rFonts w:ascii="Arial" w:cs="Arial" w:eastAsia="Arial" w:hAnsi="Arial"/>
          <w:color w:val="111827"/>
          <w:sz w:val="22"/>
          <w:szCs w:val="22"/>
        </w:rPr>
        <w:t xml:space="preserve">Right to rectification (Art. 16): you may request correction of inaccurate or incomplete personal data. For most data, you can update it directly in your account Settings.</w:t>
      </w:r>
    </w:p>
    <w:p>
      <w:pPr>
        <w:pStyle w:val="ListParagraph"/>
        <w:numPr>
          <w:ilvl w:val="0"/>
          <w:numId w:val="2"/>
        </w:numPr>
        <w:spacing w:after="80" w:before="0"/>
      </w:pPr>
      <w:r>
        <w:rPr>
          <w:rFonts w:ascii="Arial" w:cs="Arial" w:eastAsia="Arial" w:hAnsi="Arial"/>
          <w:color w:val="111827"/>
          <w:sz w:val="22"/>
          <w:szCs w:val="22"/>
        </w:rPr>
        <w:t xml:space="preserve">Right to erasure / “right to be forgotten” (Art. 17): you may request deletion of your personal data. We will honour this unless we are required to retain data by law (e.g. HMRC records) or have other legitimate grounds.</w:t>
      </w:r>
    </w:p>
    <w:p>
      <w:pPr>
        <w:pStyle w:val="ListParagraph"/>
        <w:numPr>
          <w:ilvl w:val="0"/>
          <w:numId w:val="2"/>
        </w:numPr>
        <w:spacing w:after="80" w:before="0"/>
      </w:pPr>
      <w:r>
        <w:rPr>
          <w:rFonts w:ascii="Arial" w:cs="Arial" w:eastAsia="Arial" w:hAnsi="Arial"/>
          <w:color w:val="111827"/>
          <w:sz w:val="22"/>
          <w:szCs w:val="22"/>
        </w:rPr>
        <w:t xml:space="preserve">Right to restriction of processing (Art. 18): you may ask us to pause processing of your data in certain circumstances (e.g. while you contest its accuracy).</w:t>
      </w:r>
    </w:p>
    <w:p>
      <w:pPr>
        <w:pStyle w:val="ListParagraph"/>
        <w:numPr>
          <w:ilvl w:val="0"/>
          <w:numId w:val="2"/>
        </w:numPr>
        <w:spacing w:after="80" w:before="0"/>
      </w:pPr>
      <w:r>
        <w:rPr>
          <w:rFonts w:ascii="Arial" w:cs="Arial" w:eastAsia="Arial" w:hAnsi="Arial"/>
          <w:color w:val="111827"/>
          <w:sz w:val="22"/>
          <w:szCs w:val="22"/>
        </w:rPr>
        <w:t xml:space="preserve">Right to data portability (Art. 20): you may request your personal data in a structured, commonly used, machine-readable format (JSON or CSV) to transfer to another controller.</w:t>
      </w:r>
    </w:p>
    <w:p>
      <w:pPr>
        <w:pStyle w:val="ListParagraph"/>
        <w:numPr>
          <w:ilvl w:val="0"/>
          <w:numId w:val="2"/>
        </w:numPr>
        <w:spacing w:after="80" w:before="0"/>
      </w:pPr>
      <w:r>
        <w:rPr>
          <w:rFonts w:ascii="Arial" w:cs="Arial" w:eastAsia="Arial" w:hAnsi="Arial"/>
          <w:color w:val="111827"/>
          <w:sz w:val="22"/>
          <w:szCs w:val="22"/>
        </w:rPr>
        <w:t xml:space="preserve">Right to object (Art. 21): you may object to processing based on legitimate interests or for direct marketing. We will stop processing for direct marketing immediately upon objection.</w:t>
      </w:r>
    </w:p>
    <w:p>
      <w:pPr>
        <w:pStyle w:val="ListParagraph"/>
        <w:numPr>
          <w:ilvl w:val="0"/>
          <w:numId w:val="2"/>
        </w:numPr>
        <w:spacing w:after="80" w:before="0"/>
      </w:pPr>
      <w:r>
        <w:rPr>
          <w:rFonts w:ascii="Arial" w:cs="Arial" w:eastAsia="Arial" w:hAnsi="Arial"/>
          <w:color w:val="111827"/>
          <w:sz w:val="22"/>
          <w:szCs w:val="22"/>
        </w:rPr>
        <w:t xml:space="preserve">Rights related to automated decision-making (Art. 22): we do not make solely automated decisions that produce significant legal or similarly significant effects on you. Our AI-powered insights are advisory only — no automated decisions are made about your account without human review.</w:t>
      </w:r>
    </w:p>
    <w:p>
      <w:pPr>
        <w:pStyle w:val="ListParagraph"/>
        <w:numPr>
          <w:ilvl w:val="0"/>
          <w:numId w:val="2"/>
        </w:numPr>
        <w:spacing w:after="80" w:before="0"/>
      </w:pPr>
      <w:r>
        <w:rPr>
          <w:rFonts w:ascii="Arial" w:cs="Arial" w:eastAsia="Arial" w:hAnsi="Arial"/>
          <w:color w:val="111827"/>
          <w:sz w:val="22"/>
          <w:szCs w:val="22"/>
        </w:rPr>
        <w:t xml:space="preserve">Right to withdraw consent: where processing is based on consent, you may withdraw it at any time without affecting the lawfulness of prior processing.</w:t>
      </w:r>
    </w:p>
    <w:p>
      <w:pPr>
        <w:spacing w:after="120" w:before="0"/>
      </w:pPr>
      <w:r>
        <w:t xml:space="preserve"/>
      </w:r>
    </w:p>
    <w:p>
      <w:pPr>
        <w:spacing w:after="140" w:before="0"/>
      </w:pPr>
      <w:r>
        <w:rPr>
          <w:rFonts w:ascii="Arial" w:cs="Arial" w:eastAsia="Arial" w:hAnsi="Arial"/>
          <w:i w:val="false"/>
          <w:iCs w:val="false"/>
          <w:color w:val="111827"/>
          <w:sz w:val="22"/>
          <w:szCs w:val="22"/>
        </w:rPr>
        <w:t xml:space="preserve">We will respond to all rights requests within one calendar month. If a request is complex or numerous, we may extend this by a further two months and will inform you within the first month.</w:t>
      </w:r>
    </w:p>
    <w:p>
      <w:pPr>
        <w:spacing w:after="140" w:before="0"/>
      </w:pPr>
      <w:r>
        <w:rPr>
          <w:rFonts w:ascii="Arial" w:cs="Arial" w:eastAsia="Arial" w:hAnsi="Arial"/>
          <w:i w:val="false"/>
          <w:iCs w:val="false"/>
          <w:color w:val="111827"/>
          <w:sz w:val="22"/>
          <w:szCs w:val="22"/>
        </w:rPr>
        <w:t xml:space="preserve">You also have the right to lodge a complaint with a supervisory authority. In the UK, this is:</w:t>
      </w:r>
    </w:p>
    <w:p>
      <w:pPr>
        <w:spacing w:after="120" w:before="0"/>
      </w:pPr>
      <w:r>
        <w:t xml:space="preserve"/>
      </w:r>
    </w:p>
    <w:p>
      <w:pPr>
        <w:spacing w:after="80" w:before="0"/>
      </w:pPr>
      <w:r>
        <w:rPr>
          <w:rFonts w:ascii="Arial" w:cs="Arial" w:eastAsia="Arial" w:hAnsi="Arial"/>
          <w:b/>
          <w:bCs/>
          <w:color w:val="111827"/>
          <w:sz w:val="22"/>
          <w:szCs w:val="22"/>
        </w:rPr>
        <w:t xml:space="preserve">Information Commissioner’s Office (ICO)</w:t>
      </w:r>
    </w:p>
    <w:p>
      <w:pPr>
        <w:spacing w:after="140" w:before="0"/>
      </w:pPr>
      <w:r>
        <w:rPr>
          <w:rFonts w:ascii="Arial" w:cs="Arial" w:eastAsia="Arial" w:hAnsi="Arial"/>
          <w:b/>
          <w:bCs/>
          <w:color w:val="111827"/>
          <w:sz w:val="22"/>
          <w:szCs w:val="22"/>
        </w:rPr>
        <w:t xml:space="preserve">Website: </w:t>
      </w:r>
      <w:hyperlink w:history="1" r:id="rIdf8w0cpapcluqwndbranyw">
        <w:r>
          <w:rPr>
            <w:rStyle w:val="Hyperlink"/>
            <w:rFonts w:ascii="Arial" w:cs="Arial" w:eastAsia="Arial" w:hAnsi="Arial"/>
            <w:color w:val="5B21B6"/>
            <w:sz w:val="22"/>
            <w:szCs w:val="22"/>
            <w:u w:val="single"/>
          </w:rPr>
          <w:t xml:space="preserve">https://ico.org.uk</w:t>
        </w:r>
      </w:hyperlink>
    </w:p>
    <w:p>
      <w:pPr>
        <w:spacing w:after="140" w:before="0"/>
      </w:pPr>
      <w:r>
        <w:rPr>
          <w:rFonts w:ascii="Arial" w:cs="Arial" w:eastAsia="Arial" w:hAnsi="Arial"/>
          <w:i w:val="false"/>
          <w:iCs w:val="false"/>
          <w:color w:val="111827"/>
          <w:sz w:val="22"/>
          <w:szCs w:val="22"/>
        </w:rPr>
        <w:t xml:space="preserve">Helpline: 0303 123 1113</w:t>
      </w:r>
    </w:p>
    <w:p>
      <w:pPr>
        <w:spacing w:after="140" w:before="0"/>
      </w:pPr>
      <w:r>
        <w:rPr>
          <w:rFonts w:ascii="Arial" w:cs="Arial" w:eastAsia="Arial" w:hAnsi="Arial"/>
          <w:i w:val="false"/>
          <w:iCs w:val="false"/>
          <w:color w:val="111827"/>
          <w:sz w:val="22"/>
          <w:szCs w:val="22"/>
        </w:rPr>
        <w:t xml:space="preserve">Address: Wycliffe House, Water Lane, Wilmslow, Cheshire, SK9 5AF</w:t>
      </w:r>
    </w:p>
    <w:p>
      <w:pPr>
        <w:spacing w:after="120" w:before="0"/>
      </w:pPr>
      <w:r>
        <w:t xml:space="preserve"/>
      </w:r>
    </w:p>
    <w:p>
      <w:pPr>
        <w:spacing w:after="140" w:before="0"/>
      </w:pPr>
      <w:r>
        <w:rPr>
          <w:rFonts w:ascii="Arial" w:cs="Arial" w:eastAsia="Arial" w:hAnsi="Arial"/>
          <w:i w:val="false"/>
          <w:iCs w:val="false"/>
          <w:color w:val="111827"/>
          <w:sz w:val="22"/>
          <w:szCs w:val="22"/>
        </w:rPr>
        <w:t xml:space="preserve">If you are located in an EU member state, you may also lodge a complaint with your local EU data protection authority. A list of EU supervisory authorities is available at edpb.europa.eu.</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12. Children’s Privacy</w:t>
      </w:r>
    </w:p>
    <w:p>
      <w:pPr>
        <w:spacing w:after="140" w:before="0"/>
      </w:pPr>
      <w:r>
        <w:rPr>
          <w:rFonts w:ascii="Arial" w:cs="Arial" w:eastAsia="Arial" w:hAnsi="Arial"/>
          <w:i w:val="false"/>
          <w:iCs w:val="false"/>
          <w:color w:val="111827"/>
          <w:sz w:val="22"/>
          <w:szCs w:val="22"/>
        </w:rPr>
        <w:t xml:space="preserve">Our Services are not directed to children under the age of 13. We do not knowingly collect personal data from children under 13. If we become aware that we have collected personal data from a child under 13, we will delete that data promptly.</w:t>
      </w:r>
    </w:p>
    <w:p>
      <w:pPr>
        <w:spacing w:after="140" w:before="0"/>
      </w:pPr>
      <w:r>
        <w:rPr>
          <w:rFonts w:ascii="Arial" w:cs="Arial" w:eastAsia="Arial" w:hAnsi="Arial"/>
          <w:i w:val="false"/>
          <w:iCs w:val="false"/>
          <w:color w:val="111827"/>
          <w:sz w:val="22"/>
          <w:szCs w:val="22"/>
        </w:rPr>
        <w:t xml:space="preserve">If you are a parent or guardian and believe your child has provided us with personal data, please contact privacy@energyshift.eu.</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13. Third-Party Links and Services</w:t>
      </w:r>
    </w:p>
    <w:p>
      <w:pPr>
        <w:spacing w:after="140" w:before="0"/>
      </w:pPr>
      <w:r>
        <w:rPr>
          <w:rFonts w:ascii="Arial" w:cs="Arial" w:eastAsia="Arial" w:hAnsi="Arial"/>
          <w:i w:val="false"/>
          <w:iCs w:val="false"/>
          <w:color w:val="111827"/>
          <w:sz w:val="22"/>
          <w:szCs w:val="22"/>
        </w:rPr>
        <w:t xml:space="preserve">Our Services may contain links to third-party websites or services (for example, partner utility providers, fuel stations, or retail chains). This Privacy Policy does not apply to those third parties. We encourage you to review the privacy policies of any third-party services you access through our platform.</w:t>
      </w:r>
    </w:p>
    <w:p>
      <w:pPr>
        <w:spacing w:after="140" w:before="0"/>
      </w:pPr>
      <w:r>
        <w:rPr>
          <w:rFonts w:ascii="Arial" w:cs="Arial" w:eastAsia="Arial" w:hAnsi="Arial"/>
          <w:i w:val="false"/>
          <w:iCs w:val="false"/>
          <w:color w:val="111827"/>
          <w:sz w:val="22"/>
          <w:szCs w:val="22"/>
        </w:rPr>
        <w:t xml:space="preserve">Our integration with Stripe for payment processing is governed by Stripe’s Privacy Policy at stripe.com/privacy.</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14. Marketing Communications</w:t>
      </w:r>
    </w:p>
    <w:p>
      <w:pPr>
        <w:spacing w:after="140" w:before="0"/>
      </w:pPr>
      <w:r>
        <w:rPr>
          <w:rFonts w:ascii="Arial" w:cs="Arial" w:eastAsia="Arial" w:hAnsi="Arial"/>
          <w:i w:val="false"/>
          <w:iCs w:val="false"/>
          <w:color w:val="111827"/>
          <w:sz w:val="22"/>
          <w:szCs w:val="22"/>
        </w:rPr>
        <w:t xml:space="preserve">With your consent (or where permitted under the UK Privacy and Electronic Communications Regulations 2003 (PECR) for existing customers), we may send you:</w:t>
      </w:r>
    </w:p>
    <w:p>
      <w:pPr>
        <w:pStyle w:val="ListParagraph"/>
        <w:numPr>
          <w:ilvl w:val="0"/>
          <w:numId w:val="2"/>
        </w:numPr>
        <w:spacing w:after="80" w:before="0"/>
      </w:pPr>
      <w:r>
        <w:rPr>
          <w:rFonts w:ascii="Arial" w:cs="Arial" w:eastAsia="Arial" w:hAnsi="Arial"/>
          <w:color w:val="111827"/>
          <w:sz w:val="22"/>
          <w:szCs w:val="22"/>
        </w:rPr>
        <w:t xml:space="preserve">New voucher availability and marketplace updates</w:t>
      </w:r>
    </w:p>
    <w:p>
      <w:pPr>
        <w:pStyle w:val="ListParagraph"/>
        <w:numPr>
          <w:ilvl w:val="0"/>
          <w:numId w:val="2"/>
        </w:numPr>
        <w:spacing w:after="80" w:before="0"/>
      </w:pPr>
      <w:r>
        <w:rPr>
          <w:rFonts w:ascii="Arial" w:cs="Arial" w:eastAsia="Arial" w:hAnsi="Arial"/>
          <w:color w:val="111827"/>
          <w:sz w:val="22"/>
          <w:szCs w:val="22"/>
        </w:rPr>
        <w:t xml:space="preserve">Promotional offers and discount codes</w:t>
      </w:r>
    </w:p>
    <w:p>
      <w:pPr>
        <w:pStyle w:val="ListParagraph"/>
        <w:numPr>
          <w:ilvl w:val="0"/>
          <w:numId w:val="2"/>
        </w:numPr>
        <w:spacing w:after="80" w:before="0"/>
      </w:pPr>
      <w:r>
        <w:rPr>
          <w:rFonts w:ascii="Arial" w:cs="Arial" w:eastAsia="Arial" w:hAnsi="Arial"/>
          <w:color w:val="111827"/>
          <w:sz w:val="22"/>
          <w:szCs w:val="22"/>
        </w:rPr>
        <w:t xml:space="preserve">Environmental impact reports and community milestones</w:t>
      </w:r>
    </w:p>
    <w:p>
      <w:pPr>
        <w:pStyle w:val="ListParagraph"/>
        <w:numPr>
          <w:ilvl w:val="0"/>
          <w:numId w:val="2"/>
        </w:numPr>
        <w:spacing w:after="80" w:before="0"/>
      </w:pPr>
      <w:r>
        <w:rPr>
          <w:rFonts w:ascii="Arial" w:cs="Arial" w:eastAsia="Arial" w:hAnsi="Arial"/>
          <w:color w:val="111827"/>
          <w:sz w:val="22"/>
          <w:szCs w:val="22"/>
        </w:rPr>
        <w:t xml:space="preserve">Platform feature announcements</w:t>
      </w:r>
    </w:p>
    <w:p>
      <w:pPr>
        <w:spacing w:after="120" w:before="0"/>
      </w:pPr>
      <w:r>
        <w:t xml:space="preserve"/>
      </w:r>
    </w:p>
    <w:p>
      <w:pPr>
        <w:spacing w:after="140" w:before="0"/>
      </w:pPr>
      <w:r>
        <w:rPr>
          <w:rFonts w:ascii="Arial" w:cs="Arial" w:eastAsia="Arial" w:hAnsi="Arial"/>
          <w:i w:val="false"/>
          <w:iCs w:val="false"/>
          <w:color w:val="111827"/>
          <w:sz w:val="22"/>
          <w:szCs w:val="22"/>
        </w:rPr>
        <w:t xml:space="preserve">You can opt out of marketing emails at any time by:</w:t>
      </w:r>
    </w:p>
    <w:p>
      <w:pPr>
        <w:pStyle w:val="ListParagraph"/>
        <w:numPr>
          <w:ilvl w:val="0"/>
          <w:numId w:val="2"/>
        </w:numPr>
        <w:spacing w:after="80" w:before="0"/>
      </w:pPr>
      <w:r>
        <w:rPr>
          <w:rFonts w:ascii="Arial" w:cs="Arial" w:eastAsia="Arial" w:hAnsi="Arial"/>
          <w:color w:val="111827"/>
          <w:sz w:val="22"/>
          <w:szCs w:val="22"/>
        </w:rPr>
        <w:t xml:space="preserve">Clicking “Unsubscribe” in any marketing email</w:t>
      </w:r>
    </w:p>
    <w:p>
      <w:pPr>
        <w:pStyle w:val="ListParagraph"/>
        <w:numPr>
          <w:ilvl w:val="0"/>
          <w:numId w:val="2"/>
        </w:numPr>
        <w:spacing w:after="80" w:before="0"/>
      </w:pPr>
      <w:r>
        <w:rPr>
          <w:rFonts w:ascii="Arial" w:cs="Arial" w:eastAsia="Arial" w:hAnsi="Arial"/>
          <w:color w:val="111827"/>
          <w:sz w:val="22"/>
          <w:szCs w:val="22"/>
        </w:rPr>
        <w:t xml:space="preserve">Visiting Settings → Notifications in your account and toggling off marketing emails</w:t>
      </w:r>
    </w:p>
    <w:p>
      <w:pPr>
        <w:pStyle w:val="ListParagraph"/>
        <w:numPr>
          <w:ilvl w:val="0"/>
          <w:numId w:val="2"/>
        </w:numPr>
        <w:spacing w:after="80" w:before="0"/>
      </w:pPr>
      <w:r>
        <w:rPr>
          <w:rFonts w:ascii="Arial" w:cs="Arial" w:eastAsia="Arial" w:hAnsi="Arial"/>
          <w:color w:val="111827"/>
          <w:sz w:val="22"/>
          <w:szCs w:val="22"/>
        </w:rPr>
        <w:t xml:space="preserve">Emailing privacy@energyshift.eu with subject line “Marketing opt-out”</w:t>
      </w:r>
    </w:p>
    <w:p>
      <w:pPr>
        <w:spacing w:after="120" w:before="0"/>
      </w:pPr>
      <w:r>
        <w:t xml:space="preserve"/>
      </w:r>
    </w:p>
    <w:p>
      <w:pPr>
        <w:spacing w:after="140" w:before="0"/>
      </w:pPr>
      <w:r>
        <w:rPr>
          <w:rFonts w:ascii="Arial" w:cs="Arial" w:eastAsia="Arial" w:hAnsi="Arial"/>
          <w:i w:val="false"/>
          <w:iCs w:val="false"/>
          <w:color w:val="111827"/>
          <w:sz w:val="22"/>
          <w:szCs w:val="22"/>
        </w:rPr>
        <w:t xml:space="preserve">Opting out of marketing will not affect transactional emails (purchase confirmations, receipts, security alerts) which are necessary to provide the Services.</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15. Partner Portal Users — Additional Information</w:t>
      </w:r>
    </w:p>
    <w:p>
      <w:pPr>
        <w:spacing w:after="140" w:before="0"/>
      </w:pPr>
      <w:r>
        <w:rPr>
          <w:rFonts w:ascii="Arial" w:cs="Arial" w:eastAsia="Arial" w:hAnsi="Arial"/>
          <w:i w:val="false"/>
          <w:iCs w:val="false"/>
          <w:color w:val="111827"/>
          <w:sz w:val="22"/>
          <w:szCs w:val="22"/>
        </w:rPr>
        <w:t xml:space="preserve">If you access Energy Shift as a business partner (utility company, fuel company, or retail/supermarket partner), the following additional points apply:</w:t>
      </w:r>
    </w:p>
    <w:p>
      <w:pPr>
        <w:pStyle w:val="ListParagraph"/>
        <w:numPr>
          <w:ilvl w:val="0"/>
          <w:numId w:val="2"/>
        </w:numPr>
        <w:spacing w:after="80" w:before="0"/>
      </w:pPr>
      <w:r>
        <w:rPr>
          <w:rFonts w:ascii="Arial" w:cs="Arial" w:eastAsia="Arial" w:hAnsi="Arial"/>
          <w:color w:val="111827"/>
          <w:sz w:val="22"/>
          <w:szCs w:val="22"/>
        </w:rPr>
        <w:t xml:space="preserve">We process data on your behalf: when your customers redeem vouchers through your partner portal, Energy Shift acts as a data processor on your behalf for that redemption event. You remain the data controller for your customers’ data. The Data Processing Agreement (DPA) between Energy Shift Europe Limited and your company governs this processing and is required before going live.</w:t>
      </w:r>
    </w:p>
    <w:p>
      <w:pPr>
        <w:pStyle w:val="ListParagraph"/>
        <w:numPr>
          <w:ilvl w:val="0"/>
          <w:numId w:val="2"/>
        </w:numPr>
        <w:spacing w:after="80" w:before="0"/>
      </w:pPr>
      <w:r>
        <w:rPr>
          <w:rFonts w:ascii="Arial" w:cs="Arial" w:eastAsia="Arial" w:hAnsi="Arial"/>
          <w:color w:val="111827"/>
          <w:sz w:val="22"/>
          <w:szCs w:val="22"/>
        </w:rPr>
        <w:t xml:space="preserve">Your responsibility: you are responsible for ensuring you have a valid legal basis to share your customers’ data with Energy Shift for redemption purposes, and for providing your customers with appropriate privacy notice.</w:t>
      </w:r>
    </w:p>
    <w:p>
      <w:pPr>
        <w:pStyle w:val="ListParagraph"/>
        <w:numPr>
          <w:ilvl w:val="0"/>
          <w:numId w:val="2"/>
        </w:numPr>
        <w:spacing w:after="80" w:before="0"/>
      </w:pPr>
      <w:r>
        <w:rPr>
          <w:rFonts w:ascii="Arial" w:cs="Arial" w:eastAsia="Arial" w:hAnsi="Arial"/>
          <w:color w:val="111827"/>
          <w:sz w:val="22"/>
          <w:szCs w:val="22"/>
        </w:rPr>
        <w:t xml:space="preserve">API access: API keys generated in your partner portal are credentials that grant access to personal data. You are responsible for keeping them secure, rotating them regularly, and revoking them if compromised. Do not share API keys in publicly accessible code repositories.</w:t>
      </w:r>
    </w:p>
    <w:p>
      <w:pPr>
        <w:pStyle w:val="ListParagraph"/>
        <w:numPr>
          <w:ilvl w:val="0"/>
          <w:numId w:val="2"/>
        </w:numPr>
        <w:spacing w:after="80" w:before="0"/>
      </w:pPr>
      <w:r>
        <w:rPr>
          <w:rFonts w:ascii="Arial" w:cs="Arial" w:eastAsia="Arial" w:hAnsi="Arial"/>
          <w:color w:val="111827"/>
          <w:sz w:val="22"/>
          <w:szCs w:val="22"/>
        </w:rPr>
        <w:t xml:space="preserve">Audit logs: we maintain logs of API calls and portal access for security and compliance purposes. These logs are retained for 12 months.</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16. Environmental Impact Data</w:t>
      </w:r>
    </w:p>
    <w:p>
      <w:pPr>
        <w:spacing w:after="140" w:before="0"/>
      </w:pPr>
      <w:r>
        <w:rPr>
          <w:rFonts w:ascii="Arial" w:cs="Arial" w:eastAsia="Arial" w:hAnsi="Arial"/>
          <w:i w:val="false"/>
          <w:iCs w:val="false"/>
          <w:color w:val="111827"/>
          <w:sz w:val="22"/>
          <w:szCs w:val="22"/>
        </w:rPr>
        <w:t xml:space="preserve">Your environmental impact figures (CO₂ offset, trees equivalent, etc.) are calculated from your voucher redemption history using published emission factors. This data is personal to you and is not shared with third parties except in aggregated, anonymised form.</w:t>
      </w:r>
    </w:p>
    <w:p>
      <w:pPr>
        <w:spacing w:after="140" w:before="0"/>
      </w:pPr>
      <w:r>
        <w:rPr>
          <w:rFonts w:ascii="Arial" w:cs="Arial" w:eastAsia="Arial" w:hAnsi="Arial"/>
          <w:i w:val="false"/>
          <w:iCs w:val="false"/>
          <w:color w:val="111827"/>
          <w:sz w:val="22"/>
          <w:szCs w:val="22"/>
        </w:rPr>
        <w:t xml:space="preserve">You may download a personal CO₂ offset certificate from the Impact page. This certificate contains your name and impact data. You control when and whether to share it.</w:t>
      </w:r>
    </w:p>
    <w:p>
      <w:pPr>
        <w:spacing w:after="140" w:before="0"/>
      </w:pPr>
      <w:r>
        <w:rPr>
          <w:rFonts w:ascii="Arial" w:cs="Arial" w:eastAsia="Arial" w:hAnsi="Arial"/>
          <w:i w:val="false"/>
          <w:iCs w:val="false"/>
          <w:color w:val="111827"/>
          <w:sz w:val="22"/>
          <w:szCs w:val="22"/>
        </w:rPr>
        <w:t xml:space="preserve">Our full methodology for CO₂ calculations is published at energy-vouchers.com/methodology.</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17. Changes to This Privacy Policy</w:t>
      </w:r>
    </w:p>
    <w:p>
      <w:pPr>
        <w:spacing w:after="140" w:before="0"/>
      </w:pPr>
      <w:r>
        <w:rPr>
          <w:rFonts w:ascii="Arial" w:cs="Arial" w:eastAsia="Arial" w:hAnsi="Arial"/>
          <w:i w:val="false"/>
          <w:iCs w:val="false"/>
          <w:color w:val="111827"/>
          <w:sz w:val="22"/>
          <w:szCs w:val="22"/>
        </w:rPr>
        <w:t xml:space="preserve">We may update this Privacy Policy from time to time to reflect changes in our Services, legal requirements, or privacy practices. When we make material changes, we will:</w:t>
      </w:r>
    </w:p>
    <w:p>
      <w:pPr>
        <w:pStyle w:val="ListParagraph"/>
        <w:numPr>
          <w:ilvl w:val="0"/>
          <w:numId w:val="2"/>
        </w:numPr>
        <w:spacing w:after="80" w:before="0"/>
      </w:pPr>
      <w:r>
        <w:rPr>
          <w:rFonts w:ascii="Arial" w:cs="Arial" w:eastAsia="Arial" w:hAnsi="Arial"/>
          <w:color w:val="111827"/>
          <w:sz w:val="22"/>
          <w:szCs w:val="22"/>
        </w:rPr>
        <w:t xml:space="preserve">Update the “Last updated” date at the top of this document</w:t>
      </w:r>
    </w:p>
    <w:p>
      <w:pPr>
        <w:pStyle w:val="ListParagraph"/>
        <w:numPr>
          <w:ilvl w:val="0"/>
          <w:numId w:val="2"/>
        </w:numPr>
        <w:spacing w:after="80" w:before="0"/>
      </w:pPr>
      <w:r>
        <w:rPr>
          <w:rFonts w:ascii="Arial" w:cs="Arial" w:eastAsia="Arial" w:hAnsi="Arial"/>
          <w:color w:val="111827"/>
          <w:sz w:val="22"/>
          <w:szCs w:val="22"/>
        </w:rPr>
        <w:t xml:space="preserve">Display a notification in the application for 30 days after the update goes live</w:t>
      </w:r>
    </w:p>
    <w:p>
      <w:pPr>
        <w:pStyle w:val="ListParagraph"/>
        <w:numPr>
          <w:ilvl w:val="0"/>
          <w:numId w:val="2"/>
        </w:numPr>
        <w:spacing w:after="80" w:before="0"/>
      </w:pPr>
      <w:r>
        <w:rPr>
          <w:rFonts w:ascii="Arial" w:cs="Arial" w:eastAsia="Arial" w:hAnsi="Arial"/>
          <w:color w:val="111827"/>
          <w:sz w:val="22"/>
          <w:szCs w:val="22"/>
        </w:rPr>
        <w:t xml:space="preserve">Send an email notification to registered users if the changes significantly affect their rights</w:t>
      </w:r>
    </w:p>
    <w:p>
      <w:pPr>
        <w:spacing w:after="120" w:before="0"/>
      </w:pPr>
      <w:r>
        <w:t xml:space="preserve"/>
      </w:r>
    </w:p>
    <w:p>
      <w:pPr>
        <w:spacing w:after="140" w:before="0"/>
      </w:pPr>
      <w:r>
        <w:rPr>
          <w:rFonts w:ascii="Arial" w:cs="Arial" w:eastAsia="Arial" w:hAnsi="Arial"/>
          <w:i w:val="false"/>
          <w:iCs w:val="false"/>
          <w:color w:val="111827"/>
          <w:sz w:val="22"/>
          <w:szCs w:val="22"/>
        </w:rPr>
        <w:t xml:space="preserve">Your continued use of the Services after the effective date of any changes constitutes acceptance of the revised policy. If you do not agree with the changes, you may delete your account before the effective date.</w:t>
      </w:r>
    </w:p>
    <w:p>
      <w:pPr>
        <w:spacing w:after="120" w:before="0"/>
      </w:pPr>
      <w:r>
        <w:t xml:space="preserve"/>
      </w:r>
    </w:p>
    <w:p>
      <w:pPr>
        <w:pStyle w:val="Heading2"/>
        <w:spacing w:after="120" w:before="320"/>
      </w:pPr>
      <w:r>
        <w:rPr>
          <w:rFonts w:ascii="Arial" w:cs="Arial" w:eastAsia="Arial" w:hAnsi="Arial"/>
          <w:b/>
          <w:bCs/>
          <w:color w:val="111827"/>
          <w:sz w:val="26"/>
          <w:szCs w:val="26"/>
        </w:rPr>
        <w:t xml:space="preserve">18. Contact Us</w:t>
      </w:r>
    </w:p>
    <w:p>
      <w:pPr>
        <w:spacing w:after="140" w:before="0"/>
      </w:pPr>
      <w:r>
        <w:rPr>
          <w:rFonts w:ascii="Arial" w:cs="Arial" w:eastAsia="Arial" w:hAnsi="Arial"/>
          <w:i w:val="false"/>
          <w:iCs w:val="false"/>
          <w:color w:val="111827"/>
          <w:sz w:val="22"/>
          <w:szCs w:val="22"/>
        </w:rPr>
        <w:t xml:space="preserve">For any questions, concerns, or requests relating to this Privacy Policy or your personal data, please contact:</w:t>
      </w:r>
    </w:p>
    <w:p>
      <w:pPr>
        <w:spacing w:after="120" w:before="0"/>
      </w:pPr>
      <w:r>
        <w:t xml:space="preserve"/>
      </w:r>
    </w:p>
    <w:p>
      <w:pPr>
        <w:spacing w:after="80" w:before="0"/>
      </w:pPr>
      <w:r>
        <w:rPr>
          <w:rFonts w:ascii="Arial" w:cs="Arial" w:eastAsia="Arial" w:hAnsi="Arial"/>
          <w:b/>
          <w:bCs/>
          <w:color w:val="111827"/>
          <w:sz w:val="22"/>
          <w:szCs w:val="22"/>
        </w:rPr>
        <w:t xml:space="preserve">Data Protection Contact</w:t>
      </w:r>
    </w:p>
    <w:p>
      <w:pPr>
        <w:spacing w:after="140" w:before="0"/>
      </w:pPr>
      <w:r>
        <w:rPr>
          <w:rFonts w:ascii="Arial" w:cs="Arial" w:eastAsia="Arial" w:hAnsi="Arial"/>
          <w:b/>
          <w:bCs/>
          <w:color w:val="111827"/>
          <w:sz w:val="22"/>
          <w:szCs w:val="22"/>
        </w:rPr>
        <w:t xml:space="preserve">Email: </w:t>
      </w:r>
      <w:hyperlink w:history="1" r:id="rIda1m4qi6waxsgmiaw1_pcq">
        <w:r>
          <w:rPr>
            <w:rStyle w:val="Hyperlink"/>
            <w:rFonts w:ascii="Arial" w:cs="Arial" w:eastAsia="Arial" w:hAnsi="Arial"/>
            <w:color w:val="5B21B6"/>
            <w:sz w:val="22"/>
            <w:szCs w:val="22"/>
            <w:u w:val="single"/>
          </w:rPr>
          <w:t xml:space="preserve">privacy@energyshift.eu</w:t>
        </w:r>
      </w:hyperlink>
    </w:p>
    <w:p>
      <w:pPr>
        <w:spacing w:after="140" w:before="0"/>
      </w:pPr>
      <w:r>
        <w:rPr>
          <w:rFonts w:ascii="Arial" w:cs="Arial" w:eastAsia="Arial" w:hAnsi="Arial"/>
          <w:i w:val="false"/>
          <w:iCs w:val="false"/>
          <w:color w:val="111827"/>
          <w:sz w:val="22"/>
          <w:szCs w:val="22"/>
        </w:rPr>
        <w:t xml:space="preserve">Response time: within 5 business days for general queries; within one calendar month for formal rights requests.</w:t>
      </w:r>
    </w:p>
    <w:p>
      <w:pPr>
        <w:spacing w:after="120" w:before="0"/>
      </w:pPr>
      <w:r>
        <w:t xml:space="preserve"/>
      </w:r>
    </w:p>
    <w:p>
      <w:pPr>
        <w:spacing w:after="80" w:before="0"/>
      </w:pPr>
      <w:r>
        <w:rPr>
          <w:rFonts w:ascii="Arial" w:cs="Arial" w:eastAsia="Arial" w:hAnsi="Arial"/>
          <w:b/>
          <w:bCs/>
          <w:color w:val="111827"/>
          <w:sz w:val="22"/>
          <w:szCs w:val="22"/>
        </w:rPr>
        <w:t xml:space="preserve">General Support</w:t>
      </w:r>
    </w:p>
    <w:p>
      <w:pPr>
        <w:spacing w:after="140" w:before="0"/>
      </w:pPr>
      <w:r>
        <w:rPr>
          <w:rFonts w:ascii="Arial" w:cs="Arial" w:eastAsia="Arial" w:hAnsi="Arial"/>
          <w:b/>
          <w:bCs/>
          <w:color w:val="111827"/>
          <w:sz w:val="22"/>
          <w:szCs w:val="22"/>
        </w:rPr>
        <w:t xml:space="preserve">Email: </w:t>
      </w:r>
      <w:hyperlink w:history="1" r:id="rIdmbdzuifwzr_kpekg-nykp">
        <w:r>
          <w:rPr>
            <w:rStyle w:val="Hyperlink"/>
            <w:rFonts w:ascii="Arial" w:cs="Arial" w:eastAsia="Arial" w:hAnsi="Arial"/>
            <w:color w:val="5B21B6"/>
            <w:sz w:val="22"/>
            <w:szCs w:val="22"/>
            <w:u w:val="single"/>
          </w:rPr>
          <w:t xml:space="preserve">support@energyshift.eu</w:t>
        </w:r>
      </w:hyperlink>
    </w:p>
    <w:p>
      <w:pPr>
        <w:spacing w:after="140" w:before="0"/>
      </w:pPr>
      <w:r>
        <w:rPr>
          <w:rFonts w:ascii="Arial" w:cs="Arial" w:eastAsia="Arial" w:hAnsi="Arial"/>
          <w:i w:val="false"/>
          <w:iCs w:val="false"/>
          <w:color w:val="111827"/>
          <w:sz w:val="22"/>
          <w:szCs w:val="22"/>
        </w:rPr>
        <w:t xml:space="preserve">For non-privacy matters including account issues, billing, and voucher queries.</w:t>
      </w:r>
    </w:p>
    <w:p>
      <w:pPr>
        <w:spacing w:after="120" w:before="0"/>
      </w:pPr>
      <w:r>
        <w:t xml:space="preserve"/>
      </w:r>
    </w:p>
    <w:p>
      <w:pPr>
        <w:spacing w:after="80" w:before="0"/>
      </w:pPr>
      <w:r>
        <w:rPr>
          <w:rFonts w:ascii="Arial" w:cs="Arial" w:eastAsia="Arial" w:hAnsi="Arial"/>
          <w:b/>
          <w:bCs/>
          <w:color w:val="111827"/>
          <w:sz w:val="22"/>
          <w:szCs w:val="22"/>
        </w:rPr>
        <w:t xml:space="preserve">Registered office</w:t>
      </w:r>
    </w:p>
    <w:p>
      <w:pPr>
        <w:spacing w:after="140" w:before="0"/>
      </w:pPr>
      <w:r>
        <w:rPr>
          <w:rFonts w:ascii="Arial" w:cs="Arial" w:eastAsia="Arial" w:hAnsi="Arial"/>
          <w:i w:val="false"/>
          <w:iCs w:val="false"/>
          <w:color w:val="111827"/>
          <w:sz w:val="22"/>
          <w:szCs w:val="22"/>
        </w:rPr>
        <w:t xml:space="preserve">Energy Shift Europe Limited</w:t>
      </w:r>
    </w:p>
    <w:p>
      <w:pPr>
        <w:spacing w:after="140" w:before="0"/>
      </w:pPr>
      <w:r>
        <w:rPr>
          <w:rFonts w:ascii="Arial" w:cs="Arial" w:eastAsia="Arial" w:hAnsi="Arial"/>
          <w:i w:val="false"/>
          <w:iCs w:val="false"/>
          <w:color w:val="111827"/>
          <w:sz w:val="22"/>
          <w:szCs w:val="22"/>
        </w:rPr>
        <w:t xml:space="preserve">124 City Road</w:t>
      </w:r>
    </w:p>
    <w:p>
      <w:pPr>
        <w:spacing w:after="140" w:before="0"/>
      </w:pPr>
      <w:r>
        <w:rPr>
          <w:rFonts w:ascii="Arial" w:cs="Arial" w:eastAsia="Arial" w:hAnsi="Arial"/>
          <w:i w:val="false"/>
          <w:iCs w:val="false"/>
          <w:color w:val="111827"/>
          <w:sz w:val="22"/>
          <w:szCs w:val="22"/>
        </w:rPr>
        <w:t xml:space="preserve">Companies House: 13579214  ·  ICO reference: ZB382436</w:t>
      </w:r>
    </w:p>
    <w:p>
      <w:pPr>
        <w:spacing w:after="140" w:before="0"/>
      </w:pPr>
      <w:r>
        <w:rPr>
          <w:rFonts w:ascii="Arial" w:cs="Arial" w:eastAsia="Arial" w:hAnsi="Arial"/>
          <w:i w:val="false"/>
          <w:iCs w:val="false"/>
          <w:color w:val="111827"/>
          <w:sz w:val="22"/>
          <w:szCs w:val="22"/>
        </w:rPr>
        <w:t xml:space="preserve">London, EC1V 2NX</w:t>
      </w:r>
    </w:p>
    <w:p>
      <w:pPr>
        <w:spacing w:after="140" w:before="0"/>
      </w:pPr>
      <w:r>
        <w:rPr>
          <w:rFonts w:ascii="Arial" w:cs="Arial" w:eastAsia="Arial" w:hAnsi="Arial"/>
          <w:i w:val="false"/>
          <w:iCs w:val="false"/>
          <w:color w:val="111827"/>
          <w:sz w:val="22"/>
          <w:szCs w:val="22"/>
        </w:rPr>
        <w:t xml:space="preserve">United Kingdom</w:t>
      </w:r>
    </w:p>
    <w:p>
      <w:pPr>
        <w:spacing w:after="120" w:before="0"/>
      </w:pPr>
      <w:r>
        <w:t xml:space="preserve"/>
      </w:r>
    </w:p>
    <w:p>
      <w:pPr>
        <w:pBdr>
          <w:bottom w:val="single" w:color="E5E7EB" w:sz="4" w:space="1"/>
        </w:pBdr>
        <w:spacing w:after="200" w:before="200"/>
      </w:pPr>
      <w:r>
        <w:t xml:space="preserve"/>
      </w:r>
    </w:p>
    <w:p>
      <w:pPr>
        <w:spacing w:after="140" w:before="0"/>
      </w:pPr>
      <w:r>
        <w:rPr>
          <w:rFonts w:ascii="Arial" w:cs="Arial" w:eastAsia="Arial" w:hAnsi="Arial"/>
          <w:i w:val="false"/>
          <w:iCs w:val="false"/>
          <w:color w:val="6B7280"/>
          <w:sz w:val="22"/>
          <w:szCs w:val="22"/>
        </w:rPr>
        <w:t xml:space="preserve">This document constitutes the complete Privacy Policy of Energy Shift Europe Limited as of the date stated above. It supersedes all previous versions.</w:t>
      </w:r>
    </w:p>
    <w:p>
      <w:pPr>
        <w:spacing w:after="140" w:before="0"/>
      </w:pPr>
      <w:r>
        <w:rPr>
          <w:rFonts w:ascii="Arial" w:cs="Arial" w:eastAsia="Arial" w:hAnsi="Arial"/>
          <w:i w:val="false"/>
          <w:iCs w:val="false"/>
          <w:color w:val="6B7280"/>
          <w:sz w:val="22"/>
          <w:szCs w:val="22"/>
        </w:rPr>
        <w:t xml:space="preserve">© 2026 Energy Shift Europe Limited. All rights reserved.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Jc w:val="left"/>
      <w:pPr>
        <w:ind w:left="360" w:hanging="18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82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5B21B6"/>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11182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ukqshngiw1af43c0ru2-" Type="http://schemas.openxmlformats.org/officeDocument/2006/relationships/hyperlink" Target="mailto:privacy@energyshift.eu" TargetMode="External"/><Relationship Id="rIdathifp7nzqwvgsw6qe6jc" Type="http://schemas.openxmlformats.org/officeDocument/2006/relationships/hyperlink" Target="mailto:support@energyshift.eu" TargetMode="External"/><Relationship Id="rId81dp9s4n2dwjkpt2mdfax" Type="http://schemas.openxmlformats.org/officeDocument/2006/relationships/hyperlink" Target="https://energy-vouchers.com" TargetMode="External"/><Relationship Id="rIdf8w0cpapcluqwndbranyw" Type="http://schemas.openxmlformats.org/officeDocument/2006/relationships/hyperlink" Target="https://ico.org.uk" TargetMode="External"/><Relationship Id="rIda1m4qi6waxsgmiaw1_pcq" Type="http://schemas.openxmlformats.org/officeDocument/2006/relationships/hyperlink" Target="mailto:privacy@energyshift.eu" TargetMode="External"/><Relationship Id="rIdmbdzuifwzr_kpekg-nykp" Type="http://schemas.openxmlformats.org/officeDocument/2006/relationships/hyperlink" Target="mailto:support@energyshift.eu"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2026-03-21T12:24:19.589Z</dcterms:created>
  <dcterms:modified xsi:type="dcterms:W3CDTF">2026-03-21T12:24:19.590Z</dcterms:modified>
</cp:coreProperties>
</file>

<file path=docProps/custom.xml><?xml version="1.0" encoding="utf-8"?>
<Properties xmlns="http://schemas.openxmlformats.org/officeDocument/2006/custom-properties" xmlns:vt="http://schemas.openxmlformats.org/officeDocument/2006/docPropsVTypes"/>
</file>