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pPr>
      <w:r>
        <w:rPr>
          <w:rFonts w:ascii="Arial" w:cs="Arial" w:eastAsia="Arial" w:hAnsi="Arial"/>
          <w:b/>
          <w:bCs/>
          <w:color w:val="5B21B6"/>
          <w:sz w:val="52"/>
          <w:szCs w:val="52"/>
        </w:rPr>
        <w:t xml:space="preserve">Energy Shift</w:t>
      </w:r>
    </w:p>
    <w:p>
      <w:pPr>
        <w:spacing w:after="80" w:before="0"/>
      </w:pPr>
      <w:r>
        <w:rPr>
          <w:rFonts w:ascii="Arial" w:cs="Arial" w:eastAsia="Arial" w:hAnsi="Arial"/>
          <w:b/>
          <w:bCs/>
          <w:color w:val="111827"/>
          <w:sz w:val="40"/>
          <w:szCs w:val="40"/>
        </w:rPr>
        <w:t xml:space="preserve">Partner Terms and Conditions</w:t>
      </w:r>
    </w:p>
    <w:p>
      <w:pPr>
        <w:spacing w:after="80" w:before="0"/>
      </w:pPr>
      <w:r>
        <w:rPr>
          <w:rFonts w:ascii="Arial" w:cs="Arial" w:eastAsia="Arial" w:hAnsi="Arial"/>
          <w:i/>
          <w:iCs/>
          <w:color w:val="6B7280"/>
          <w:sz w:val="24"/>
          <w:szCs w:val="24"/>
        </w:rPr>
        <w:t xml:space="preserve">Merchant and Partner Agreement for utility, fuel, and retail partners</w:t>
      </w:r>
    </w:p>
    <w:p>
      <w:pPr>
        <w:spacing w:after="320" w:before="0"/>
      </w:pPr>
      <w:r>
        <w:rPr>
          <w:rFonts w:ascii="Arial" w:cs="Arial" w:eastAsia="Arial" w:hAnsi="Arial"/>
          <w:color w:val="6B7280"/>
          <w:sz w:val="20"/>
          <w:szCs w:val="20"/>
        </w:rPr>
        <w:t xml:space="preserve">Last updated: 21 March 2026  ·  Version 1.0</w:t>
      </w:r>
    </w:p>
    <w:p>
      <w:pPr>
        <w:pBdr>
          <w:bottom w:val="single" w:color="E5E7EB" w:sz="4" w:space="1"/>
        </w:pBdr>
        <w:spacing w:after="200" w:before="200"/>
      </w:pPr>
      <w:r>
        <w:t xml:space="preserve"/>
      </w:r>
    </w:p>
    <w:p>
      <w:pPr>
        <w:spacing w:after="140" w:before="0"/>
      </w:pPr>
      <w:r>
        <w:rPr>
          <w:rFonts w:ascii="Arial" w:cs="Arial" w:eastAsia="Arial" w:hAnsi="Arial"/>
          <w:b w:val="false"/>
          <w:bCs w:val="false"/>
          <w:i w:val="false"/>
          <w:iCs w:val="false"/>
          <w:color w:val="111827"/>
          <w:sz w:val="22"/>
          <w:szCs w:val="22"/>
        </w:rPr>
        <w:t xml:space="preserve">These Partner Terms and Conditions (“Partner Agreement” or “Agreement”) govern the relationship between Energy Shift Europe Limited (“Energy Shift”) and the entity that has applied for or been granted access to one of our partner portals (“Partner”).</w:t>
      </w:r>
    </w:p>
    <w:p>
      <w:pPr>
        <w:spacing w:after="140" w:before="0"/>
      </w:pPr>
      <w:r>
        <w:rPr>
          <w:rFonts w:ascii="Arial" w:cs="Arial" w:eastAsia="Arial" w:hAnsi="Arial"/>
          <w:b w:val="false"/>
          <w:bCs w:val="false"/>
          <w:i w:val="false"/>
          <w:iCs w:val="false"/>
          <w:color w:val="111827"/>
          <w:sz w:val="22"/>
          <w:szCs w:val="22"/>
        </w:rPr>
        <w:t xml:space="preserve">By accessing the partner portal, generating an API key, or processing a voucher redemption through Energy Shift systems, the Partner agrees to be bound by this Agreement. If you are entering into this Agreement on behalf of a company or other legal entity, you confirm that you have authority to bind that entity.</w:t>
      </w:r>
    </w:p>
    <w:p>
      <w:pPr>
        <w:spacing w:after="140" w:before="0"/>
      </w:pPr>
      <w:r>
        <w:rPr>
          <w:rFonts w:ascii="Arial" w:cs="Arial" w:eastAsia="Arial" w:hAnsi="Arial"/>
          <w:b w:val="false"/>
          <w:bCs w:val="false"/>
          <w:i w:val="false"/>
          <w:iCs w:val="false"/>
          <w:color w:val="111827"/>
          <w:sz w:val="22"/>
          <w:szCs w:val="22"/>
        </w:rPr>
        <w:t xml:space="preserve">This Agreement incorporates the Data Processing Agreement (“DPA”) between Energy Shift and the Partner. In the event of conflict between this Agreement and the DPA, the DPA shall prevail in respect of data protection matters.</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About Energy Shift Europe Limited</w:t>
      </w:r>
    </w:p>
    <w:p>
      <w:pPr>
        <w:spacing w:after="140" w:before="0"/>
      </w:pPr>
      <w:r>
        <w:rPr>
          <w:rFonts w:ascii="Arial" w:cs="Arial" w:eastAsia="Arial" w:hAnsi="Arial"/>
          <w:b/>
          <w:bCs/>
          <w:color w:val="111827"/>
          <w:sz w:val="22"/>
          <w:szCs w:val="22"/>
        </w:rPr>
        <w:t xml:space="preserve">Registered office: </w:t>
      </w:r>
      <w:r>
        <w:rPr>
          <w:rFonts w:ascii="Arial" w:cs="Arial" w:eastAsia="Arial" w:hAnsi="Arial"/>
          <w:color w:val="111827"/>
          <w:sz w:val="22"/>
          <w:szCs w:val="22"/>
        </w:rPr>
        <w:t xml:space="preserve">124 City Road, London, EC1V 2NX, United Kingdom</w:t>
      </w:r>
    </w:p>
    <w:p>
      <w:pPr>
        <w:spacing w:after="140" w:before="0"/>
      </w:pPr>
      <w:r>
        <w:rPr>
          <w:rFonts w:ascii="Arial" w:cs="Arial" w:eastAsia="Arial" w:hAnsi="Arial"/>
          <w:b/>
          <w:bCs/>
          <w:color w:val="111827"/>
          <w:sz w:val="22"/>
          <w:szCs w:val="22"/>
        </w:rPr>
        <w:t xml:space="preserve">Companies House: </w:t>
      </w:r>
      <w:r>
        <w:rPr>
          <w:rFonts w:ascii="Arial" w:cs="Arial" w:eastAsia="Arial" w:hAnsi="Arial"/>
          <w:color w:val="111827"/>
          <w:sz w:val="22"/>
          <w:szCs w:val="22"/>
        </w:rPr>
        <w:t xml:space="preserve">13579214</w:t>
      </w:r>
    </w:p>
    <w:p>
      <w:pPr>
        <w:spacing w:after="140" w:before="0"/>
      </w:pPr>
      <w:r>
        <w:rPr>
          <w:rFonts w:ascii="Arial" w:cs="Arial" w:eastAsia="Arial" w:hAnsi="Arial"/>
          <w:b/>
          <w:bCs/>
          <w:color w:val="111827"/>
          <w:sz w:val="22"/>
          <w:szCs w:val="22"/>
        </w:rPr>
        <w:t xml:space="preserve">ICO reference: </w:t>
      </w:r>
      <w:r>
        <w:rPr>
          <w:rFonts w:ascii="Arial" w:cs="Arial" w:eastAsia="Arial" w:hAnsi="Arial"/>
          <w:color w:val="111827"/>
          <w:sz w:val="22"/>
          <w:szCs w:val="22"/>
        </w:rPr>
        <w:t xml:space="preserve">ZB382436</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1. Definitions</w:t>
      </w:r>
    </w:p>
    <w:p>
      <w:pPr>
        <w:pStyle w:val="ListParagraph"/>
        <w:numPr>
          <w:ilvl w:val="0"/>
          <w:numId w:val="2"/>
        </w:numPr>
        <w:spacing w:after="80" w:before="0"/>
      </w:pPr>
      <w:r>
        <w:rPr>
          <w:rFonts w:ascii="Arial" w:cs="Arial" w:eastAsia="Arial" w:hAnsi="Arial"/>
          <w:color w:val="111827"/>
          <w:sz w:val="22"/>
          <w:szCs w:val="22"/>
        </w:rPr>
        <w:t xml:space="preserve">"API" means the Energy Shift application programming interface made available to Partners for programmatic interaction with the platform.</w:t>
      </w:r>
    </w:p>
    <w:p>
      <w:pPr>
        <w:pStyle w:val="ListParagraph"/>
        <w:numPr>
          <w:ilvl w:val="0"/>
          <w:numId w:val="2"/>
        </w:numPr>
        <w:spacing w:after="80" w:before="0"/>
      </w:pPr>
      <w:r>
        <w:rPr>
          <w:rFonts w:ascii="Arial" w:cs="Arial" w:eastAsia="Arial" w:hAnsi="Arial"/>
          <w:color w:val="111827"/>
          <w:sz w:val="22"/>
          <w:szCs w:val="22"/>
        </w:rPr>
        <w:t xml:space="preserve">"API Key" means the authentication credential generated by the Partner in the partner portal to access the API.</w:t>
      </w:r>
    </w:p>
    <w:p>
      <w:pPr>
        <w:pStyle w:val="ListParagraph"/>
        <w:numPr>
          <w:ilvl w:val="0"/>
          <w:numId w:val="2"/>
        </w:numPr>
        <w:spacing w:after="80" w:before="0"/>
      </w:pPr>
      <w:r>
        <w:rPr>
          <w:rFonts w:ascii="Arial" w:cs="Arial" w:eastAsia="Arial" w:hAnsi="Arial"/>
          <w:color w:val="111827"/>
          <w:sz w:val="22"/>
          <w:szCs w:val="22"/>
        </w:rPr>
        <w:t xml:space="preserve">"Consumer" means an individual end-user who holds an Energy Shift consumer account and purchases vouchers.</w:t>
      </w:r>
    </w:p>
    <w:p>
      <w:pPr>
        <w:pStyle w:val="ListParagraph"/>
        <w:numPr>
          <w:ilvl w:val="0"/>
          <w:numId w:val="2"/>
        </w:numPr>
        <w:spacing w:after="80" w:before="0"/>
      </w:pPr>
      <w:r>
        <w:rPr>
          <w:rFonts w:ascii="Arial" w:cs="Arial" w:eastAsia="Arial" w:hAnsi="Arial"/>
          <w:color w:val="111827"/>
          <w:sz w:val="22"/>
          <w:szCs w:val="22"/>
        </w:rPr>
        <w:t xml:space="preserve">"Effective Date" means the date on which the Partner first accesses the partner portal or is notified of approval, whichever is earlier.</w:t>
      </w:r>
    </w:p>
    <w:p>
      <w:pPr>
        <w:pStyle w:val="ListParagraph"/>
        <w:numPr>
          <w:ilvl w:val="0"/>
          <w:numId w:val="2"/>
        </w:numPr>
        <w:spacing w:after="80" w:before="0"/>
      </w:pPr>
      <w:r>
        <w:rPr>
          <w:rFonts w:ascii="Arial" w:cs="Arial" w:eastAsia="Arial" w:hAnsi="Arial"/>
          <w:color w:val="111827"/>
          <w:sz w:val="22"/>
          <w:szCs w:val="22"/>
        </w:rPr>
        <w:t xml:space="preserve">"Partner Portal" means the web-based dashboard provided to Partners for managing voucher redemptions, analytics, reconciliation, and settings.</w:t>
      </w:r>
    </w:p>
    <w:p>
      <w:pPr>
        <w:pStyle w:val="ListParagraph"/>
        <w:numPr>
          <w:ilvl w:val="0"/>
          <w:numId w:val="2"/>
        </w:numPr>
        <w:spacing w:after="80" w:before="0"/>
      </w:pPr>
      <w:r>
        <w:rPr>
          <w:rFonts w:ascii="Arial" w:cs="Arial" w:eastAsia="Arial" w:hAnsi="Arial"/>
          <w:color w:val="111827"/>
          <w:sz w:val="22"/>
          <w:szCs w:val="22"/>
        </w:rPr>
        <w:t xml:space="preserve">"Platform" means the Energy Shift technology platform, including the consumer application, partner portals, API, and associated infrastructure.</w:t>
      </w:r>
    </w:p>
    <w:p>
      <w:pPr>
        <w:pStyle w:val="ListParagraph"/>
        <w:numPr>
          <w:ilvl w:val="0"/>
          <w:numId w:val="2"/>
        </w:numPr>
        <w:spacing w:after="80" w:before="0"/>
      </w:pPr>
      <w:r>
        <w:rPr>
          <w:rFonts w:ascii="Arial" w:cs="Arial" w:eastAsia="Arial" w:hAnsi="Arial"/>
          <w:color w:val="111827"/>
          <w:sz w:val="22"/>
          <w:szCs w:val="22"/>
        </w:rPr>
        <w:t xml:space="preserve">"Revenue Share" means the fee or commission arrangement agreed between the parties as set out in Schedule 1.</w:t>
      </w:r>
    </w:p>
    <w:p>
      <w:pPr>
        <w:pStyle w:val="ListParagraph"/>
        <w:numPr>
          <w:ilvl w:val="0"/>
          <w:numId w:val="2"/>
        </w:numPr>
        <w:spacing w:after="80" w:before="0"/>
      </w:pPr>
      <w:r>
        <w:rPr>
          <w:rFonts w:ascii="Arial" w:cs="Arial" w:eastAsia="Arial" w:hAnsi="Arial"/>
          <w:color w:val="111827"/>
          <w:sz w:val="22"/>
          <w:szCs w:val="22"/>
        </w:rPr>
        <w:t xml:space="preserve">"Voucher" means a digital instrument issued on the Platform representing a unit of value (kWh, fuel litres, or retail credit) that may be redeemed by a Consumer at the Partner’s location or via the Partner’s system.</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2. Partner Onboarding and Approval</w:t>
      </w:r>
    </w:p>
    <w:p>
      <w:pPr>
        <w:spacing w:after="80" w:before="240"/>
      </w:pPr>
      <w:r>
        <w:rPr>
          <w:rFonts w:ascii="Arial" w:cs="Arial" w:eastAsia="Arial" w:hAnsi="Arial"/>
          <w:b/>
          <w:bCs/>
          <w:color w:val="111827"/>
          <w:sz w:val="22"/>
          <w:szCs w:val="22"/>
        </w:rPr>
        <w:t xml:space="preserve">2.1  Application</w:t>
      </w:r>
    </w:p>
    <w:p>
      <w:pPr>
        <w:spacing w:after="140" w:before="0"/>
      </w:pPr>
      <w:r>
        <w:rPr>
          <w:rFonts w:ascii="Arial" w:cs="Arial" w:eastAsia="Arial" w:hAnsi="Arial"/>
          <w:b w:val="false"/>
          <w:bCs w:val="false"/>
          <w:i w:val="false"/>
          <w:iCs w:val="false"/>
          <w:color w:val="111827"/>
          <w:sz w:val="22"/>
          <w:szCs w:val="22"/>
        </w:rPr>
        <w:t xml:space="preserve">Partners must complete the partner application form and provide accurate company details, VAT number, and contact information. Energy Shift reserves the right to reject any application at its discretion without giving reasons.</w:t>
      </w:r>
    </w:p>
    <w:p>
      <w:pPr>
        <w:spacing w:after="80" w:before="240"/>
      </w:pPr>
      <w:r>
        <w:rPr>
          <w:rFonts w:ascii="Arial" w:cs="Arial" w:eastAsia="Arial" w:hAnsi="Arial"/>
          <w:b/>
          <w:bCs/>
          <w:color w:val="111827"/>
          <w:sz w:val="22"/>
          <w:szCs w:val="22"/>
        </w:rPr>
        <w:t xml:space="preserve">2.2  Verification</w:t>
      </w:r>
    </w:p>
    <w:p>
      <w:pPr>
        <w:spacing w:after="140" w:before="0"/>
      </w:pPr>
      <w:r>
        <w:rPr>
          <w:rFonts w:ascii="Arial" w:cs="Arial" w:eastAsia="Arial" w:hAnsi="Arial"/>
          <w:b w:val="false"/>
          <w:bCs w:val="false"/>
          <w:i w:val="false"/>
          <w:iCs w:val="false"/>
          <w:color w:val="111827"/>
          <w:sz w:val="22"/>
          <w:szCs w:val="22"/>
        </w:rPr>
        <w:t xml:space="preserve">Energy Shift may request additional documentation to verify the Partner’s identity, business registration, and regulatory compliance before granting access. Partners must cooperate promptly with such requests.</w:t>
      </w:r>
    </w:p>
    <w:p>
      <w:pPr>
        <w:spacing w:after="80" w:before="240"/>
      </w:pPr>
      <w:r>
        <w:rPr>
          <w:rFonts w:ascii="Arial" w:cs="Arial" w:eastAsia="Arial" w:hAnsi="Arial"/>
          <w:b/>
          <w:bCs/>
          <w:color w:val="111827"/>
          <w:sz w:val="22"/>
          <w:szCs w:val="22"/>
        </w:rPr>
        <w:t xml:space="preserve">2.3  Account tiers</w:t>
      </w:r>
    </w:p>
    <w:p>
      <w:pPr>
        <w:spacing w:after="140" w:before="0"/>
      </w:pPr>
      <w:r>
        <w:rPr>
          <w:rFonts w:ascii="Arial" w:cs="Arial" w:eastAsia="Arial" w:hAnsi="Arial"/>
          <w:b w:val="false"/>
          <w:bCs w:val="false"/>
          <w:i w:val="false"/>
          <w:iCs w:val="false"/>
          <w:color w:val="111827"/>
          <w:sz w:val="22"/>
          <w:szCs w:val="22"/>
        </w:rPr>
        <w:t xml:space="preserve">Partners are assigned to a tier (Starter, Growth, or Enterprise) based on their monthly volume and the features they require. Tier-specific pricing, volume limits, and SLA commitments are set out in Schedule 1. Energy Shift may upgrade or downgrade the Partner’s tier with 30 days’ notice.</w:t>
      </w:r>
    </w:p>
    <w:p>
      <w:pPr>
        <w:spacing w:after="80" w:before="240"/>
      </w:pPr>
      <w:r>
        <w:rPr>
          <w:rFonts w:ascii="Arial" w:cs="Arial" w:eastAsia="Arial" w:hAnsi="Arial"/>
          <w:b/>
          <w:bCs/>
          <w:color w:val="111827"/>
          <w:sz w:val="22"/>
          <w:szCs w:val="22"/>
        </w:rPr>
        <w:t xml:space="preserve">2.4  Sandbox access</w:t>
      </w:r>
    </w:p>
    <w:p>
      <w:pPr>
        <w:spacing w:after="140" w:before="0"/>
      </w:pPr>
      <w:r>
        <w:rPr>
          <w:rFonts w:ascii="Arial" w:cs="Arial" w:eastAsia="Arial" w:hAnsi="Arial"/>
          <w:b w:val="false"/>
          <w:bCs w:val="false"/>
          <w:i w:val="false"/>
          <w:iCs w:val="false"/>
          <w:color w:val="111827"/>
          <w:sz w:val="22"/>
          <w:szCs w:val="22"/>
        </w:rPr>
        <w:t xml:space="preserve">All new Partners are initially given sandbox access only. Sandbox transactions do not generate real voucher credits or financial obligations. Partners must request production access once their integration is tested and verified.</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3. Voucher Programme</w:t>
      </w:r>
    </w:p>
    <w:p>
      <w:pPr>
        <w:spacing w:after="80" w:before="240"/>
      </w:pPr>
      <w:r>
        <w:rPr>
          <w:rFonts w:ascii="Arial" w:cs="Arial" w:eastAsia="Arial" w:hAnsi="Arial"/>
          <w:b/>
          <w:bCs/>
          <w:color w:val="111827"/>
          <w:sz w:val="22"/>
          <w:szCs w:val="22"/>
        </w:rPr>
        <w:t xml:space="preserve">3.1  Partner obligations</w:t>
      </w:r>
    </w:p>
    <w:p>
      <w:pPr>
        <w:spacing w:after="140" w:before="0"/>
      </w:pPr>
      <w:r>
        <w:rPr>
          <w:rFonts w:ascii="Arial" w:cs="Arial" w:eastAsia="Arial" w:hAnsi="Arial"/>
          <w:b w:val="false"/>
          <w:bCs w:val="false"/>
          <w:i w:val="false"/>
          <w:iCs w:val="false"/>
          <w:color w:val="111827"/>
          <w:sz w:val="22"/>
          <w:szCs w:val="22"/>
        </w:rPr>
        <w:t xml:space="preserve">The Partner agrees to:</w:t>
      </w:r>
    </w:p>
    <w:p>
      <w:pPr>
        <w:pStyle w:val="ListParagraph"/>
        <w:numPr>
          <w:ilvl w:val="0"/>
          <w:numId w:val="2"/>
        </w:numPr>
        <w:spacing w:after="80" w:before="0"/>
      </w:pPr>
      <w:r>
        <w:rPr>
          <w:rFonts w:ascii="Arial" w:cs="Arial" w:eastAsia="Arial" w:hAnsi="Arial"/>
          <w:color w:val="111827"/>
          <w:sz w:val="22"/>
          <w:szCs w:val="22"/>
        </w:rPr>
        <w:t xml:space="preserve">Accept valid Energy Shift vouchers presented by Consumers at the Partner’s locations or via the Partner’s system, in accordance with the voucher type and redemption rules.</w:t>
      </w:r>
    </w:p>
    <w:p>
      <w:pPr>
        <w:pStyle w:val="ListParagraph"/>
        <w:numPr>
          <w:ilvl w:val="0"/>
          <w:numId w:val="2"/>
        </w:numPr>
        <w:spacing w:after="80" w:before="0"/>
      </w:pPr>
      <w:r>
        <w:rPr>
          <w:rFonts w:ascii="Arial" w:cs="Arial" w:eastAsia="Arial" w:hAnsi="Arial"/>
          <w:color w:val="111827"/>
          <w:sz w:val="22"/>
          <w:szCs w:val="22"/>
        </w:rPr>
        <w:t xml:space="preserve">Process redemptions accurately and in real time (or within the SLA stated in Schedule 1).</w:t>
      </w:r>
    </w:p>
    <w:p>
      <w:pPr>
        <w:pStyle w:val="ListParagraph"/>
        <w:numPr>
          <w:ilvl w:val="0"/>
          <w:numId w:val="2"/>
        </w:numPr>
        <w:spacing w:after="80" w:before="0"/>
      </w:pPr>
      <w:r>
        <w:rPr>
          <w:rFonts w:ascii="Arial" w:cs="Arial" w:eastAsia="Arial" w:hAnsi="Arial"/>
          <w:color w:val="111827"/>
          <w:sz w:val="22"/>
          <w:szCs w:val="22"/>
        </w:rPr>
        <w:t xml:space="preserve">Train relevant staff in the voucher redemption process and display Energy Shift branding materials as agreed.</w:t>
      </w:r>
    </w:p>
    <w:p>
      <w:pPr>
        <w:pStyle w:val="ListParagraph"/>
        <w:numPr>
          <w:ilvl w:val="0"/>
          <w:numId w:val="2"/>
        </w:numPr>
        <w:spacing w:after="80" w:before="0"/>
      </w:pPr>
      <w:r>
        <w:rPr>
          <w:rFonts w:ascii="Arial" w:cs="Arial" w:eastAsia="Arial" w:hAnsi="Arial"/>
          <w:color w:val="111827"/>
          <w:sz w:val="22"/>
          <w:szCs w:val="22"/>
        </w:rPr>
        <w:t xml:space="preserve">Not charge Consumers any additional fee for using a voucher.</w:t>
      </w:r>
    </w:p>
    <w:p>
      <w:pPr>
        <w:pStyle w:val="ListParagraph"/>
        <w:numPr>
          <w:ilvl w:val="0"/>
          <w:numId w:val="2"/>
        </w:numPr>
        <w:spacing w:after="80" w:before="0"/>
      </w:pPr>
      <w:r>
        <w:rPr>
          <w:rFonts w:ascii="Arial" w:cs="Arial" w:eastAsia="Arial" w:hAnsi="Arial"/>
          <w:color w:val="111827"/>
          <w:sz w:val="22"/>
          <w:szCs w:val="22"/>
        </w:rPr>
        <w:t xml:space="preserve">Not accept a voucher that the Partner knows or suspects to be fraudulent, expired, or already redeemed.</w:t>
      </w:r>
    </w:p>
    <w:p>
      <w:pPr>
        <w:spacing w:after="80" w:before="240"/>
      </w:pPr>
      <w:r>
        <w:rPr>
          <w:rFonts w:ascii="Arial" w:cs="Arial" w:eastAsia="Arial" w:hAnsi="Arial"/>
          <w:b/>
          <w:bCs/>
          <w:color w:val="111827"/>
          <w:sz w:val="22"/>
          <w:szCs w:val="22"/>
        </w:rPr>
        <w:t xml:space="preserve">3.2  Voucher issuance (where applicable)</w:t>
      </w:r>
    </w:p>
    <w:p>
      <w:pPr>
        <w:spacing w:after="140" w:before="0"/>
      </w:pPr>
      <w:r>
        <w:rPr>
          <w:rFonts w:ascii="Arial" w:cs="Arial" w:eastAsia="Arial" w:hAnsi="Arial"/>
          <w:b w:val="false"/>
          <w:bCs w:val="false"/>
          <w:i w:val="false"/>
          <w:iCs w:val="false"/>
          <w:color w:val="111827"/>
          <w:sz w:val="22"/>
          <w:szCs w:val="22"/>
        </w:rPr>
        <w:t xml:space="preserve">Where the Partner is authorised to issue vouchers (e.g. fuel vouchers via the Oil Company portal, or retail credit vouchers via the Supermarket portal), the Partner must:</w:t>
      </w:r>
    </w:p>
    <w:p>
      <w:pPr>
        <w:pStyle w:val="ListParagraph"/>
        <w:numPr>
          <w:ilvl w:val="0"/>
          <w:numId w:val="2"/>
        </w:numPr>
        <w:spacing w:after="80" w:before="0"/>
      </w:pPr>
      <w:r>
        <w:rPr>
          <w:rFonts w:ascii="Arial" w:cs="Arial" w:eastAsia="Arial" w:hAnsi="Arial"/>
          <w:color w:val="111827"/>
          <w:sz w:val="22"/>
          <w:szCs w:val="22"/>
        </w:rPr>
        <w:t xml:space="preserve">Issue vouchers only within the parameters configured in the partner portal (value, expiry, eligible locations).</w:t>
      </w:r>
    </w:p>
    <w:p>
      <w:pPr>
        <w:pStyle w:val="ListParagraph"/>
        <w:numPr>
          <w:ilvl w:val="0"/>
          <w:numId w:val="2"/>
        </w:numPr>
        <w:spacing w:after="80" w:before="0"/>
      </w:pPr>
      <w:r>
        <w:rPr>
          <w:rFonts w:ascii="Arial" w:cs="Arial" w:eastAsia="Arial" w:hAnsi="Arial"/>
          <w:color w:val="111827"/>
          <w:sz w:val="22"/>
          <w:szCs w:val="22"/>
        </w:rPr>
        <w:t xml:space="preserve">Not issue vouchers in excess of the monthly cap set in Schedule 1 or agreed in writing.</w:t>
      </w:r>
    </w:p>
    <w:p>
      <w:pPr>
        <w:pStyle w:val="ListParagraph"/>
        <w:numPr>
          <w:ilvl w:val="0"/>
          <w:numId w:val="2"/>
        </w:numPr>
        <w:spacing w:after="80" w:before="0"/>
      </w:pPr>
      <w:r>
        <w:rPr>
          <w:rFonts w:ascii="Arial" w:cs="Arial" w:eastAsia="Arial" w:hAnsi="Arial"/>
          <w:color w:val="111827"/>
          <w:sz w:val="22"/>
          <w:szCs w:val="22"/>
        </w:rPr>
        <w:t xml:space="preserve">Maintain records of all vouchers issued for reconciliation purposes for a minimum of 6 years.</w:t>
      </w:r>
    </w:p>
    <w:p>
      <w:pPr>
        <w:spacing w:after="80" w:before="240"/>
      </w:pPr>
      <w:r>
        <w:rPr>
          <w:rFonts w:ascii="Arial" w:cs="Arial" w:eastAsia="Arial" w:hAnsi="Arial"/>
          <w:b/>
          <w:bCs/>
          <w:color w:val="111827"/>
          <w:sz w:val="22"/>
          <w:szCs w:val="22"/>
        </w:rPr>
        <w:t xml:space="preserve">3.3  Prohibited voucher activities</w:t>
      </w:r>
    </w:p>
    <w:p>
      <w:pPr>
        <w:spacing w:after="140" w:before="0"/>
      </w:pPr>
      <w:r>
        <w:rPr>
          <w:rFonts w:ascii="Arial" w:cs="Arial" w:eastAsia="Arial" w:hAnsi="Arial"/>
          <w:b w:val="false"/>
          <w:bCs w:val="false"/>
          <w:i w:val="false"/>
          <w:iCs w:val="false"/>
          <w:color w:val="111827"/>
          <w:sz w:val="22"/>
          <w:szCs w:val="22"/>
        </w:rPr>
        <w:t xml:space="preserve">Partners must not:</w:t>
      </w:r>
    </w:p>
    <w:p>
      <w:pPr>
        <w:pStyle w:val="ListParagraph"/>
        <w:numPr>
          <w:ilvl w:val="0"/>
          <w:numId w:val="2"/>
        </w:numPr>
        <w:spacing w:after="80" w:before="0"/>
      </w:pPr>
      <w:r>
        <w:rPr>
          <w:rFonts w:ascii="Arial" w:cs="Arial" w:eastAsia="Arial" w:hAnsi="Arial"/>
          <w:color w:val="111827"/>
          <w:sz w:val="22"/>
          <w:szCs w:val="22"/>
        </w:rPr>
        <w:t xml:space="preserve">Redeem vouchers on behalf of Consumers without their knowledge or consent.</w:t>
      </w:r>
    </w:p>
    <w:p>
      <w:pPr>
        <w:pStyle w:val="ListParagraph"/>
        <w:numPr>
          <w:ilvl w:val="0"/>
          <w:numId w:val="2"/>
        </w:numPr>
        <w:spacing w:after="80" w:before="0"/>
      </w:pPr>
      <w:r>
        <w:rPr>
          <w:rFonts w:ascii="Arial" w:cs="Arial" w:eastAsia="Arial" w:hAnsi="Arial"/>
          <w:color w:val="111827"/>
          <w:sz w:val="22"/>
          <w:szCs w:val="22"/>
        </w:rPr>
        <w:t xml:space="preserve">Issue vouchers in exchange for cash or as a means to launder funds.</w:t>
      </w:r>
    </w:p>
    <w:p>
      <w:pPr>
        <w:pStyle w:val="ListParagraph"/>
        <w:numPr>
          <w:ilvl w:val="0"/>
          <w:numId w:val="2"/>
        </w:numPr>
        <w:spacing w:after="80" w:before="0"/>
      </w:pPr>
      <w:r>
        <w:rPr>
          <w:rFonts w:ascii="Arial" w:cs="Arial" w:eastAsia="Arial" w:hAnsi="Arial"/>
          <w:color w:val="111827"/>
          <w:sz w:val="22"/>
          <w:szCs w:val="22"/>
        </w:rPr>
        <w:t xml:space="preserve">Bulk-purchase or resell consumer vouchers on secondary markets.</w:t>
      </w:r>
    </w:p>
    <w:p>
      <w:pPr>
        <w:pStyle w:val="ListParagraph"/>
        <w:numPr>
          <w:ilvl w:val="0"/>
          <w:numId w:val="2"/>
        </w:numPr>
        <w:spacing w:after="80" w:before="0"/>
      </w:pPr>
      <w:r>
        <w:rPr>
          <w:rFonts w:ascii="Arial" w:cs="Arial" w:eastAsia="Arial" w:hAnsi="Arial"/>
          <w:color w:val="111827"/>
          <w:sz w:val="22"/>
          <w:szCs w:val="22"/>
        </w:rPr>
        <w:t xml:space="preserve">Manipulate redemption data to inflate settlement payments.</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4. API Access</w:t>
      </w:r>
    </w:p>
    <w:p>
      <w:pPr>
        <w:spacing w:after="80" w:before="240"/>
      </w:pPr>
      <w:r>
        <w:rPr>
          <w:rFonts w:ascii="Arial" w:cs="Arial" w:eastAsia="Arial" w:hAnsi="Arial"/>
          <w:b/>
          <w:bCs/>
          <w:color w:val="111827"/>
          <w:sz w:val="22"/>
          <w:szCs w:val="22"/>
        </w:rPr>
        <w:t xml:space="preserve">4.1  Licence</w:t>
      </w:r>
    </w:p>
    <w:p>
      <w:pPr>
        <w:spacing w:after="140" w:before="0"/>
      </w:pPr>
      <w:r>
        <w:rPr>
          <w:rFonts w:ascii="Arial" w:cs="Arial" w:eastAsia="Arial" w:hAnsi="Arial"/>
          <w:b w:val="false"/>
          <w:bCs w:val="false"/>
          <w:i w:val="false"/>
          <w:iCs w:val="false"/>
          <w:color w:val="111827"/>
          <w:sz w:val="22"/>
          <w:szCs w:val="22"/>
        </w:rPr>
        <w:t xml:space="preserve">Energy Shift grants the Partner a limited, non-exclusive, non-transferable, revocable licence to access and use the API solely for the purposes of: processing voucher redemptions, retrieving analytics, generating reconciliation reports, and managing the Partner’s account on the Platform.</w:t>
      </w:r>
    </w:p>
    <w:p>
      <w:pPr>
        <w:spacing w:after="80" w:before="240"/>
      </w:pPr>
      <w:r>
        <w:rPr>
          <w:rFonts w:ascii="Arial" w:cs="Arial" w:eastAsia="Arial" w:hAnsi="Arial"/>
          <w:b/>
          <w:bCs/>
          <w:color w:val="111827"/>
          <w:sz w:val="22"/>
          <w:szCs w:val="22"/>
        </w:rPr>
        <w:t xml:space="preserve">4.2  API Key security</w:t>
      </w:r>
    </w:p>
    <w:p>
      <w:pPr>
        <w:spacing w:after="140" w:before="0"/>
      </w:pPr>
      <w:r>
        <w:rPr>
          <w:rFonts w:ascii="Arial" w:cs="Arial" w:eastAsia="Arial" w:hAnsi="Arial"/>
          <w:b w:val="false"/>
          <w:bCs w:val="false"/>
          <w:i w:val="false"/>
          <w:iCs w:val="false"/>
          <w:color w:val="111827"/>
          <w:sz w:val="22"/>
          <w:szCs w:val="22"/>
        </w:rPr>
        <w:t xml:space="preserve">The Partner is solely responsible for the security of its API Keys. The Partner must:</w:t>
      </w:r>
    </w:p>
    <w:p>
      <w:pPr>
        <w:pStyle w:val="ListParagraph"/>
        <w:numPr>
          <w:ilvl w:val="0"/>
          <w:numId w:val="2"/>
        </w:numPr>
        <w:spacing w:after="80" w:before="0"/>
      </w:pPr>
      <w:r>
        <w:rPr>
          <w:rFonts w:ascii="Arial" w:cs="Arial" w:eastAsia="Arial" w:hAnsi="Arial"/>
          <w:color w:val="111827"/>
          <w:sz w:val="22"/>
          <w:szCs w:val="22"/>
        </w:rPr>
        <w:t xml:space="preserve">Store API Keys securely and never commit them to publicly accessible code repositories (e.g. GitHub, GitLab).</w:t>
      </w:r>
    </w:p>
    <w:p>
      <w:pPr>
        <w:pStyle w:val="ListParagraph"/>
        <w:numPr>
          <w:ilvl w:val="0"/>
          <w:numId w:val="2"/>
        </w:numPr>
        <w:spacing w:after="80" w:before="0"/>
      </w:pPr>
      <w:r>
        <w:rPr>
          <w:rFonts w:ascii="Arial" w:cs="Arial" w:eastAsia="Arial" w:hAnsi="Arial"/>
          <w:color w:val="111827"/>
          <w:sz w:val="22"/>
          <w:szCs w:val="22"/>
        </w:rPr>
        <w:t xml:space="preserve">Rotate API Keys at least every 12 months and immediately upon any suspected compromise.</w:t>
      </w:r>
    </w:p>
    <w:p>
      <w:pPr>
        <w:pStyle w:val="ListParagraph"/>
        <w:numPr>
          <w:ilvl w:val="0"/>
          <w:numId w:val="2"/>
        </w:numPr>
        <w:spacing w:after="80" w:before="0"/>
      </w:pPr>
      <w:r>
        <w:rPr>
          <w:rFonts w:ascii="Arial" w:cs="Arial" w:eastAsia="Arial" w:hAnsi="Arial"/>
          <w:color w:val="111827"/>
          <w:sz w:val="22"/>
          <w:szCs w:val="22"/>
        </w:rPr>
        <w:t xml:space="preserve">Revoke and replace any API Key that is or may have been exposed.</w:t>
      </w:r>
    </w:p>
    <w:p>
      <w:pPr>
        <w:pStyle w:val="ListParagraph"/>
        <w:numPr>
          <w:ilvl w:val="0"/>
          <w:numId w:val="2"/>
        </w:numPr>
        <w:spacing w:after="80" w:before="0"/>
      </w:pPr>
      <w:r>
        <w:rPr>
          <w:rFonts w:ascii="Arial" w:cs="Arial" w:eastAsia="Arial" w:hAnsi="Arial"/>
          <w:color w:val="111827"/>
          <w:sz w:val="22"/>
          <w:szCs w:val="22"/>
        </w:rPr>
        <w:t xml:space="preserve">Use separate API Keys for sandbox and production environments.</w:t>
      </w:r>
    </w:p>
    <w:p>
      <w:pPr>
        <w:spacing w:after="80" w:before="240"/>
      </w:pPr>
      <w:r>
        <w:rPr>
          <w:rFonts w:ascii="Arial" w:cs="Arial" w:eastAsia="Arial" w:hAnsi="Arial"/>
          <w:b/>
          <w:bCs/>
          <w:color w:val="111827"/>
          <w:sz w:val="22"/>
          <w:szCs w:val="22"/>
        </w:rPr>
        <w:t xml:space="preserve">4.3  Rate limits</w:t>
      </w:r>
    </w:p>
    <w:p>
      <w:pPr>
        <w:spacing w:after="140" w:before="0"/>
      </w:pPr>
      <w:r>
        <w:rPr>
          <w:rFonts w:ascii="Arial" w:cs="Arial" w:eastAsia="Arial" w:hAnsi="Arial"/>
          <w:b w:val="false"/>
          <w:bCs w:val="false"/>
          <w:i w:val="false"/>
          <w:iCs w:val="false"/>
          <w:color w:val="111827"/>
          <w:sz w:val="22"/>
          <w:szCs w:val="22"/>
        </w:rPr>
        <w:t xml:space="preserve">API usage is subject to rate limits as specified in the API documentation (energy-vouchers.com/api-docs). Excessive use beyond agreed limits may result in temporary throttling. Persistent abuse may result in API access suspension.</w:t>
      </w:r>
    </w:p>
    <w:p>
      <w:pPr>
        <w:spacing w:after="80" w:before="240"/>
      </w:pPr>
      <w:r>
        <w:rPr>
          <w:rFonts w:ascii="Arial" w:cs="Arial" w:eastAsia="Arial" w:hAnsi="Arial"/>
          <w:b/>
          <w:bCs/>
          <w:color w:val="111827"/>
          <w:sz w:val="22"/>
          <w:szCs w:val="22"/>
        </w:rPr>
        <w:t xml:space="preserve">4.4  Prohibited API use</w:t>
      </w:r>
    </w:p>
    <w:p>
      <w:pPr>
        <w:spacing w:after="140" w:before="0"/>
      </w:pPr>
      <w:r>
        <w:rPr>
          <w:rFonts w:ascii="Arial" w:cs="Arial" w:eastAsia="Arial" w:hAnsi="Arial"/>
          <w:b w:val="false"/>
          <w:bCs w:val="false"/>
          <w:i w:val="false"/>
          <w:iCs w:val="false"/>
          <w:color w:val="111827"/>
          <w:sz w:val="22"/>
          <w:szCs w:val="22"/>
        </w:rPr>
        <w:t xml:space="preserve">The Partner must not use the API to: scrape consumer data; access data belonging to other partners; circumvent platform security controls; or reverse-engineer any part of the Platform.</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5. Commercial Terms</w:t>
      </w:r>
    </w:p>
    <w:p>
      <w:pPr>
        <w:spacing w:after="80" w:before="240"/>
      </w:pPr>
      <w:r>
        <w:rPr>
          <w:rFonts w:ascii="Arial" w:cs="Arial" w:eastAsia="Arial" w:hAnsi="Arial"/>
          <w:b/>
          <w:bCs/>
          <w:color w:val="111827"/>
          <w:sz w:val="22"/>
          <w:szCs w:val="22"/>
        </w:rPr>
        <w:t xml:space="preserve">5.1  Fees</w:t>
      </w:r>
    </w:p>
    <w:p>
      <w:pPr>
        <w:spacing w:after="140" w:before="0"/>
      </w:pPr>
      <w:r>
        <w:rPr>
          <w:rFonts w:ascii="Arial" w:cs="Arial" w:eastAsia="Arial" w:hAnsi="Arial"/>
          <w:b w:val="false"/>
          <w:bCs w:val="false"/>
          <w:i w:val="false"/>
          <w:iCs w:val="false"/>
          <w:color w:val="111827"/>
          <w:sz w:val="22"/>
          <w:szCs w:val="22"/>
        </w:rPr>
        <w:t xml:space="preserve">The commercial terms, including any subscription fees, transaction fees, or revenue share percentage, are set out in Schedule 1 to this Agreement. Where no Schedule 1 has been agreed, the standard published pricing tier applicable to the Partner’s account type applies.</w:t>
      </w:r>
    </w:p>
    <w:p>
      <w:pPr>
        <w:spacing w:after="80" w:before="240"/>
      </w:pPr>
      <w:r>
        <w:rPr>
          <w:rFonts w:ascii="Arial" w:cs="Arial" w:eastAsia="Arial" w:hAnsi="Arial"/>
          <w:b/>
          <w:bCs/>
          <w:color w:val="111827"/>
          <w:sz w:val="22"/>
          <w:szCs w:val="22"/>
        </w:rPr>
        <w:t xml:space="preserve">5.2  Settlement</w:t>
      </w:r>
    </w:p>
    <w:p>
      <w:pPr>
        <w:spacing w:after="140" w:before="0"/>
      </w:pPr>
      <w:r>
        <w:rPr>
          <w:rFonts w:ascii="Arial" w:cs="Arial" w:eastAsia="Arial" w:hAnsi="Arial"/>
          <w:b w:val="false"/>
          <w:bCs w:val="false"/>
          <w:i w:val="false"/>
          <w:iCs w:val="false"/>
          <w:color w:val="111827"/>
          <w:sz w:val="22"/>
          <w:szCs w:val="22"/>
        </w:rPr>
        <w:t xml:space="preserve">Energy Shift will settle amounts owed to the Partner (or invoice the Partner for amounts owed to Energy Shift) monthly in arrears, based on the reconciliation data for the preceding calendar month. Settlement is made by bank transfer to the account details provided by the Partner.</w:t>
      </w:r>
    </w:p>
    <w:p>
      <w:pPr>
        <w:spacing w:after="80" w:before="240"/>
      </w:pPr>
      <w:r>
        <w:rPr>
          <w:rFonts w:ascii="Arial" w:cs="Arial" w:eastAsia="Arial" w:hAnsi="Arial"/>
          <w:b/>
          <w:bCs/>
          <w:color w:val="111827"/>
          <w:sz w:val="22"/>
          <w:szCs w:val="22"/>
        </w:rPr>
        <w:t xml:space="preserve">5.3  Reconciliation</w:t>
      </w:r>
    </w:p>
    <w:p>
      <w:pPr>
        <w:spacing w:after="140" w:before="0"/>
      </w:pPr>
      <w:r>
        <w:rPr>
          <w:rFonts w:ascii="Arial" w:cs="Arial" w:eastAsia="Arial" w:hAnsi="Arial"/>
          <w:b w:val="false"/>
          <w:bCs w:val="false"/>
          <w:i w:val="false"/>
          <w:iCs w:val="false"/>
          <w:color w:val="111827"/>
          <w:sz w:val="22"/>
          <w:szCs w:val="22"/>
        </w:rPr>
        <w:t xml:space="preserve">Partners must review and accept or dispute reconciliation reports within 10 business days of issuance. Undisputed amounts are deemed accepted. Disputed items must be raised in writing via the partner portal or by email to partners@energyshift.eu within 10 business days.</w:t>
      </w:r>
    </w:p>
    <w:p>
      <w:pPr>
        <w:spacing w:after="80" w:before="240"/>
      </w:pPr>
      <w:r>
        <w:rPr>
          <w:rFonts w:ascii="Arial" w:cs="Arial" w:eastAsia="Arial" w:hAnsi="Arial"/>
          <w:b/>
          <w:bCs/>
          <w:color w:val="111827"/>
          <w:sz w:val="22"/>
          <w:szCs w:val="22"/>
        </w:rPr>
        <w:t xml:space="preserve">5.4  Taxes</w:t>
      </w:r>
    </w:p>
    <w:p>
      <w:pPr>
        <w:spacing w:after="140" w:before="0"/>
      </w:pPr>
      <w:r>
        <w:rPr>
          <w:rFonts w:ascii="Arial" w:cs="Arial" w:eastAsia="Arial" w:hAnsi="Arial"/>
          <w:b w:val="false"/>
          <w:bCs w:val="false"/>
          <w:i w:val="false"/>
          <w:iCs w:val="false"/>
          <w:color w:val="111827"/>
          <w:sz w:val="22"/>
          <w:szCs w:val="22"/>
        </w:rPr>
        <w:t xml:space="preserve">Each party is responsible for its own tax obligations arising from this Agreement. Where applicable, Energy Shift will issue VAT invoices in accordance with UK law. The Partner is responsible for any withholding tax obligations in its jurisdiction.</w:t>
      </w:r>
    </w:p>
    <w:p>
      <w:pPr>
        <w:spacing w:after="80" w:before="240"/>
      </w:pPr>
      <w:r>
        <w:rPr>
          <w:rFonts w:ascii="Arial" w:cs="Arial" w:eastAsia="Arial" w:hAnsi="Arial"/>
          <w:b/>
          <w:bCs/>
          <w:color w:val="111827"/>
          <w:sz w:val="22"/>
          <w:szCs w:val="22"/>
        </w:rPr>
        <w:t xml:space="preserve">5.5  Price changes</w:t>
      </w:r>
    </w:p>
    <w:p>
      <w:pPr>
        <w:spacing w:after="140" w:before="0"/>
      </w:pPr>
      <w:r>
        <w:rPr>
          <w:rFonts w:ascii="Arial" w:cs="Arial" w:eastAsia="Arial" w:hAnsi="Arial"/>
          <w:b w:val="false"/>
          <w:bCs w:val="false"/>
          <w:i w:val="false"/>
          <w:iCs w:val="false"/>
          <w:color w:val="111827"/>
          <w:sz w:val="22"/>
          <w:szCs w:val="22"/>
        </w:rPr>
        <w:t xml:space="preserve">Energy Shift may amend its pricing with 60 days’ written notice to the Partner. The Partner may terminate this Agreement during that notice period if it does not agree to the new pricing.</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6. Service Levels</w:t>
      </w:r>
    </w:p>
    <w:p>
      <w:pPr>
        <w:spacing w:after="140" w:before="0"/>
      </w:pPr>
      <w:r>
        <w:rPr>
          <w:rFonts w:ascii="Arial" w:cs="Arial" w:eastAsia="Arial" w:hAnsi="Arial"/>
          <w:b w:val="false"/>
          <w:bCs w:val="false"/>
          <w:i w:val="false"/>
          <w:iCs w:val="false"/>
          <w:color w:val="111827"/>
          <w:sz w:val="22"/>
          <w:szCs w:val="22"/>
        </w:rPr>
        <w:t xml:space="preserve">Energy Shift will use commercially reasonable efforts to maintain platform availability of 99.5% per calendar month, measured at the API gateway, excluding:</w:t>
      </w:r>
    </w:p>
    <w:p>
      <w:pPr>
        <w:pStyle w:val="ListParagraph"/>
        <w:numPr>
          <w:ilvl w:val="0"/>
          <w:numId w:val="2"/>
        </w:numPr>
        <w:spacing w:after="80" w:before="0"/>
      </w:pPr>
      <w:r>
        <w:rPr>
          <w:rFonts w:ascii="Arial" w:cs="Arial" w:eastAsia="Arial" w:hAnsi="Arial"/>
          <w:color w:val="111827"/>
          <w:sz w:val="22"/>
          <w:szCs w:val="22"/>
        </w:rPr>
        <w:t xml:space="preserve">Scheduled maintenance (of which 48 hours’ notice will be given where possible)</w:t>
      </w:r>
    </w:p>
    <w:p>
      <w:pPr>
        <w:pStyle w:val="ListParagraph"/>
        <w:numPr>
          <w:ilvl w:val="0"/>
          <w:numId w:val="2"/>
        </w:numPr>
        <w:spacing w:after="80" w:before="0"/>
      </w:pPr>
      <w:r>
        <w:rPr>
          <w:rFonts w:ascii="Arial" w:cs="Arial" w:eastAsia="Arial" w:hAnsi="Arial"/>
          <w:color w:val="111827"/>
          <w:sz w:val="22"/>
          <w:szCs w:val="22"/>
        </w:rPr>
        <w:t xml:space="preserve">Emergency maintenance required to address a security incident</w:t>
      </w:r>
    </w:p>
    <w:p>
      <w:pPr>
        <w:pStyle w:val="ListParagraph"/>
        <w:numPr>
          <w:ilvl w:val="0"/>
          <w:numId w:val="2"/>
        </w:numPr>
        <w:spacing w:after="80" w:before="0"/>
      </w:pPr>
      <w:r>
        <w:rPr>
          <w:rFonts w:ascii="Arial" w:cs="Arial" w:eastAsia="Arial" w:hAnsi="Arial"/>
          <w:color w:val="111827"/>
          <w:sz w:val="22"/>
          <w:szCs w:val="22"/>
        </w:rPr>
        <w:t xml:space="preserve">Downtime caused by third-party infrastructure providers beyond our reasonable control</w:t>
      </w:r>
    </w:p>
    <w:p>
      <w:pPr>
        <w:spacing w:after="140" w:before="0"/>
      </w:pPr>
      <w:r>
        <w:rPr>
          <w:rFonts w:ascii="Arial" w:cs="Arial" w:eastAsia="Arial" w:hAnsi="Arial"/>
          <w:b w:val="false"/>
          <w:bCs w:val="false"/>
          <w:i w:val="false"/>
          <w:iCs w:val="false"/>
          <w:color w:val="111827"/>
          <w:sz w:val="22"/>
          <w:szCs w:val="22"/>
        </w:rPr>
        <w:t xml:space="preserve">In the event of unplanned downtime affecting voucher redemptions, we will notify Partners via the partner portal and email within 1 hour of detection, and provide regular status updates until resolution. Specific SLA commitments for Enterprise tier partners are set out in Schedule 1.</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7. Fraud Prevention</w:t>
      </w:r>
    </w:p>
    <w:p>
      <w:pPr>
        <w:spacing w:after="140" w:before="0"/>
      </w:pPr>
      <w:r>
        <w:rPr>
          <w:rFonts w:ascii="Arial" w:cs="Arial" w:eastAsia="Arial" w:hAnsi="Arial"/>
          <w:b w:val="false"/>
          <w:bCs w:val="false"/>
          <w:i w:val="false"/>
          <w:iCs w:val="false"/>
          <w:color w:val="111827"/>
          <w:sz w:val="22"/>
          <w:szCs w:val="22"/>
        </w:rPr>
        <w:t xml:space="preserve">Both parties share an obligation to prevent fraudulent voucher activity.</w:t>
      </w:r>
    </w:p>
    <w:p>
      <w:pPr>
        <w:spacing w:after="80" w:before="240"/>
      </w:pPr>
      <w:r>
        <w:rPr>
          <w:rFonts w:ascii="Arial" w:cs="Arial" w:eastAsia="Arial" w:hAnsi="Arial"/>
          <w:b/>
          <w:bCs/>
          <w:color w:val="111827"/>
          <w:sz w:val="22"/>
          <w:szCs w:val="22"/>
        </w:rPr>
        <w:t xml:space="preserve">7.1  Platform fraud controls</w:t>
      </w:r>
    </w:p>
    <w:p>
      <w:pPr>
        <w:spacing w:after="140" w:before="0"/>
      </w:pPr>
      <w:r>
        <w:rPr>
          <w:rFonts w:ascii="Arial" w:cs="Arial" w:eastAsia="Arial" w:hAnsi="Arial"/>
          <w:b w:val="false"/>
          <w:bCs w:val="false"/>
          <w:i w:val="false"/>
          <w:iCs w:val="false"/>
          <w:color w:val="111827"/>
          <w:sz w:val="22"/>
          <w:szCs w:val="22"/>
        </w:rPr>
        <w:t xml:space="preserve">Energy Shift operates fraud detection systems including: unique cryptographic voucher IDs, QR code verification, single-use enforcement, and anomaly detection. We will notify the Partner promptly of any fraud we detect involving their network.</w:t>
      </w:r>
    </w:p>
    <w:p>
      <w:pPr>
        <w:spacing w:after="80" w:before="240"/>
      </w:pPr>
      <w:r>
        <w:rPr>
          <w:rFonts w:ascii="Arial" w:cs="Arial" w:eastAsia="Arial" w:hAnsi="Arial"/>
          <w:b/>
          <w:bCs/>
          <w:color w:val="111827"/>
          <w:sz w:val="22"/>
          <w:szCs w:val="22"/>
        </w:rPr>
        <w:t xml:space="preserve">7.2  Partner fraud obligations</w:t>
      </w:r>
    </w:p>
    <w:p>
      <w:pPr>
        <w:spacing w:after="140" w:before="0"/>
      </w:pPr>
      <w:r>
        <w:rPr>
          <w:rFonts w:ascii="Arial" w:cs="Arial" w:eastAsia="Arial" w:hAnsi="Arial"/>
          <w:b w:val="false"/>
          <w:bCs w:val="false"/>
          <w:i w:val="false"/>
          <w:iCs w:val="false"/>
          <w:color w:val="111827"/>
          <w:sz w:val="22"/>
          <w:szCs w:val="22"/>
        </w:rPr>
        <w:t xml:space="preserve">Partners must: report suspected fraud to Energy Shift within 24 hours of detection; cooperate with fraud investigations; and maintain POS-level controls sufficient to prevent double-redemption.</w:t>
      </w:r>
    </w:p>
    <w:p>
      <w:pPr>
        <w:spacing w:after="80" w:before="240"/>
      </w:pPr>
      <w:r>
        <w:rPr>
          <w:rFonts w:ascii="Arial" w:cs="Arial" w:eastAsia="Arial" w:hAnsi="Arial"/>
          <w:b/>
          <w:bCs/>
          <w:color w:val="111827"/>
          <w:sz w:val="22"/>
          <w:szCs w:val="22"/>
        </w:rPr>
        <w:t xml:space="preserve">7.3  Liability for fraud</w:t>
      </w:r>
    </w:p>
    <w:p>
      <w:pPr>
        <w:spacing w:after="140" w:before="0"/>
      </w:pPr>
      <w:r>
        <w:rPr>
          <w:rFonts w:ascii="Arial" w:cs="Arial" w:eastAsia="Arial" w:hAnsi="Arial"/>
          <w:b w:val="false"/>
          <w:bCs w:val="false"/>
          <w:i w:val="false"/>
          <w:iCs w:val="false"/>
          <w:color w:val="111827"/>
          <w:sz w:val="22"/>
          <w:szCs w:val="22"/>
        </w:rPr>
        <w:t xml:space="preserve">Liability for fraudulent redemptions is allocated as follows:</w:t>
      </w:r>
    </w:p>
    <w:p>
      <w:pPr>
        <w:pStyle w:val="ListParagraph"/>
        <w:numPr>
          <w:ilvl w:val="0"/>
          <w:numId w:val="2"/>
        </w:numPr>
        <w:spacing w:after="80" w:before="0"/>
      </w:pPr>
      <w:r>
        <w:rPr>
          <w:rFonts w:ascii="Arial" w:cs="Arial" w:eastAsia="Arial" w:hAnsi="Arial"/>
          <w:color w:val="111827"/>
          <w:sz w:val="22"/>
          <w:szCs w:val="22"/>
        </w:rPr>
        <w:t xml:space="preserve">If fraud results from a vulnerability in the Energy Shift Platform: Energy Shift bears the loss.</w:t>
      </w:r>
    </w:p>
    <w:p>
      <w:pPr>
        <w:pStyle w:val="ListParagraph"/>
        <w:numPr>
          <w:ilvl w:val="0"/>
          <w:numId w:val="2"/>
        </w:numPr>
        <w:spacing w:after="80" w:before="0"/>
      </w:pPr>
      <w:r>
        <w:rPr>
          <w:rFonts w:ascii="Arial" w:cs="Arial" w:eastAsia="Arial" w:hAnsi="Arial"/>
          <w:color w:val="111827"/>
          <w:sz w:val="22"/>
          <w:szCs w:val="22"/>
        </w:rPr>
        <w:t xml:space="preserve">If fraud results from the Partner’s failure to follow security procedures, inadequate staff training, or compromise of the Partner’s systems or API Keys: the Partner bears the loss.</w:t>
      </w:r>
    </w:p>
    <w:p>
      <w:pPr>
        <w:pStyle w:val="ListParagraph"/>
        <w:numPr>
          <w:ilvl w:val="0"/>
          <w:numId w:val="2"/>
        </w:numPr>
        <w:spacing w:after="80" w:before="0"/>
      </w:pPr>
      <w:r>
        <w:rPr>
          <w:rFonts w:ascii="Arial" w:cs="Arial" w:eastAsia="Arial" w:hAnsi="Arial"/>
          <w:color w:val="111827"/>
          <w:sz w:val="22"/>
          <w:szCs w:val="22"/>
        </w:rPr>
        <w:t xml:space="preserve">Where the cause of fraud is unclear, the parties will investigate jointly and allocate liability equitably based on findings.</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8. Branding and Marketing</w:t>
      </w:r>
    </w:p>
    <w:p>
      <w:pPr>
        <w:spacing w:after="140" w:before="0"/>
      </w:pPr>
      <w:r>
        <w:rPr>
          <w:rFonts w:ascii="Arial" w:cs="Arial" w:eastAsia="Arial" w:hAnsi="Arial"/>
          <w:b w:val="false"/>
          <w:bCs w:val="false"/>
          <w:i w:val="false"/>
          <w:iCs w:val="false"/>
          <w:color w:val="111827"/>
          <w:sz w:val="22"/>
          <w:szCs w:val="22"/>
        </w:rPr>
        <w:t xml:space="preserve">Energy Shift grants the Partner a limited, non-exclusive licence to use Energy Shift’s name, logo, and approved marketing materials solely in connection with promoting the voucher programme to the Partner’s customers.</w:t>
      </w:r>
    </w:p>
    <w:p>
      <w:pPr>
        <w:pStyle w:val="ListParagraph"/>
        <w:numPr>
          <w:ilvl w:val="0"/>
          <w:numId w:val="2"/>
        </w:numPr>
        <w:spacing w:after="80" w:before="0"/>
      </w:pPr>
      <w:r>
        <w:rPr>
          <w:rFonts w:ascii="Arial" w:cs="Arial" w:eastAsia="Arial" w:hAnsi="Arial"/>
          <w:color w:val="111827"/>
          <w:sz w:val="22"/>
          <w:szCs w:val="22"/>
        </w:rPr>
        <w:t xml:space="preserve">The Partner must use only approved branding materials provided by Energy Shift.</w:t>
      </w:r>
    </w:p>
    <w:p>
      <w:pPr>
        <w:pStyle w:val="ListParagraph"/>
        <w:numPr>
          <w:ilvl w:val="0"/>
          <w:numId w:val="2"/>
        </w:numPr>
        <w:spacing w:after="80" w:before="0"/>
      </w:pPr>
      <w:r>
        <w:rPr>
          <w:rFonts w:ascii="Arial" w:cs="Arial" w:eastAsia="Arial" w:hAnsi="Arial"/>
          <w:color w:val="111827"/>
          <w:sz w:val="22"/>
          <w:szCs w:val="22"/>
        </w:rPr>
        <w:t xml:space="preserve">The Partner must not make representations about Energy Shift’s products or services beyond what is stated in approved materials.</w:t>
      </w:r>
    </w:p>
    <w:p>
      <w:pPr>
        <w:pStyle w:val="ListParagraph"/>
        <w:numPr>
          <w:ilvl w:val="0"/>
          <w:numId w:val="2"/>
        </w:numPr>
        <w:spacing w:after="80" w:before="0"/>
      </w:pPr>
      <w:r>
        <w:rPr>
          <w:rFonts w:ascii="Arial" w:cs="Arial" w:eastAsia="Arial" w:hAnsi="Arial"/>
          <w:color w:val="111827"/>
          <w:sz w:val="22"/>
          <w:szCs w:val="22"/>
        </w:rPr>
        <w:t xml:space="preserve">Energy Shift may use the Partner’s company name and logo on the platform and in marketing materials to indicate the partnership, unless the Partner objects in writing.</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9. Data Protection</w:t>
      </w:r>
    </w:p>
    <w:p>
      <w:pPr>
        <w:spacing w:after="140" w:before="0"/>
      </w:pPr>
      <w:r>
        <w:rPr>
          <w:rFonts w:ascii="Arial" w:cs="Arial" w:eastAsia="Arial" w:hAnsi="Arial"/>
          <w:b w:val="false"/>
          <w:bCs w:val="false"/>
          <w:i w:val="false"/>
          <w:iCs w:val="false"/>
          <w:color w:val="111827"/>
          <w:sz w:val="22"/>
          <w:szCs w:val="22"/>
        </w:rPr>
        <w:t xml:space="preserve">Both parties’ obligations in relation to personal data are governed by the Data Processing Agreement (“DPA”) which forms a separate binding agreement and is incorporated herein by reference.</w:t>
      </w:r>
    </w:p>
    <w:p>
      <w:pPr>
        <w:spacing w:after="140" w:before="0"/>
      </w:pPr>
      <w:r>
        <w:rPr>
          <w:rFonts w:ascii="Arial" w:cs="Arial" w:eastAsia="Arial" w:hAnsi="Arial"/>
          <w:b w:val="false"/>
          <w:bCs w:val="false"/>
          <w:i w:val="false"/>
          <w:iCs w:val="false"/>
          <w:color w:val="111827"/>
          <w:sz w:val="22"/>
          <w:szCs w:val="22"/>
        </w:rPr>
        <w:t xml:space="preserve">In summary: the Partner is the data controller of its customers’ personal data; Energy Shift acts as a data processor when processing redemption events on the Partner’s behalf. The Partner must ensure it has a lawful basis to share customer data with Energy Shift and has provided its customers with appropriate privacy notice.</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10. Confidentiality</w:t>
      </w:r>
    </w:p>
    <w:p>
      <w:pPr>
        <w:spacing w:after="140" w:before="0"/>
      </w:pPr>
      <w:r>
        <w:rPr>
          <w:rFonts w:ascii="Arial" w:cs="Arial" w:eastAsia="Arial" w:hAnsi="Arial"/>
          <w:b w:val="false"/>
          <w:bCs w:val="false"/>
          <w:i w:val="false"/>
          <w:iCs w:val="false"/>
          <w:color w:val="111827"/>
          <w:sz w:val="22"/>
          <w:szCs w:val="22"/>
        </w:rPr>
        <w:t xml:space="preserve">Each party agrees to keep confidential all non-public information received from the other party in connection with this Agreement (“Confidential Information”), and to use Confidential Information only for the purposes of performing its obligations under this Agreement.</w:t>
      </w:r>
    </w:p>
    <w:p>
      <w:pPr>
        <w:spacing w:after="140" w:before="0"/>
      </w:pPr>
      <w:r>
        <w:rPr>
          <w:rFonts w:ascii="Arial" w:cs="Arial" w:eastAsia="Arial" w:hAnsi="Arial"/>
          <w:b w:val="false"/>
          <w:bCs w:val="false"/>
          <w:i w:val="false"/>
          <w:iCs w:val="false"/>
          <w:color w:val="111827"/>
          <w:sz w:val="22"/>
          <w:szCs w:val="22"/>
        </w:rPr>
        <w:t xml:space="preserve">Confidential Information does not include information that: is or becomes publicly available through no fault of the receiving party; was already known to the receiving party before disclosure; or is required to be disclosed by law or regulatory authority.</w:t>
      </w:r>
    </w:p>
    <w:p>
      <w:pPr>
        <w:spacing w:after="140" w:before="0"/>
      </w:pPr>
      <w:r>
        <w:rPr>
          <w:rFonts w:ascii="Arial" w:cs="Arial" w:eastAsia="Arial" w:hAnsi="Arial"/>
          <w:b w:val="false"/>
          <w:bCs w:val="false"/>
          <w:i w:val="false"/>
          <w:iCs w:val="false"/>
          <w:color w:val="111827"/>
          <w:sz w:val="22"/>
          <w:szCs w:val="22"/>
        </w:rPr>
        <w:t xml:space="preserve">These confidentiality obligations survive termination of this Agreement for a period of 3 years.</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11. Intellectual Property</w:t>
      </w:r>
    </w:p>
    <w:p>
      <w:pPr>
        <w:spacing w:after="140" w:before="0"/>
      </w:pPr>
      <w:r>
        <w:rPr>
          <w:rFonts w:ascii="Arial" w:cs="Arial" w:eastAsia="Arial" w:hAnsi="Arial"/>
          <w:b w:val="false"/>
          <w:bCs w:val="false"/>
          <w:i w:val="false"/>
          <w:iCs w:val="false"/>
          <w:color w:val="111827"/>
          <w:sz w:val="22"/>
          <w:szCs w:val="22"/>
        </w:rPr>
        <w:t xml:space="preserve">Each party retains ownership of its own intellectual property. Nothing in this Agreement transfers any intellectual property rights from one party to the other.</w:t>
      </w:r>
    </w:p>
    <w:p>
      <w:pPr>
        <w:pStyle w:val="ListParagraph"/>
        <w:numPr>
          <w:ilvl w:val="0"/>
          <w:numId w:val="2"/>
        </w:numPr>
        <w:spacing w:after="80" w:before="0"/>
      </w:pPr>
      <w:r>
        <w:rPr>
          <w:rFonts w:ascii="Arial" w:cs="Arial" w:eastAsia="Arial" w:hAnsi="Arial"/>
          <w:color w:val="111827"/>
          <w:sz w:val="22"/>
          <w:szCs w:val="22"/>
        </w:rPr>
        <w:t xml:space="preserve">Energy Shift IP: the Platform, API, software, algorithms, databases, brand assets, and documentation.</w:t>
      </w:r>
    </w:p>
    <w:p>
      <w:pPr>
        <w:pStyle w:val="ListParagraph"/>
        <w:numPr>
          <w:ilvl w:val="0"/>
          <w:numId w:val="2"/>
        </w:numPr>
        <w:spacing w:after="80" w:before="0"/>
      </w:pPr>
      <w:r>
        <w:rPr>
          <w:rFonts w:ascii="Arial" w:cs="Arial" w:eastAsia="Arial" w:hAnsi="Arial"/>
          <w:color w:val="111827"/>
          <w:sz w:val="22"/>
          <w:szCs w:val="22"/>
        </w:rPr>
        <w:t xml:space="preserve">Partner IP: the Partner’s systems, POS software, customer data, and brand assets.</w:t>
      </w:r>
    </w:p>
    <w:p>
      <w:pPr>
        <w:spacing w:after="140" w:before="0"/>
      </w:pPr>
      <w:r>
        <w:rPr>
          <w:rFonts w:ascii="Arial" w:cs="Arial" w:eastAsia="Arial" w:hAnsi="Arial"/>
          <w:b w:val="false"/>
          <w:bCs w:val="false"/>
          <w:i w:val="false"/>
          <w:iCs w:val="false"/>
          <w:color w:val="111827"/>
          <w:sz w:val="22"/>
          <w:szCs w:val="22"/>
        </w:rPr>
        <w:t xml:space="preserve">Any feedback or suggestions the Partner provides about the Platform may be used by Energy Shift without restriction and without compensation to the Partner.</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12. Representations and Warranties</w:t>
      </w:r>
    </w:p>
    <w:p>
      <w:pPr>
        <w:spacing w:after="140" w:before="0"/>
      </w:pPr>
      <w:r>
        <w:rPr>
          <w:rFonts w:ascii="Arial" w:cs="Arial" w:eastAsia="Arial" w:hAnsi="Arial"/>
          <w:b w:val="false"/>
          <w:bCs w:val="false"/>
          <w:i w:val="false"/>
          <w:iCs w:val="false"/>
          <w:color w:val="111827"/>
          <w:sz w:val="22"/>
          <w:szCs w:val="22"/>
        </w:rPr>
        <w:t xml:space="preserve">Each party represents and warrants to the other that:</w:t>
      </w:r>
    </w:p>
    <w:p>
      <w:pPr>
        <w:pStyle w:val="ListParagraph"/>
        <w:numPr>
          <w:ilvl w:val="0"/>
          <w:numId w:val="2"/>
        </w:numPr>
        <w:spacing w:after="80" w:before="0"/>
      </w:pPr>
      <w:r>
        <w:rPr>
          <w:rFonts w:ascii="Arial" w:cs="Arial" w:eastAsia="Arial" w:hAnsi="Arial"/>
          <w:color w:val="111827"/>
          <w:sz w:val="22"/>
          <w:szCs w:val="22"/>
        </w:rPr>
        <w:t xml:space="preserve">It is duly incorporated and validly existing under the laws of its jurisdiction.</w:t>
      </w:r>
    </w:p>
    <w:p>
      <w:pPr>
        <w:pStyle w:val="ListParagraph"/>
        <w:numPr>
          <w:ilvl w:val="0"/>
          <w:numId w:val="2"/>
        </w:numPr>
        <w:spacing w:after="80" w:before="0"/>
      </w:pPr>
      <w:r>
        <w:rPr>
          <w:rFonts w:ascii="Arial" w:cs="Arial" w:eastAsia="Arial" w:hAnsi="Arial"/>
          <w:color w:val="111827"/>
          <w:sz w:val="22"/>
          <w:szCs w:val="22"/>
        </w:rPr>
        <w:t xml:space="preserve">It has full authority to enter into this Agreement and to perform its obligations hereunder.</w:t>
      </w:r>
    </w:p>
    <w:p>
      <w:pPr>
        <w:pStyle w:val="ListParagraph"/>
        <w:numPr>
          <w:ilvl w:val="0"/>
          <w:numId w:val="2"/>
        </w:numPr>
        <w:spacing w:after="80" w:before="0"/>
      </w:pPr>
      <w:r>
        <w:rPr>
          <w:rFonts w:ascii="Arial" w:cs="Arial" w:eastAsia="Arial" w:hAnsi="Arial"/>
          <w:color w:val="111827"/>
          <w:sz w:val="22"/>
          <w:szCs w:val="22"/>
        </w:rPr>
        <w:t xml:space="preserve">Its performance of this Agreement will not violate any applicable law, regulation, or third-party agreement.</w:t>
      </w:r>
    </w:p>
    <w:p>
      <w:pPr>
        <w:spacing w:after="140" w:before="0"/>
      </w:pPr>
      <w:r>
        <w:rPr>
          <w:rFonts w:ascii="Arial" w:cs="Arial" w:eastAsia="Arial" w:hAnsi="Arial"/>
          <w:b w:val="false"/>
          <w:bCs w:val="false"/>
          <w:i w:val="false"/>
          <w:iCs w:val="false"/>
          <w:color w:val="111827"/>
          <w:sz w:val="22"/>
          <w:szCs w:val="22"/>
        </w:rPr>
        <w:t xml:space="preserve">The Partner additionally warrants that:</w:t>
      </w:r>
    </w:p>
    <w:p>
      <w:pPr>
        <w:pStyle w:val="ListParagraph"/>
        <w:numPr>
          <w:ilvl w:val="0"/>
          <w:numId w:val="2"/>
        </w:numPr>
        <w:spacing w:after="80" w:before="0"/>
      </w:pPr>
      <w:r>
        <w:rPr>
          <w:rFonts w:ascii="Arial" w:cs="Arial" w:eastAsia="Arial" w:hAnsi="Arial"/>
          <w:color w:val="111827"/>
          <w:sz w:val="22"/>
          <w:szCs w:val="22"/>
        </w:rPr>
        <w:t xml:space="preserve">It holds all licences, permits, and authorisations required to operate its business and participate in the voucher programme.</w:t>
      </w:r>
    </w:p>
    <w:p>
      <w:pPr>
        <w:pStyle w:val="ListParagraph"/>
        <w:numPr>
          <w:ilvl w:val="0"/>
          <w:numId w:val="2"/>
        </w:numPr>
        <w:spacing w:after="80" w:before="0"/>
      </w:pPr>
      <w:r>
        <w:rPr>
          <w:rFonts w:ascii="Arial" w:cs="Arial" w:eastAsia="Arial" w:hAnsi="Arial"/>
          <w:color w:val="111827"/>
          <w:sz w:val="22"/>
          <w:szCs w:val="22"/>
        </w:rPr>
        <w:t xml:space="preserve">It will comply with all applicable anti-bribery laws (including the UK Bribery Act 2010) and anti-money-laundering regulations.</w:t>
      </w:r>
    </w:p>
    <w:p>
      <w:pPr>
        <w:pStyle w:val="ListParagraph"/>
        <w:numPr>
          <w:ilvl w:val="0"/>
          <w:numId w:val="2"/>
        </w:numPr>
        <w:spacing w:after="80" w:before="0"/>
      </w:pPr>
      <w:r>
        <w:rPr>
          <w:rFonts w:ascii="Arial" w:cs="Arial" w:eastAsia="Arial" w:hAnsi="Arial"/>
          <w:color w:val="111827"/>
          <w:sz w:val="22"/>
          <w:szCs w:val="22"/>
        </w:rPr>
        <w:t xml:space="preserve">It will not use the Platform in connection with any sanctioned entity or jurisdiction.</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13. Limitation of Liability</w:t>
      </w:r>
    </w:p>
    <w:p>
      <w:pPr>
        <w:spacing w:after="140" w:before="0"/>
      </w:pPr>
      <w:r>
        <w:rPr>
          <w:rFonts w:ascii="Arial" w:cs="Arial" w:eastAsia="Arial" w:hAnsi="Arial"/>
          <w:b w:val="false"/>
          <w:bCs w:val="false"/>
          <w:i w:val="false"/>
          <w:iCs w:val="false"/>
          <w:color w:val="111827"/>
          <w:sz w:val="22"/>
          <w:szCs w:val="22"/>
        </w:rPr>
        <w:t xml:space="preserve">Nothing in this Agreement excludes either party’s liability for: fraud or fraudulent misrepresentation; death or personal injury caused by negligence; or any liability that cannot be excluded by law.</w:t>
      </w:r>
    </w:p>
    <w:p>
      <w:pPr>
        <w:spacing w:after="140" w:before="0"/>
      </w:pPr>
      <w:r>
        <w:rPr>
          <w:rFonts w:ascii="Arial" w:cs="Arial" w:eastAsia="Arial" w:hAnsi="Arial"/>
          <w:b w:val="false"/>
          <w:bCs w:val="false"/>
          <w:i w:val="false"/>
          <w:iCs w:val="false"/>
          <w:color w:val="111827"/>
          <w:sz w:val="22"/>
          <w:szCs w:val="22"/>
        </w:rPr>
        <w:t xml:space="preserve">Subject to the above, and except in the case of the Partner’s payment obligations:</w:t>
      </w:r>
    </w:p>
    <w:p>
      <w:pPr>
        <w:pStyle w:val="ListParagraph"/>
        <w:numPr>
          <w:ilvl w:val="0"/>
          <w:numId w:val="2"/>
        </w:numPr>
        <w:spacing w:after="80" w:before="0"/>
      </w:pPr>
      <w:r>
        <w:rPr>
          <w:rFonts w:ascii="Arial" w:cs="Arial" w:eastAsia="Arial" w:hAnsi="Arial"/>
          <w:color w:val="111827"/>
          <w:sz w:val="22"/>
          <w:szCs w:val="22"/>
        </w:rPr>
        <w:t xml:space="preserve">Neither party shall be liable for indirect, consequential, or special losses, loss of profits, loss of business, or loss of reputation.</w:t>
      </w:r>
    </w:p>
    <w:p>
      <w:pPr>
        <w:pStyle w:val="ListParagraph"/>
        <w:numPr>
          <w:ilvl w:val="0"/>
          <w:numId w:val="2"/>
        </w:numPr>
        <w:spacing w:after="80" w:before="0"/>
      </w:pPr>
      <w:r>
        <w:rPr>
          <w:rFonts w:ascii="Arial" w:cs="Arial" w:eastAsia="Arial" w:hAnsi="Arial"/>
          <w:color w:val="111827"/>
          <w:sz w:val="22"/>
          <w:szCs w:val="22"/>
        </w:rPr>
        <w:t xml:space="preserve">Each party’s total aggregate liability under this Agreement shall not exceed the total fees paid or payable between the parties in the 12 months preceding the event giving rise to the claim.</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14. Indemnification</w:t>
      </w:r>
    </w:p>
    <w:p>
      <w:pPr>
        <w:spacing w:after="140" w:before="0"/>
      </w:pPr>
      <w:r>
        <w:rPr>
          <w:rFonts w:ascii="Arial" w:cs="Arial" w:eastAsia="Arial" w:hAnsi="Arial"/>
          <w:b w:val="false"/>
          <w:bCs w:val="false"/>
          <w:i w:val="false"/>
          <w:iCs w:val="false"/>
          <w:color w:val="111827"/>
          <w:sz w:val="22"/>
          <w:szCs w:val="22"/>
        </w:rPr>
        <w:t xml:space="preserve">The Partner shall indemnify, defend, and hold harmless Energy Shift and its officers, employees, and agents against any claims, losses, damages, or costs (including reasonable legal fees) arising from:</w:t>
      </w:r>
    </w:p>
    <w:p>
      <w:pPr>
        <w:pStyle w:val="ListParagraph"/>
        <w:numPr>
          <w:ilvl w:val="0"/>
          <w:numId w:val="2"/>
        </w:numPr>
        <w:spacing w:after="80" w:before="0"/>
      </w:pPr>
      <w:r>
        <w:rPr>
          <w:rFonts w:ascii="Arial" w:cs="Arial" w:eastAsia="Arial" w:hAnsi="Arial"/>
          <w:color w:val="111827"/>
          <w:sz w:val="22"/>
          <w:szCs w:val="22"/>
        </w:rPr>
        <w:t xml:space="preserve">The Partner’s breach of this Agreement.</w:t>
      </w:r>
    </w:p>
    <w:p>
      <w:pPr>
        <w:pStyle w:val="ListParagraph"/>
        <w:numPr>
          <w:ilvl w:val="0"/>
          <w:numId w:val="2"/>
        </w:numPr>
        <w:spacing w:after="80" w:before="0"/>
      </w:pPr>
      <w:r>
        <w:rPr>
          <w:rFonts w:ascii="Arial" w:cs="Arial" w:eastAsia="Arial" w:hAnsi="Arial"/>
          <w:color w:val="111827"/>
          <w:sz w:val="22"/>
          <w:szCs w:val="22"/>
        </w:rPr>
        <w:t xml:space="preserve">The Partner’s negligence or wilful misconduct.</w:t>
      </w:r>
    </w:p>
    <w:p>
      <w:pPr>
        <w:pStyle w:val="ListParagraph"/>
        <w:numPr>
          <w:ilvl w:val="0"/>
          <w:numId w:val="2"/>
        </w:numPr>
        <w:spacing w:after="80" w:before="0"/>
      </w:pPr>
      <w:r>
        <w:rPr>
          <w:rFonts w:ascii="Arial" w:cs="Arial" w:eastAsia="Arial" w:hAnsi="Arial"/>
          <w:color w:val="111827"/>
          <w:sz w:val="22"/>
          <w:szCs w:val="22"/>
        </w:rPr>
        <w:t xml:space="preserve">Any claim by a Consumer arising from the Partner’s acts or omissions at a redemption point.</w:t>
      </w:r>
    </w:p>
    <w:p>
      <w:pPr>
        <w:pStyle w:val="ListParagraph"/>
        <w:numPr>
          <w:ilvl w:val="0"/>
          <w:numId w:val="2"/>
        </w:numPr>
        <w:spacing w:after="80" w:before="0"/>
      </w:pPr>
      <w:r>
        <w:rPr>
          <w:rFonts w:ascii="Arial" w:cs="Arial" w:eastAsia="Arial" w:hAnsi="Arial"/>
          <w:color w:val="111827"/>
          <w:sz w:val="22"/>
          <w:szCs w:val="22"/>
        </w:rPr>
        <w:t xml:space="preserve">The Partner’s breach of applicable data protection law.</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15. Term and Termination</w:t>
      </w:r>
    </w:p>
    <w:p>
      <w:pPr>
        <w:spacing w:after="80" w:before="240"/>
      </w:pPr>
      <w:r>
        <w:rPr>
          <w:rFonts w:ascii="Arial" w:cs="Arial" w:eastAsia="Arial" w:hAnsi="Arial"/>
          <w:b/>
          <w:bCs/>
          <w:color w:val="111827"/>
          <w:sz w:val="22"/>
          <w:szCs w:val="22"/>
        </w:rPr>
        <w:t xml:space="preserve">15.1  Term</w:t>
      </w:r>
    </w:p>
    <w:p>
      <w:pPr>
        <w:spacing w:after="140" w:before="0"/>
      </w:pPr>
      <w:r>
        <w:rPr>
          <w:rFonts w:ascii="Arial" w:cs="Arial" w:eastAsia="Arial" w:hAnsi="Arial"/>
          <w:b w:val="false"/>
          <w:bCs w:val="false"/>
          <w:i w:val="false"/>
          <w:iCs w:val="false"/>
          <w:color w:val="111827"/>
          <w:sz w:val="22"/>
          <w:szCs w:val="22"/>
        </w:rPr>
        <w:t xml:space="preserve">This Agreement commences on the Effective Date and continues until terminated by either party.</w:t>
      </w:r>
    </w:p>
    <w:p>
      <w:pPr>
        <w:spacing w:after="80" w:before="240"/>
      </w:pPr>
      <w:r>
        <w:rPr>
          <w:rFonts w:ascii="Arial" w:cs="Arial" w:eastAsia="Arial" w:hAnsi="Arial"/>
          <w:b/>
          <w:bCs/>
          <w:color w:val="111827"/>
          <w:sz w:val="22"/>
          <w:szCs w:val="22"/>
        </w:rPr>
        <w:t xml:space="preserve">15.2  Termination for convenience</w:t>
      </w:r>
    </w:p>
    <w:p>
      <w:pPr>
        <w:spacing w:after="140" w:before="0"/>
      </w:pPr>
      <w:r>
        <w:rPr>
          <w:rFonts w:ascii="Arial" w:cs="Arial" w:eastAsia="Arial" w:hAnsi="Arial"/>
          <w:b w:val="false"/>
          <w:bCs w:val="false"/>
          <w:i w:val="false"/>
          <w:iCs w:val="false"/>
          <w:color w:val="111827"/>
          <w:sz w:val="22"/>
          <w:szCs w:val="22"/>
        </w:rPr>
        <w:t xml:space="preserve">Either party may terminate this Agreement by giving 30 days’ written notice to the other party. Notice must be given by email to partners@energyshift.eu (for notices to Energy Shift) or to the Partner’s registered email address.</w:t>
      </w:r>
    </w:p>
    <w:p>
      <w:pPr>
        <w:spacing w:after="80" w:before="240"/>
      </w:pPr>
      <w:r>
        <w:rPr>
          <w:rFonts w:ascii="Arial" w:cs="Arial" w:eastAsia="Arial" w:hAnsi="Arial"/>
          <w:b/>
          <w:bCs/>
          <w:color w:val="111827"/>
          <w:sz w:val="22"/>
          <w:szCs w:val="22"/>
        </w:rPr>
        <w:t xml:space="preserve">15.3  Termination for cause</w:t>
      </w:r>
    </w:p>
    <w:p>
      <w:pPr>
        <w:spacing w:after="140" w:before="0"/>
      </w:pPr>
      <w:r>
        <w:rPr>
          <w:rFonts w:ascii="Arial" w:cs="Arial" w:eastAsia="Arial" w:hAnsi="Arial"/>
          <w:b w:val="false"/>
          <w:bCs w:val="false"/>
          <w:i w:val="false"/>
          <w:iCs w:val="false"/>
          <w:color w:val="111827"/>
          <w:sz w:val="22"/>
          <w:szCs w:val="22"/>
        </w:rPr>
        <w:t xml:space="preserve">Either party may terminate this Agreement immediately by written notice if the other party:</w:t>
      </w:r>
    </w:p>
    <w:p>
      <w:pPr>
        <w:pStyle w:val="ListParagraph"/>
        <w:numPr>
          <w:ilvl w:val="0"/>
          <w:numId w:val="2"/>
        </w:numPr>
        <w:spacing w:after="80" w:before="0"/>
      </w:pPr>
      <w:r>
        <w:rPr>
          <w:rFonts w:ascii="Arial" w:cs="Arial" w:eastAsia="Arial" w:hAnsi="Arial"/>
          <w:color w:val="111827"/>
          <w:sz w:val="22"/>
          <w:szCs w:val="22"/>
        </w:rPr>
        <w:t xml:space="preserve">Commits a material breach that is not remedied within 14 days of written notice;</w:t>
      </w:r>
    </w:p>
    <w:p>
      <w:pPr>
        <w:pStyle w:val="ListParagraph"/>
        <w:numPr>
          <w:ilvl w:val="0"/>
          <w:numId w:val="2"/>
        </w:numPr>
        <w:spacing w:after="80" w:before="0"/>
      </w:pPr>
      <w:r>
        <w:rPr>
          <w:rFonts w:ascii="Arial" w:cs="Arial" w:eastAsia="Arial" w:hAnsi="Arial"/>
          <w:color w:val="111827"/>
          <w:sz w:val="22"/>
          <w:szCs w:val="22"/>
        </w:rPr>
        <w:t xml:space="preserve">Becomes insolvent, enters administration, or ceases to carry on business;</w:t>
      </w:r>
    </w:p>
    <w:p>
      <w:pPr>
        <w:pStyle w:val="ListParagraph"/>
        <w:numPr>
          <w:ilvl w:val="0"/>
          <w:numId w:val="2"/>
        </w:numPr>
        <w:spacing w:after="80" w:before="0"/>
      </w:pPr>
      <w:r>
        <w:rPr>
          <w:rFonts w:ascii="Arial" w:cs="Arial" w:eastAsia="Arial" w:hAnsi="Arial"/>
          <w:color w:val="111827"/>
          <w:sz w:val="22"/>
          <w:szCs w:val="22"/>
        </w:rPr>
        <w:t xml:space="preserve">Engages in fraud, wilful misconduct, or a serious violation of applicable law.</w:t>
      </w:r>
    </w:p>
    <w:p>
      <w:pPr>
        <w:spacing w:after="80" w:before="240"/>
      </w:pPr>
      <w:r>
        <w:rPr>
          <w:rFonts w:ascii="Arial" w:cs="Arial" w:eastAsia="Arial" w:hAnsi="Arial"/>
          <w:b/>
          <w:bCs/>
          <w:color w:val="111827"/>
          <w:sz w:val="22"/>
          <w:szCs w:val="22"/>
        </w:rPr>
        <w:t xml:space="preserve">15.4  Effect of termination</w:t>
      </w:r>
    </w:p>
    <w:p>
      <w:pPr>
        <w:spacing w:after="140" w:before="0"/>
      </w:pPr>
      <w:r>
        <w:rPr>
          <w:rFonts w:ascii="Arial" w:cs="Arial" w:eastAsia="Arial" w:hAnsi="Arial"/>
          <w:b w:val="false"/>
          <w:bCs w:val="false"/>
          <w:i w:val="false"/>
          <w:iCs w:val="false"/>
          <w:color w:val="111827"/>
          <w:sz w:val="22"/>
          <w:szCs w:val="22"/>
        </w:rPr>
        <w:t xml:space="preserve">Upon termination:</w:t>
      </w:r>
    </w:p>
    <w:p>
      <w:pPr>
        <w:pStyle w:val="ListParagraph"/>
        <w:numPr>
          <w:ilvl w:val="0"/>
          <w:numId w:val="2"/>
        </w:numPr>
        <w:spacing w:after="80" w:before="0"/>
      </w:pPr>
      <w:r>
        <w:rPr>
          <w:rFonts w:ascii="Arial" w:cs="Arial" w:eastAsia="Arial" w:hAnsi="Arial"/>
          <w:color w:val="111827"/>
          <w:sz w:val="22"/>
          <w:szCs w:val="22"/>
        </w:rPr>
        <w:t xml:space="preserve">API access and partner portal access will be revoked.</w:t>
      </w:r>
    </w:p>
    <w:p>
      <w:pPr>
        <w:pStyle w:val="ListParagraph"/>
        <w:numPr>
          <w:ilvl w:val="0"/>
          <w:numId w:val="2"/>
        </w:numPr>
        <w:spacing w:after="80" w:before="0"/>
      </w:pPr>
      <w:r>
        <w:rPr>
          <w:rFonts w:ascii="Arial" w:cs="Arial" w:eastAsia="Arial" w:hAnsi="Arial"/>
          <w:color w:val="111827"/>
          <w:sz w:val="22"/>
          <w:szCs w:val="22"/>
        </w:rPr>
        <w:t xml:space="preserve">Outstanding settlement obligations remain payable.</w:t>
      </w:r>
    </w:p>
    <w:p>
      <w:pPr>
        <w:pStyle w:val="ListParagraph"/>
        <w:numPr>
          <w:ilvl w:val="0"/>
          <w:numId w:val="2"/>
        </w:numPr>
        <w:spacing w:after="80" w:before="0"/>
      </w:pPr>
      <w:r>
        <w:rPr>
          <w:rFonts w:ascii="Arial" w:cs="Arial" w:eastAsia="Arial" w:hAnsi="Arial"/>
          <w:color w:val="111827"/>
          <w:sz w:val="22"/>
          <w:szCs w:val="22"/>
        </w:rPr>
        <w:t xml:space="preserve">The Partner must cease using Energy Shift branding immediately.</w:t>
      </w:r>
    </w:p>
    <w:p>
      <w:pPr>
        <w:pStyle w:val="ListParagraph"/>
        <w:numPr>
          <w:ilvl w:val="0"/>
          <w:numId w:val="2"/>
        </w:numPr>
        <w:spacing w:after="80" w:before="0"/>
      </w:pPr>
      <w:r>
        <w:rPr>
          <w:rFonts w:ascii="Arial" w:cs="Arial" w:eastAsia="Arial" w:hAnsi="Arial"/>
          <w:color w:val="111827"/>
          <w:sz w:val="22"/>
          <w:szCs w:val="22"/>
        </w:rPr>
        <w:t xml:space="preserve">Data retention and deletion obligations under the DPA continue to apply.</w:t>
      </w:r>
    </w:p>
    <w:p>
      <w:pPr>
        <w:pStyle w:val="ListParagraph"/>
        <w:numPr>
          <w:ilvl w:val="0"/>
          <w:numId w:val="2"/>
        </w:numPr>
        <w:spacing w:after="80" w:before="0"/>
      </w:pPr>
      <w:r>
        <w:rPr>
          <w:rFonts w:ascii="Arial" w:cs="Arial" w:eastAsia="Arial" w:hAnsi="Arial"/>
          <w:color w:val="111827"/>
          <w:sz w:val="22"/>
          <w:szCs w:val="22"/>
        </w:rPr>
        <w:t xml:space="preserve">Provisions that by their nature survive termination (confidentiality, IP, liability, indemnification, data protection) continue in effect.</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16. Changes to this Agreement</w:t>
      </w:r>
    </w:p>
    <w:p>
      <w:pPr>
        <w:spacing w:after="140" w:before="0"/>
      </w:pPr>
      <w:r>
        <w:rPr>
          <w:rFonts w:ascii="Arial" w:cs="Arial" w:eastAsia="Arial" w:hAnsi="Arial"/>
          <w:b w:val="false"/>
          <w:bCs w:val="false"/>
          <w:i w:val="false"/>
          <w:iCs w:val="false"/>
          <w:color w:val="111827"/>
          <w:sz w:val="22"/>
          <w:szCs w:val="22"/>
        </w:rPr>
        <w:t xml:space="preserve">Energy Shift may update these Partner Terms with 30 days’ written notice. If the Partner does not object within that period, the updated Terms are deemed accepted. If the Partner objects, either party may terminate the Agreement on expiry of the notice period.</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17. Governing Law and Dispute Resolution</w:t>
      </w:r>
    </w:p>
    <w:p>
      <w:pPr>
        <w:spacing w:after="140" w:before="0"/>
      </w:pPr>
      <w:r>
        <w:rPr>
          <w:rFonts w:ascii="Arial" w:cs="Arial" w:eastAsia="Arial" w:hAnsi="Arial"/>
          <w:b w:val="false"/>
          <w:bCs w:val="false"/>
          <w:i w:val="false"/>
          <w:iCs w:val="false"/>
          <w:color w:val="111827"/>
          <w:sz w:val="22"/>
          <w:szCs w:val="22"/>
        </w:rPr>
        <w:t xml:space="preserve">This Agreement is governed by the law of England and Wales. The parties submit to the exclusive jurisdiction of the courts of England and Wales.</w:t>
      </w:r>
    </w:p>
    <w:p>
      <w:pPr>
        <w:spacing w:after="140" w:before="0"/>
      </w:pPr>
      <w:r>
        <w:rPr>
          <w:rFonts w:ascii="Arial" w:cs="Arial" w:eastAsia="Arial" w:hAnsi="Arial"/>
          <w:b w:val="false"/>
          <w:bCs w:val="false"/>
          <w:i w:val="false"/>
          <w:iCs w:val="false"/>
          <w:color w:val="111827"/>
          <w:sz w:val="22"/>
          <w:szCs w:val="22"/>
        </w:rPr>
        <w:t xml:space="preserve">Before commencing legal proceedings, the parties agree to attempt to resolve any dispute through good-faith negotiation for at least 30 days. If unresolved, either party may refer the matter to mediation through CEDR (cedr.com) before resorting to litigation.</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18. General</w:t>
      </w:r>
    </w:p>
    <w:p>
      <w:pPr>
        <w:pStyle w:val="ListParagraph"/>
        <w:numPr>
          <w:ilvl w:val="0"/>
          <w:numId w:val="2"/>
        </w:numPr>
        <w:spacing w:after="80" w:before="0"/>
      </w:pPr>
      <w:r>
        <w:rPr>
          <w:rFonts w:ascii="Arial" w:cs="Arial" w:eastAsia="Arial" w:hAnsi="Arial"/>
          <w:color w:val="111827"/>
          <w:sz w:val="22"/>
          <w:szCs w:val="22"/>
        </w:rPr>
        <w:t xml:space="preserve">This Agreement (including all Schedules and the DPA) constitutes the entire agreement between the parties regarding the partner relationship and supersedes all prior agreements.</w:t>
      </w:r>
    </w:p>
    <w:p>
      <w:pPr>
        <w:pStyle w:val="ListParagraph"/>
        <w:numPr>
          <w:ilvl w:val="0"/>
          <w:numId w:val="2"/>
        </w:numPr>
        <w:spacing w:after="80" w:before="0"/>
      </w:pPr>
      <w:r>
        <w:rPr>
          <w:rFonts w:ascii="Arial" w:cs="Arial" w:eastAsia="Arial" w:hAnsi="Arial"/>
          <w:color w:val="111827"/>
          <w:sz w:val="22"/>
          <w:szCs w:val="22"/>
        </w:rPr>
        <w:t xml:space="preserve">No waiver of any right under this Agreement shall be effective unless in writing.</w:t>
      </w:r>
    </w:p>
    <w:p>
      <w:pPr>
        <w:pStyle w:val="ListParagraph"/>
        <w:numPr>
          <w:ilvl w:val="0"/>
          <w:numId w:val="2"/>
        </w:numPr>
        <w:spacing w:after="80" w:before="0"/>
      </w:pPr>
      <w:r>
        <w:rPr>
          <w:rFonts w:ascii="Arial" w:cs="Arial" w:eastAsia="Arial" w:hAnsi="Arial"/>
          <w:color w:val="111827"/>
          <w:sz w:val="22"/>
          <w:szCs w:val="22"/>
        </w:rPr>
        <w:t xml:space="preserve">If any provision is found unenforceable, the remainder continues in full force.</w:t>
      </w:r>
    </w:p>
    <w:p>
      <w:pPr>
        <w:pStyle w:val="ListParagraph"/>
        <w:numPr>
          <w:ilvl w:val="0"/>
          <w:numId w:val="2"/>
        </w:numPr>
        <w:spacing w:after="80" w:before="0"/>
      </w:pPr>
      <w:r>
        <w:rPr>
          <w:rFonts w:ascii="Arial" w:cs="Arial" w:eastAsia="Arial" w:hAnsi="Arial"/>
          <w:color w:val="111827"/>
          <w:sz w:val="22"/>
          <w:szCs w:val="22"/>
        </w:rPr>
        <w:t xml:space="preserve">The Partner may not assign its rights or obligations under this Agreement without Energy Shift’s prior written consent. Energy Shift may assign this Agreement to any affiliate or successor.</w:t>
      </w:r>
    </w:p>
    <w:p>
      <w:pPr>
        <w:pStyle w:val="ListParagraph"/>
        <w:numPr>
          <w:ilvl w:val="0"/>
          <w:numId w:val="2"/>
        </w:numPr>
        <w:spacing w:after="80" w:before="0"/>
      </w:pPr>
      <w:r>
        <w:rPr>
          <w:rFonts w:ascii="Arial" w:cs="Arial" w:eastAsia="Arial" w:hAnsi="Arial"/>
          <w:color w:val="111827"/>
          <w:sz w:val="22"/>
          <w:szCs w:val="22"/>
        </w:rPr>
        <w:t xml:space="preserve">Notices under this Agreement must be in writing and sent by email to the addresses specified herein.</w:t>
      </w:r>
    </w:p>
    <w:p>
      <w:pPr>
        <w:spacing w:after="100" w:before="0"/>
      </w:pPr>
      <w:r>
        <w:t xml:space="preserve"/>
      </w:r>
    </w:p>
    <w:p>
      <w:pPr>
        <w:pStyle w:val="Heading2"/>
        <w:spacing w:after="120" w:before="360"/>
      </w:pPr>
      <w:r>
        <w:rPr>
          <w:rFonts w:ascii="Arial" w:cs="Arial" w:eastAsia="Arial" w:hAnsi="Arial"/>
          <w:b/>
          <w:bCs/>
          <w:color w:val="111827"/>
          <w:sz w:val="26"/>
          <w:szCs w:val="26"/>
        </w:rPr>
        <w:t xml:space="preserve">19. Contact</w:t>
      </w:r>
    </w:p>
    <w:p>
      <w:pPr>
        <w:spacing w:after="140" w:before="0"/>
      </w:pPr>
      <w:r>
        <w:rPr>
          <w:rFonts w:ascii="Arial" w:cs="Arial" w:eastAsia="Arial" w:hAnsi="Arial"/>
          <w:b/>
          <w:bCs/>
          <w:color w:val="111827"/>
          <w:sz w:val="22"/>
          <w:szCs w:val="22"/>
        </w:rPr>
        <w:t xml:space="preserve">Partner relations: </w:t>
      </w:r>
      <w:hyperlink w:history="1" r:id="rIdoghmcfed8ywhmhw0pdtha">
        <w:r>
          <w:rPr>
            <w:rStyle w:val="Hyperlink"/>
            <w:rFonts w:ascii="Arial" w:cs="Arial" w:eastAsia="Arial" w:hAnsi="Arial"/>
            <w:color w:val="5B21B6"/>
            <w:sz w:val="22"/>
            <w:szCs w:val="22"/>
            <w:u w:val="single"/>
          </w:rPr>
          <w:t xml:space="preserve">partners@energyshift.eu</w:t>
        </w:r>
      </w:hyperlink>
    </w:p>
    <w:p>
      <w:pPr>
        <w:spacing w:after="140" w:before="0"/>
      </w:pPr>
      <w:r>
        <w:rPr>
          <w:rFonts w:ascii="Arial" w:cs="Arial" w:eastAsia="Arial" w:hAnsi="Arial"/>
          <w:b/>
          <w:bCs/>
          <w:color w:val="111827"/>
          <w:sz w:val="22"/>
          <w:szCs w:val="22"/>
        </w:rPr>
        <w:t xml:space="preserve">Legal notices: </w:t>
      </w:r>
      <w:hyperlink w:history="1" r:id="rIdocksyou8ozkh3iyi27uhe">
        <w:r>
          <w:rPr>
            <w:rStyle w:val="Hyperlink"/>
            <w:rFonts w:ascii="Arial" w:cs="Arial" w:eastAsia="Arial" w:hAnsi="Arial"/>
            <w:color w:val="5B21B6"/>
            <w:sz w:val="22"/>
            <w:szCs w:val="22"/>
            <w:u w:val="single"/>
          </w:rPr>
          <w:t xml:space="preserve">legal@energyshift.eu</w:t>
        </w:r>
      </w:hyperlink>
    </w:p>
    <w:p>
      <w:pPr>
        <w:spacing w:after="140" w:before="0"/>
      </w:pPr>
      <w:r>
        <w:rPr>
          <w:rFonts w:ascii="Arial" w:cs="Arial" w:eastAsia="Arial" w:hAnsi="Arial"/>
          <w:b w:val="false"/>
          <w:bCs w:val="false"/>
          <w:i w:val="false"/>
          <w:iCs w:val="false"/>
          <w:color w:val="111827"/>
          <w:sz w:val="22"/>
          <w:szCs w:val="22"/>
        </w:rPr>
        <w:t xml:space="preserve">Energy Shift Europe Limited, 124 City Road, London, EC1V 2NX, United Kingdom</w:t>
      </w:r>
    </w:p>
    <w:p>
      <w:pPr>
        <w:spacing w:after="100" w:before="0"/>
      </w:pPr>
      <w:r>
        <w:t xml:space="preserve"/>
      </w:r>
    </w:p>
    <w:p>
      <w:pPr>
        <w:pBdr>
          <w:bottom w:val="single" w:color="E5E7EB" w:sz="4" w:space="1"/>
        </w:pBdr>
        <w:spacing w:after="200" w:before="200"/>
      </w:pPr>
      <w:r>
        <w:t xml:space="preserve"/>
      </w:r>
    </w:p>
    <w:p>
      <w:pPr>
        <w:pStyle w:val="Heading2"/>
        <w:spacing w:after="120" w:before="360"/>
      </w:pPr>
      <w:r>
        <w:rPr>
          <w:rFonts w:ascii="Arial" w:cs="Arial" w:eastAsia="Arial" w:hAnsi="Arial"/>
          <w:b/>
          <w:bCs/>
          <w:color w:val="111827"/>
          <w:sz w:val="26"/>
          <w:szCs w:val="26"/>
        </w:rPr>
        <w:t xml:space="preserve">Schedule 1 — Commercial Terms</w:t>
      </w:r>
    </w:p>
    <w:p>
      <w:pPr>
        <w:spacing w:after="140" w:before="0"/>
      </w:pPr>
      <w:r>
        <w:rPr>
          <w:rFonts w:ascii="Arial" w:cs="Arial" w:eastAsia="Arial" w:hAnsi="Arial"/>
          <w:b w:val="false"/>
          <w:bCs w:val="false"/>
          <w:i w:val="false"/>
          <w:iCs w:val="false"/>
          <w:color w:val="111827"/>
          <w:sz w:val="22"/>
          <w:szCs w:val="22"/>
        </w:rPr>
        <w:t xml:space="preserve">This Schedule sets out the commercial terms agreed between Energy Shift Europe Limited and the Partner. Where this Schedule is blank, the standard published pricing for the Partner’s account tier applies and is incorporated by reference.</w:t>
      </w:r>
    </w:p>
    <w:p>
      <w:pPr>
        <w:spacing w:after="100" w:before="0"/>
      </w:pPr>
      <w:r>
        <w:t xml:space="preserve"/>
      </w:r>
    </w:p>
    <w:p>
      <w:pPr>
        <w:spacing w:after="140" w:before="0"/>
      </w:pPr>
      <w:r>
        <w:rPr>
          <w:rFonts w:ascii="Arial" w:cs="Arial" w:eastAsia="Arial" w:hAnsi="Arial"/>
          <w:b w:val="false"/>
          <w:bCs w:val="false"/>
          <w:i w:val="false"/>
          <w:iCs w:val="false"/>
          <w:color w:val="111827"/>
          <w:sz w:val="22"/>
          <w:szCs w:val="22"/>
        </w:rPr>
        <w:t xml:space="preserve">Partner company name: ___________________________________</w:t>
      </w:r>
    </w:p>
    <w:p>
      <w:pPr>
        <w:spacing w:after="140" w:before="0"/>
      </w:pPr>
      <w:r>
        <w:rPr>
          <w:rFonts w:ascii="Arial" w:cs="Arial" w:eastAsia="Arial" w:hAnsi="Arial"/>
          <w:b w:val="false"/>
          <w:bCs w:val="false"/>
          <w:i w:val="false"/>
          <w:iCs w:val="false"/>
          <w:color w:val="111827"/>
          <w:sz w:val="22"/>
          <w:szCs w:val="22"/>
        </w:rPr>
        <w:t xml:space="preserve">Partner type (Utility / Fuel / Retail): ___________________________________</w:t>
      </w:r>
    </w:p>
    <w:p>
      <w:pPr>
        <w:spacing w:after="140" w:before="0"/>
      </w:pPr>
      <w:r>
        <w:rPr>
          <w:rFonts w:ascii="Arial" w:cs="Arial" w:eastAsia="Arial" w:hAnsi="Arial"/>
          <w:b w:val="false"/>
          <w:bCs w:val="false"/>
          <w:i w:val="false"/>
          <w:iCs w:val="false"/>
          <w:color w:val="111827"/>
          <w:sz w:val="22"/>
          <w:szCs w:val="22"/>
        </w:rPr>
        <w:t xml:space="preserve">Account tier (Starter / Growth / Enterprise): ___________________________________</w:t>
      </w:r>
    </w:p>
    <w:p>
      <w:pPr>
        <w:spacing w:after="140" w:before="0"/>
      </w:pPr>
      <w:r>
        <w:rPr>
          <w:rFonts w:ascii="Arial" w:cs="Arial" w:eastAsia="Arial" w:hAnsi="Arial"/>
          <w:b w:val="false"/>
          <w:bCs w:val="false"/>
          <w:i w:val="false"/>
          <w:iCs w:val="false"/>
          <w:color w:val="111827"/>
          <w:sz w:val="22"/>
          <w:szCs w:val="22"/>
        </w:rPr>
        <w:t xml:space="preserve">Monthly platform fee: ___________________________________</w:t>
      </w:r>
    </w:p>
    <w:p>
      <w:pPr>
        <w:spacing w:after="140" w:before="0"/>
      </w:pPr>
      <w:r>
        <w:rPr>
          <w:rFonts w:ascii="Arial" w:cs="Arial" w:eastAsia="Arial" w:hAnsi="Arial"/>
          <w:b w:val="false"/>
          <w:bCs w:val="false"/>
          <w:i w:val="false"/>
          <w:iCs w:val="false"/>
          <w:color w:val="111827"/>
          <w:sz w:val="22"/>
          <w:szCs w:val="22"/>
        </w:rPr>
        <w:t xml:space="preserve">Transaction fee per redemption: ___________________________________</w:t>
      </w:r>
    </w:p>
    <w:p>
      <w:pPr>
        <w:spacing w:after="140" w:before="0"/>
      </w:pPr>
      <w:r>
        <w:rPr>
          <w:rFonts w:ascii="Arial" w:cs="Arial" w:eastAsia="Arial" w:hAnsi="Arial"/>
          <w:b w:val="false"/>
          <w:bCs w:val="false"/>
          <w:i w:val="false"/>
          <w:iCs w:val="false"/>
          <w:color w:val="111827"/>
          <w:sz w:val="22"/>
          <w:szCs w:val="22"/>
        </w:rPr>
        <w:t xml:space="preserve">Revenue share percentage: ___________________________________</w:t>
      </w:r>
    </w:p>
    <w:p>
      <w:pPr>
        <w:spacing w:after="140" w:before="0"/>
      </w:pPr>
      <w:r>
        <w:rPr>
          <w:rFonts w:ascii="Arial" w:cs="Arial" w:eastAsia="Arial" w:hAnsi="Arial"/>
          <w:b w:val="false"/>
          <w:bCs w:val="false"/>
          <w:i w:val="false"/>
          <w:iCs w:val="false"/>
          <w:color w:val="111827"/>
          <w:sz w:val="22"/>
          <w:szCs w:val="22"/>
        </w:rPr>
        <w:t xml:space="preserve">Monthly volume cap: ___________________________________</w:t>
      </w:r>
    </w:p>
    <w:p>
      <w:pPr>
        <w:spacing w:after="140" w:before="0"/>
      </w:pPr>
      <w:r>
        <w:rPr>
          <w:rFonts w:ascii="Arial" w:cs="Arial" w:eastAsia="Arial" w:hAnsi="Arial"/>
          <w:b w:val="false"/>
          <w:bCs w:val="false"/>
          <w:i w:val="false"/>
          <w:iCs w:val="false"/>
          <w:color w:val="111827"/>
          <w:sz w:val="22"/>
          <w:szCs w:val="22"/>
        </w:rPr>
        <w:t xml:space="preserve">SLA (uptime / response time): ___________________________________</w:t>
      </w:r>
    </w:p>
    <w:p>
      <w:pPr>
        <w:spacing w:after="140" w:before="0"/>
      </w:pPr>
      <w:r>
        <w:rPr>
          <w:rFonts w:ascii="Arial" w:cs="Arial" w:eastAsia="Arial" w:hAnsi="Arial"/>
          <w:b w:val="false"/>
          <w:bCs w:val="false"/>
          <w:i w:val="false"/>
          <w:iCs w:val="false"/>
          <w:color w:val="111827"/>
          <w:sz w:val="22"/>
          <w:szCs w:val="22"/>
        </w:rPr>
        <w:t xml:space="preserve">Special terms: ___________________________________</w:t>
      </w:r>
    </w:p>
    <w:p>
      <w:pPr>
        <w:spacing w:after="100" w:before="0"/>
      </w:pPr>
      <w:r>
        <w:t xml:space="preserve"/>
      </w:r>
    </w:p>
    <w:p>
      <w:pPr>
        <w:spacing w:after="100" w:before="0"/>
      </w:pPr>
      <w:r>
        <w:t xml:space="preserve"/>
      </w:r>
    </w:p>
    <w:p>
      <w:pPr>
        <w:spacing w:after="100" w:before="0"/>
      </w:pPr>
      <w:r>
        <w:t xml:space="preserve"/>
      </w:r>
    </w:p>
    <w:p>
      <w:pPr>
        <w:spacing w:after="80" w:before="240"/>
      </w:pPr>
      <w:r>
        <w:rPr>
          <w:rFonts w:ascii="Arial" w:cs="Arial" w:eastAsia="Arial" w:hAnsi="Arial"/>
          <w:b/>
          <w:bCs/>
          <w:color w:val="111827"/>
          <w:sz w:val="22"/>
          <w:szCs w:val="22"/>
        </w:rPr>
        <w:t xml:space="preserve">Signed for and on behalf of Energy Shift Europe Limited</w:t>
      </w:r>
    </w:p>
    <w:p>
      <w:pPr>
        <w:spacing w:after="100" w:before="0"/>
      </w:pPr>
      <w:r>
        <w:t xml:space="preserve"/>
      </w:r>
    </w:p>
    <w:p>
      <w:pPr>
        <w:spacing w:after="140" w:before="0"/>
      </w:pPr>
      <w:r>
        <w:rPr>
          <w:rFonts w:ascii="Arial" w:cs="Arial" w:eastAsia="Arial" w:hAnsi="Arial"/>
          <w:b w:val="false"/>
          <w:bCs w:val="false"/>
          <w:i w:val="false"/>
          <w:iCs w:val="false"/>
          <w:color w:val="111827"/>
          <w:sz w:val="22"/>
          <w:szCs w:val="22"/>
        </w:rPr>
        <w:t xml:space="preserve">Signature: ___________________________________</w:t>
      </w:r>
    </w:p>
    <w:p>
      <w:pPr>
        <w:spacing w:after="140" w:before="0"/>
      </w:pPr>
      <w:r>
        <w:rPr>
          <w:rFonts w:ascii="Arial" w:cs="Arial" w:eastAsia="Arial" w:hAnsi="Arial"/>
          <w:b w:val="false"/>
          <w:bCs w:val="false"/>
          <w:i w:val="false"/>
          <w:iCs w:val="false"/>
          <w:color w:val="111827"/>
          <w:sz w:val="22"/>
          <w:szCs w:val="22"/>
        </w:rPr>
        <w:t xml:space="preserve">Name: ___________________________________</w:t>
      </w:r>
    </w:p>
    <w:p>
      <w:pPr>
        <w:spacing w:after="140" w:before="0"/>
      </w:pPr>
      <w:r>
        <w:rPr>
          <w:rFonts w:ascii="Arial" w:cs="Arial" w:eastAsia="Arial" w:hAnsi="Arial"/>
          <w:b w:val="false"/>
          <w:bCs w:val="false"/>
          <w:i w:val="false"/>
          <w:iCs w:val="false"/>
          <w:color w:val="111827"/>
          <w:sz w:val="22"/>
          <w:szCs w:val="22"/>
        </w:rPr>
        <w:t xml:space="preserve">Title: ___________________________________</w:t>
      </w:r>
    </w:p>
    <w:p>
      <w:pPr>
        <w:spacing w:after="140" w:before="0"/>
      </w:pPr>
      <w:r>
        <w:rPr>
          <w:rFonts w:ascii="Arial" w:cs="Arial" w:eastAsia="Arial" w:hAnsi="Arial"/>
          <w:b w:val="false"/>
          <w:bCs w:val="false"/>
          <w:i w:val="false"/>
          <w:iCs w:val="false"/>
          <w:color w:val="111827"/>
          <w:sz w:val="22"/>
          <w:szCs w:val="22"/>
        </w:rPr>
        <w:t xml:space="preserve">Date: ___________________________________</w:t>
      </w:r>
    </w:p>
    <w:p>
      <w:pPr>
        <w:spacing w:after="100" w:before="0"/>
      </w:pPr>
      <w:r>
        <w:t xml:space="preserve"/>
      </w:r>
    </w:p>
    <w:p>
      <w:pPr>
        <w:spacing w:after="100" w:before="0"/>
      </w:pPr>
      <w:r>
        <w:t xml:space="preserve"/>
      </w:r>
    </w:p>
    <w:p>
      <w:pPr>
        <w:spacing w:after="80" w:before="240"/>
      </w:pPr>
      <w:r>
        <w:rPr>
          <w:rFonts w:ascii="Arial" w:cs="Arial" w:eastAsia="Arial" w:hAnsi="Arial"/>
          <w:b/>
          <w:bCs/>
          <w:color w:val="111827"/>
          <w:sz w:val="22"/>
          <w:szCs w:val="22"/>
        </w:rPr>
        <w:t xml:space="preserve">Signed for and on behalf of the Partner</w:t>
      </w:r>
    </w:p>
    <w:p>
      <w:pPr>
        <w:spacing w:after="100" w:before="0"/>
      </w:pPr>
      <w:r>
        <w:t xml:space="preserve"/>
      </w:r>
    </w:p>
    <w:p>
      <w:pPr>
        <w:spacing w:after="140" w:before="0"/>
      </w:pPr>
      <w:r>
        <w:rPr>
          <w:rFonts w:ascii="Arial" w:cs="Arial" w:eastAsia="Arial" w:hAnsi="Arial"/>
          <w:b w:val="false"/>
          <w:bCs w:val="false"/>
          <w:i w:val="false"/>
          <w:iCs w:val="false"/>
          <w:color w:val="111827"/>
          <w:sz w:val="22"/>
          <w:szCs w:val="22"/>
        </w:rPr>
        <w:t xml:space="preserve">Signature: ___________________________________</w:t>
      </w:r>
    </w:p>
    <w:p>
      <w:pPr>
        <w:spacing w:after="140" w:before="0"/>
      </w:pPr>
      <w:r>
        <w:rPr>
          <w:rFonts w:ascii="Arial" w:cs="Arial" w:eastAsia="Arial" w:hAnsi="Arial"/>
          <w:b w:val="false"/>
          <w:bCs w:val="false"/>
          <w:i w:val="false"/>
          <w:iCs w:val="false"/>
          <w:color w:val="111827"/>
          <w:sz w:val="22"/>
          <w:szCs w:val="22"/>
        </w:rPr>
        <w:t xml:space="preserve">Name: ___________________________________</w:t>
      </w:r>
    </w:p>
    <w:p>
      <w:pPr>
        <w:spacing w:after="140" w:before="0"/>
      </w:pPr>
      <w:r>
        <w:rPr>
          <w:rFonts w:ascii="Arial" w:cs="Arial" w:eastAsia="Arial" w:hAnsi="Arial"/>
          <w:b w:val="false"/>
          <w:bCs w:val="false"/>
          <w:i w:val="false"/>
          <w:iCs w:val="false"/>
          <w:color w:val="111827"/>
          <w:sz w:val="22"/>
          <w:szCs w:val="22"/>
        </w:rPr>
        <w:t xml:space="preserve">Title: ___________________________________</w:t>
      </w:r>
    </w:p>
    <w:p>
      <w:pPr>
        <w:spacing w:after="140" w:before="0"/>
      </w:pPr>
      <w:r>
        <w:rPr>
          <w:rFonts w:ascii="Arial" w:cs="Arial" w:eastAsia="Arial" w:hAnsi="Arial"/>
          <w:b w:val="false"/>
          <w:bCs w:val="false"/>
          <w:i w:val="false"/>
          <w:iCs w:val="false"/>
          <w:color w:val="111827"/>
          <w:sz w:val="22"/>
          <w:szCs w:val="22"/>
        </w:rPr>
        <w:t xml:space="preserve">Company: ___________________________________</w:t>
      </w:r>
    </w:p>
    <w:p>
      <w:pPr>
        <w:spacing w:after="140" w:before="0"/>
      </w:pPr>
      <w:r>
        <w:rPr>
          <w:rFonts w:ascii="Arial" w:cs="Arial" w:eastAsia="Arial" w:hAnsi="Arial"/>
          <w:b w:val="false"/>
          <w:bCs w:val="false"/>
          <w:i w:val="false"/>
          <w:iCs w:val="false"/>
          <w:color w:val="111827"/>
          <w:sz w:val="22"/>
          <w:szCs w:val="22"/>
        </w:rPr>
        <w:t xml:space="preserve">Date: ___________________________________</w:t>
      </w:r>
    </w:p>
    <w:p>
      <w:pPr>
        <w:spacing w:after="100" w:before="0"/>
      </w:pPr>
      <w:r>
        <w:t xml:space="preserve"/>
      </w:r>
    </w:p>
    <w:p>
      <w:pPr>
        <w:pBdr>
          <w:bottom w:val="single" w:color="E5E7EB" w:sz="4" w:space="1"/>
        </w:pBdr>
        <w:spacing w:after="200" w:before="200"/>
      </w:pPr>
      <w:r>
        <w:t xml:space="preserve"/>
      </w:r>
    </w:p>
    <w:p>
      <w:pPr>
        <w:spacing w:after="140" w:before="0"/>
      </w:pPr>
      <w:r>
        <w:rPr>
          <w:rFonts w:ascii="Arial" w:cs="Arial" w:eastAsia="Arial" w:hAnsi="Arial"/>
          <w:b w:val="false"/>
          <w:bCs w:val="false"/>
          <w:i w:val="false"/>
          <w:iCs w:val="false"/>
          <w:color w:val="6B7280"/>
          <w:sz w:val="22"/>
          <w:szCs w:val="22"/>
        </w:rPr>
        <w:t xml:space="preserve">© 2026 Energy Shift Europe Limited. All rights reserved.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Jc w:val="left"/>
      <w:pPr>
        <w:ind w:left="360" w:hanging="180"/>
      </w:pPr>
    </w:lvl>
    <w:lvl w:ilvl="1" w15:tentative="1">
      <w:start w:val="1"/>
      <w:numFmt w:val="bullet"/>
      <w:lvlText w:val="◦"/>
      <w:lvlJc w:val="left"/>
      <w:pPr>
        <w:ind w:left="1080" w:hanging="360"/>
      </w:pPr>
    </w:lvl>
  </w:abstractNum>
  <w:abstractNum w:abstractNumId="4"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827"/>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00"/>
      <w:outlineLvl w:val="0"/>
    </w:pPr>
    <w:rPr>
      <w:rFonts w:ascii="Arial" w:cs="Arial" w:eastAsia="Arial" w:hAnsi="Arial"/>
      <w:b/>
      <w:bCs/>
      <w:color w:val="5B21B6"/>
      <w:sz w:val="36"/>
      <w:szCs w:val="36"/>
    </w:rPr>
  </w:style>
  <w:style w:type="paragraph" w:styleId="Heading2">
    <w:name w:val="Heading 2"/>
    <w:basedOn w:val="Normal"/>
    <w:next w:val="Normal"/>
    <w:qFormat/>
    <w:pPr>
      <w:spacing w:after="120" w:before="320"/>
      <w:outlineLvl w:val="1"/>
    </w:pPr>
    <w:rPr>
      <w:rFonts w:ascii="Arial" w:cs="Arial" w:eastAsia="Arial" w:hAnsi="Arial"/>
      <w:b/>
      <w:bCs/>
      <w:color w:val="111827"/>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oghmcfed8ywhmhw0pdtha" Type="http://schemas.openxmlformats.org/officeDocument/2006/relationships/hyperlink" Target="mailto:partners@energyshift.eu" TargetMode="External"/><Relationship Id="rIdocksyou8ozkh3iyi27uhe" Type="http://schemas.openxmlformats.org/officeDocument/2006/relationships/hyperlink" Target="mailto:legal@energyshift.eu"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2026-03-21T12:34:16.630Z</dcterms:created>
  <dcterms:modified xsi:type="dcterms:W3CDTF">2026-03-21T12:34:16.631Z</dcterms:modified>
</cp:coreProperties>
</file>

<file path=docProps/custom.xml><?xml version="1.0" encoding="utf-8"?>
<Properties xmlns="http://schemas.openxmlformats.org/officeDocument/2006/custom-properties" xmlns:vt="http://schemas.openxmlformats.org/officeDocument/2006/docPropsVTypes"/>
</file>