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5B21B6"/>
          <w:sz w:val="52"/>
          <w:szCs w:val="52"/>
        </w:rPr>
        <w:t xml:space="preserve">Energy Shift</w:t>
      </w:r>
    </w:p>
    <w:p>
      <w:pPr>
        <w:spacing w:after="80" w:before="0"/>
      </w:pPr>
      <w:r>
        <w:rPr>
          <w:rFonts w:ascii="Arial" w:cs="Arial" w:eastAsia="Arial" w:hAnsi="Arial"/>
          <w:b/>
          <w:bCs/>
          <w:color w:val="111827"/>
          <w:sz w:val="40"/>
          <w:szCs w:val="40"/>
        </w:rPr>
        <w:t xml:space="preserve">Data Processing Agreement</w:t>
      </w:r>
    </w:p>
    <w:p>
      <w:pPr>
        <w:spacing w:after="80" w:before="0"/>
      </w:pPr>
      <w:r>
        <w:rPr>
          <w:rFonts w:ascii="Arial" w:cs="Arial" w:eastAsia="Arial" w:hAnsi="Arial"/>
          <w:i/>
          <w:iCs/>
          <w:color w:val="6B7280"/>
          <w:sz w:val="24"/>
          <w:szCs w:val="24"/>
        </w:rPr>
        <w:t xml:space="preserve">Between Energy Shift Europe Limited (Processor) and the Partner (Controller)</w:t>
      </w:r>
    </w:p>
    <w:p>
      <w:pPr>
        <w:spacing w:after="320" w:before="0"/>
      </w:pPr>
      <w:r>
        <w:rPr>
          <w:rFonts w:ascii="Arial" w:cs="Arial" w:eastAsia="Arial" w:hAnsi="Arial"/>
          <w:color w:val="6B7280"/>
          <w:sz w:val="20"/>
          <w:szCs w:val="20"/>
        </w:rPr>
        <w:t xml:space="preserve">Last updated: 21 March 2026  ·  Version 1.0</w:t>
      </w:r>
    </w:p>
    <w:p>
      <w:pPr>
        <w:pBdr>
          <w:bottom w:val="single" w:color="E5E7EB" w:sz="4" w:space="1"/>
        </w:pBdr>
        <w:spacing w:after="200" w:before="200"/>
      </w:pPr>
      <w:r>
        <w:t xml:space="preserve"/>
      </w:r>
    </w:p>
    <w:p>
      <w:pPr>
        <w:spacing w:after="140" w:before="0"/>
      </w:pPr>
      <w:r>
        <w:rPr>
          <w:rFonts w:ascii="Arial" w:cs="Arial" w:eastAsia="Arial" w:hAnsi="Arial"/>
          <w:b w:val="false"/>
          <w:bCs w:val="false"/>
          <w:i w:val="false"/>
          <w:iCs w:val="false"/>
          <w:color w:val="111827"/>
          <w:sz w:val="22"/>
          <w:szCs w:val="22"/>
        </w:rPr>
        <w:t xml:space="preserve">This Data Processing Agreement (“DPA”) is entered into between Energy Shift Europe Limited (“Energy Shift” or “Processor”) and the entity named in the signature block below (“Partner” or “Controller”).</w:t>
      </w:r>
    </w:p>
    <w:p>
      <w:pPr>
        <w:spacing w:after="140" w:before="0"/>
      </w:pPr>
      <w:r>
        <w:rPr>
          <w:rFonts w:ascii="Arial" w:cs="Arial" w:eastAsia="Arial" w:hAnsi="Arial"/>
          <w:b w:val="false"/>
          <w:bCs w:val="false"/>
          <w:i w:val="false"/>
          <w:iCs w:val="false"/>
          <w:color w:val="111827"/>
          <w:sz w:val="22"/>
          <w:szCs w:val="22"/>
        </w:rPr>
        <w:t xml:space="preserve">This DPA forms part of and is incorporated into the Partner Terms and Conditions between the parties. In the event of conflict between this DPA and the Partner Terms, this DPA shall prevail in respect of data protection matters.</w:t>
      </w:r>
    </w:p>
    <w:p>
      <w:pPr>
        <w:spacing w:after="140" w:before="0"/>
      </w:pPr>
      <w:r>
        <w:rPr>
          <w:rFonts w:ascii="Arial" w:cs="Arial" w:eastAsia="Arial" w:hAnsi="Arial"/>
          <w:b w:val="false"/>
          <w:bCs w:val="false"/>
          <w:i w:val="false"/>
          <w:iCs w:val="false"/>
          <w:color w:val="111827"/>
          <w:sz w:val="22"/>
          <w:szCs w:val="22"/>
        </w:rPr>
        <w:t xml:space="preserve">This DPA is required by UK GDPR Article 28 and EU GDPR Article 28, which mandate a written contract between a data controller and any data processor it appoints. By executing the Partner Terms and Conditions, the Partner also agrees to the terms of this DPA.</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 Definitions</w:t>
      </w:r>
    </w:p>
    <w:p>
      <w:pPr>
        <w:spacing w:after="140" w:before="0"/>
      </w:pPr>
      <w:r>
        <w:rPr>
          <w:rFonts w:ascii="Arial" w:cs="Arial" w:eastAsia="Arial" w:hAnsi="Arial"/>
          <w:b w:val="false"/>
          <w:bCs w:val="false"/>
          <w:i w:val="false"/>
          <w:iCs w:val="false"/>
          <w:color w:val="111827"/>
          <w:sz w:val="22"/>
          <w:szCs w:val="22"/>
        </w:rPr>
        <w:t xml:space="preserve">In this DPA, the following terms have the meanings given below. Terms defined in UK GDPR or EU GDPR and not defined here have the meanings given in those regulations.</w:t>
      </w:r>
    </w:p>
    <w:p>
      <w:pPr>
        <w:pStyle w:val="ListParagraph"/>
        <w:numPr>
          <w:ilvl w:val="0"/>
          <w:numId w:val="2"/>
        </w:numPr>
        <w:spacing w:after="80" w:before="0"/>
      </w:pPr>
      <w:r>
        <w:rPr>
          <w:rFonts w:ascii="Arial" w:cs="Arial" w:eastAsia="Arial" w:hAnsi="Arial"/>
          <w:color w:val="111827"/>
          <w:sz w:val="22"/>
          <w:szCs w:val="22"/>
        </w:rPr>
        <w:t xml:space="preserve">"Applicable Data Protection Law" means UK GDPR and the Data Protection Act 2018 (as applicable to the Processor); EU GDPR (as applicable to the Controller if established in the EEA); and any other data protection legislation applicable to either party.</w:t>
      </w:r>
    </w:p>
    <w:p>
      <w:pPr>
        <w:pStyle w:val="ListParagraph"/>
        <w:numPr>
          <w:ilvl w:val="0"/>
          <w:numId w:val="2"/>
        </w:numPr>
        <w:spacing w:after="80" w:before="0"/>
      </w:pPr>
      <w:r>
        <w:rPr>
          <w:rFonts w:ascii="Arial" w:cs="Arial" w:eastAsia="Arial" w:hAnsi="Arial"/>
          <w:color w:val="111827"/>
          <w:sz w:val="22"/>
          <w:szCs w:val="22"/>
        </w:rPr>
        <w:t xml:space="preserve">"Controller" means the Partner, who determines the purposes and means of processing the Personal Data of its customers and end users.</w:t>
      </w:r>
    </w:p>
    <w:p>
      <w:pPr>
        <w:pStyle w:val="ListParagraph"/>
        <w:numPr>
          <w:ilvl w:val="0"/>
          <w:numId w:val="2"/>
        </w:numPr>
        <w:spacing w:after="80" w:before="0"/>
      </w:pPr>
      <w:r>
        <w:rPr>
          <w:rFonts w:ascii="Arial" w:cs="Arial" w:eastAsia="Arial" w:hAnsi="Arial"/>
          <w:color w:val="111827"/>
          <w:sz w:val="22"/>
          <w:szCs w:val="22"/>
        </w:rPr>
        <w:t xml:space="preserve">"Data Subject" means an identified or identifiable natural person whose Personal Data is processed under this DPA.</w:t>
      </w:r>
    </w:p>
    <w:p>
      <w:pPr>
        <w:pStyle w:val="ListParagraph"/>
        <w:numPr>
          <w:ilvl w:val="0"/>
          <w:numId w:val="2"/>
        </w:numPr>
        <w:spacing w:after="80" w:before="0"/>
      </w:pPr>
      <w:r>
        <w:rPr>
          <w:rFonts w:ascii="Arial" w:cs="Arial" w:eastAsia="Arial" w:hAnsi="Arial"/>
          <w:color w:val="111827"/>
          <w:sz w:val="22"/>
          <w:szCs w:val="22"/>
        </w:rPr>
        <w:t xml:space="preserve">"EU GDPR" means Regulation (EU) 2016/679 of the European Parliament and of the Council.</w:t>
      </w:r>
    </w:p>
    <w:p>
      <w:pPr>
        <w:pStyle w:val="ListParagraph"/>
        <w:numPr>
          <w:ilvl w:val="0"/>
          <w:numId w:val="2"/>
        </w:numPr>
        <w:spacing w:after="80" w:before="0"/>
      </w:pPr>
      <w:r>
        <w:rPr>
          <w:rFonts w:ascii="Arial" w:cs="Arial" w:eastAsia="Arial" w:hAnsi="Arial"/>
          <w:color w:val="111827"/>
          <w:sz w:val="22"/>
          <w:szCs w:val="22"/>
        </w:rPr>
        <w:t xml:space="preserve">"Personal Data" has the meaning given in Applicable Data Protection Law: any information relating to an identified or identifiable natural person.</w:t>
      </w:r>
    </w:p>
    <w:p>
      <w:pPr>
        <w:pStyle w:val="ListParagraph"/>
        <w:numPr>
          <w:ilvl w:val="0"/>
          <w:numId w:val="2"/>
        </w:numPr>
        <w:spacing w:after="80" w:before="0"/>
      </w:pPr>
      <w:r>
        <w:rPr>
          <w:rFonts w:ascii="Arial" w:cs="Arial" w:eastAsia="Arial" w:hAnsi="Arial"/>
          <w:color w:val="111827"/>
          <w:sz w:val="22"/>
          <w:szCs w:val="22"/>
        </w:rPr>
        <w:t xml:space="preserve">"Personal Data Breach" means a breach of security leading to the accidental or unlawful destruction, loss, alteration, unauthorised disclosure of, or access to, Personal Data.</w:t>
      </w:r>
    </w:p>
    <w:p>
      <w:pPr>
        <w:pStyle w:val="ListParagraph"/>
        <w:numPr>
          <w:ilvl w:val="0"/>
          <w:numId w:val="2"/>
        </w:numPr>
        <w:spacing w:after="80" w:before="0"/>
      </w:pPr>
      <w:r>
        <w:rPr>
          <w:rFonts w:ascii="Arial" w:cs="Arial" w:eastAsia="Arial" w:hAnsi="Arial"/>
          <w:color w:val="111827"/>
          <w:sz w:val="22"/>
          <w:szCs w:val="22"/>
        </w:rPr>
        <w:t xml:space="preserve">"Processing" has the meaning given in Applicable Data Protection Law and includes any operation or set of operations performed on Personal Data.</w:t>
      </w:r>
    </w:p>
    <w:p>
      <w:pPr>
        <w:pStyle w:val="ListParagraph"/>
        <w:numPr>
          <w:ilvl w:val="0"/>
          <w:numId w:val="2"/>
        </w:numPr>
        <w:spacing w:after="80" w:before="0"/>
      </w:pPr>
      <w:r>
        <w:rPr>
          <w:rFonts w:ascii="Arial" w:cs="Arial" w:eastAsia="Arial" w:hAnsi="Arial"/>
          <w:color w:val="111827"/>
          <w:sz w:val="22"/>
          <w:szCs w:val="22"/>
        </w:rPr>
        <w:t xml:space="preserve">"Processor" means Energy Shift Europe Limited, which processes Personal Data on behalf of and on the documented instructions of the Controller.</w:t>
      </w:r>
    </w:p>
    <w:p>
      <w:pPr>
        <w:pStyle w:val="ListParagraph"/>
        <w:numPr>
          <w:ilvl w:val="0"/>
          <w:numId w:val="2"/>
        </w:numPr>
        <w:spacing w:after="80" w:before="0"/>
      </w:pPr>
      <w:r>
        <w:rPr>
          <w:rFonts w:ascii="Arial" w:cs="Arial" w:eastAsia="Arial" w:hAnsi="Arial"/>
          <w:color w:val="111827"/>
          <w:sz w:val="22"/>
          <w:szCs w:val="22"/>
        </w:rPr>
        <w:t xml:space="preserve">"Standard Contractual Clauses" or "SCCs" means the standard contractual clauses for the transfer of personal data to third countries as approved by the European Commission (2021/914).</w:t>
      </w:r>
    </w:p>
    <w:p>
      <w:pPr>
        <w:pStyle w:val="ListParagraph"/>
        <w:numPr>
          <w:ilvl w:val="0"/>
          <w:numId w:val="2"/>
        </w:numPr>
        <w:spacing w:after="80" w:before="0"/>
      </w:pPr>
      <w:r>
        <w:rPr>
          <w:rFonts w:ascii="Arial" w:cs="Arial" w:eastAsia="Arial" w:hAnsi="Arial"/>
          <w:color w:val="111827"/>
          <w:sz w:val="22"/>
          <w:szCs w:val="22"/>
        </w:rPr>
        <w:t xml:space="preserve">"Sub-Processor" means any third party appointed by the Processor to carry out specific processing activities on behalf of the Controller.</w:t>
      </w:r>
    </w:p>
    <w:p>
      <w:pPr>
        <w:pStyle w:val="ListParagraph"/>
        <w:numPr>
          <w:ilvl w:val="0"/>
          <w:numId w:val="2"/>
        </w:numPr>
        <w:spacing w:after="80" w:before="0"/>
      </w:pPr>
      <w:r>
        <w:rPr>
          <w:rFonts w:ascii="Arial" w:cs="Arial" w:eastAsia="Arial" w:hAnsi="Arial"/>
          <w:color w:val="111827"/>
          <w:sz w:val="22"/>
          <w:szCs w:val="22"/>
        </w:rPr>
        <w:t xml:space="preserve">"UK GDPR" means EU GDPR as retained in UK law by the European Union (Withdrawal) Act 2018 and amended by the Data Protection, Privacy and Electronic Communications (Amendments etc.) (EU Exit) Regulations 2019.</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2. Roles of the Parties</w:t>
      </w:r>
    </w:p>
    <w:p>
      <w:pPr>
        <w:spacing w:after="140" w:before="0"/>
      </w:pPr>
      <w:r>
        <w:rPr>
          <w:rFonts w:ascii="Arial" w:cs="Arial" w:eastAsia="Arial" w:hAnsi="Arial"/>
          <w:b w:val="false"/>
          <w:bCs w:val="false"/>
          <w:i w:val="false"/>
          <w:iCs w:val="false"/>
          <w:color w:val="111827"/>
          <w:sz w:val="22"/>
          <w:szCs w:val="22"/>
        </w:rPr>
        <w:t xml:space="preserve">The parties acknowledge and agree that:</w:t>
      </w:r>
    </w:p>
    <w:p>
      <w:pPr>
        <w:pStyle w:val="ListParagraph"/>
        <w:numPr>
          <w:ilvl w:val="0"/>
          <w:numId w:val="2"/>
        </w:numPr>
        <w:spacing w:after="80" w:before="0"/>
      </w:pPr>
      <w:r>
        <w:rPr>
          <w:rFonts w:ascii="Arial" w:cs="Arial" w:eastAsia="Arial" w:hAnsi="Arial"/>
          <w:color w:val="111827"/>
          <w:sz w:val="22"/>
          <w:szCs w:val="22"/>
        </w:rPr>
        <w:t xml:space="preserve">The Controller determines the purposes and means of processing Personal Data relating to its customers and end users who interact with Energy Shift vouchers or the Energy Shift platform on the Controller’s behalf.</w:t>
      </w:r>
    </w:p>
    <w:p>
      <w:pPr>
        <w:pStyle w:val="ListParagraph"/>
        <w:numPr>
          <w:ilvl w:val="0"/>
          <w:numId w:val="2"/>
        </w:numPr>
        <w:spacing w:after="80" w:before="0"/>
      </w:pPr>
      <w:r>
        <w:rPr>
          <w:rFonts w:ascii="Arial" w:cs="Arial" w:eastAsia="Arial" w:hAnsi="Arial"/>
          <w:color w:val="111827"/>
          <w:sz w:val="22"/>
          <w:szCs w:val="22"/>
        </w:rPr>
        <w:t xml:space="preserve">The Processor processes such Personal Data only on the documented instructions of the Controller and solely for the purposes of providing the services described in this DPA and the Partner Terms.</w:t>
      </w:r>
    </w:p>
    <w:p>
      <w:pPr>
        <w:pStyle w:val="ListParagraph"/>
        <w:numPr>
          <w:ilvl w:val="0"/>
          <w:numId w:val="2"/>
        </w:numPr>
        <w:spacing w:after="80" w:before="0"/>
      </w:pPr>
      <w:r>
        <w:rPr>
          <w:rFonts w:ascii="Arial" w:cs="Arial" w:eastAsia="Arial" w:hAnsi="Arial"/>
          <w:color w:val="111827"/>
          <w:sz w:val="22"/>
          <w:szCs w:val="22"/>
        </w:rPr>
        <w:t xml:space="preserve">In respect of Consumer Personal Data that Energy Shift processes in connection with its own consumer platform (independent of any Partner instruction), Energy Shift acts as a separate data controller. The separate controller relationship is governed by Energy Shift’s Consumer Privacy Policy. This DPA does not govern that processing.</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3. Details of Processing</w:t>
      </w:r>
    </w:p>
    <w:p>
      <w:pPr>
        <w:spacing w:after="80" w:before="240"/>
      </w:pPr>
      <w:r>
        <w:rPr>
          <w:rFonts w:ascii="Arial" w:cs="Arial" w:eastAsia="Arial" w:hAnsi="Arial"/>
          <w:b/>
          <w:bCs/>
          <w:color w:val="111827"/>
          <w:sz w:val="22"/>
          <w:szCs w:val="22"/>
        </w:rPr>
        <w:t xml:space="preserve">3.1  Subject matter</w:t>
      </w:r>
    </w:p>
    <w:p>
      <w:pPr>
        <w:spacing w:after="140" w:before="0"/>
      </w:pPr>
      <w:r>
        <w:rPr>
          <w:rFonts w:ascii="Arial" w:cs="Arial" w:eastAsia="Arial" w:hAnsi="Arial"/>
          <w:b w:val="false"/>
          <w:bCs w:val="false"/>
          <w:i w:val="false"/>
          <w:iCs w:val="false"/>
          <w:color w:val="111827"/>
          <w:sz w:val="22"/>
          <w:szCs w:val="22"/>
        </w:rPr>
        <w:t xml:space="preserve">The provision of voucher redemption processing, analytics, and reconciliation services by the Processor to the Controller under the Partner Terms and Conditions.</w:t>
      </w:r>
    </w:p>
    <w:p>
      <w:pPr>
        <w:spacing w:after="80" w:before="240"/>
      </w:pPr>
      <w:r>
        <w:rPr>
          <w:rFonts w:ascii="Arial" w:cs="Arial" w:eastAsia="Arial" w:hAnsi="Arial"/>
          <w:b/>
          <w:bCs/>
          <w:color w:val="111827"/>
          <w:sz w:val="22"/>
          <w:szCs w:val="22"/>
        </w:rPr>
        <w:t xml:space="preserve">3.2  Duration</w:t>
      </w:r>
    </w:p>
    <w:p>
      <w:pPr>
        <w:spacing w:after="140" w:before="0"/>
      </w:pPr>
      <w:r>
        <w:rPr>
          <w:rFonts w:ascii="Arial" w:cs="Arial" w:eastAsia="Arial" w:hAnsi="Arial"/>
          <w:b w:val="false"/>
          <w:bCs w:val="false"/>
          <w:i w:val="false"/>
          <w:iCs w:val="false"/>
          <w:color w:val="111827"/>
          <w:sz w:val="22"/>
          <w:szCs w:val="22"/>
        </w:rPr>
        <w:t xml:space="preserve">Processing begins on the Effective Date of the Partner Terms and continues until the Partner Terms are terminated and all data retention obligations have been fulfilled, or until the Controller instructs deletion, whichever is earlier.</w:t>
      </w:r>
    </w:p>
    <w:p>
      <w:pPr>
        <w:spacing w:after="80" w:before="240"/>
      </w:pPr>
      <w:r>
        <w:rPr>
          <w:rFonts w:ascii="Arial" w:cs="Arial" w:eastAsia="Arial" w:hAnsi="Arial"/>
          <w:b/>
          <w:bCs/>
          <w:color w:val="111827"/>
          <w:sz w:val="22"/>
          <w:szCs w:val="22"/>
        </w:rPr>
        <w:t xml:space="preserve">3.3  Nature and purpose of processing</w:t>
      </w:r>
    </w:p>
    <w:p>
      <w:pPr>
        <w:pStyle w:val="ListParagraph"/>
        <w:numPr>
          <w:ilvl w:val="0"/>
          <w:numId w:val="2"/>
        </w:numPr>
        <w:spacing w:after="80" w:before="0"/>
      </w:pPr>
      <w:r>
        <w:rPr>
          <w:rFonts w:ascii="Arial" w:cs="Arial" w:eastAsia="Arial" w:hAnsi="Arial"/>
          <w:color w:val="111827"/>
          <w:sz w:val="22"/>
          <w:szCs w:val="22"/>
        </w:rPr>
        <w:t xml:space="preserve">Receiving and processing voucher redemption requests submitted by or on behalf of the Controller’s customers.</w:t>
      </w:r>
    </w:p>
    <w:p>
      <w:pPr>
        <w:pStyle w:val="ListParagraph"/>
        <w:numPr>
          <w:ilvl w:val="0"/>
          <w:numId w:val="2"/>
        </w:numPr>
        <w:spacing w:after="80" w:before="0"/>
      </w:pPr>
      <w:r>
        <w:rPr>
          <w:rFonts w:ascii="Arial" w:cs="Arial" w:eastAsia="Arial" w:hAnsi="Arial"/>
          <w:color w:val="111827"/>
          <w:sz w:val="22"/>
          <w:szCs w:val="22"/>
        </w:rPr>
        <w:t xml:space="preserve">Verifying voucher validity, authenticity, and remaining balance.</w:t>
      </w:r>
    </w:p>
    <w:p>
      <w:pPr>
        <w:pStyle w:val="ListParagraph"/>
        <w:numPr>
          <w:ilvl w:val="0"/>
          <w:numId w:val="2"/>
        </w:numPr>
        <w:spacing w:after="80" w:before="0"/>
      </w:pPr>
      <w:r>
        <w:rPr>
          <w:rFonts w:ascii="Arial" w:cs="Arial" w:eastAsia="Arial" w:hAnsi="Arial"/>
          <w:color w:val="111827"/>
          <w:sz w:val="22"/>
          <w:szCs w:val="22"/>
        </w:rPr>
        <w:t xml:space="preserve">Transmitting redemption confirmations to the Controller’s POS or API endpoint.</w:t>
      </w:r>
    </w:p>
    <w:p>
      <w:pPr>
        <w:pStyle w:val="ListParagraph"/>
        <w:numPr>
          <w:ilvl w:val="0"/>
          <w:numId w:val="2"/>
        </w:numPr>
        <w:spacing w:after="80" w:before="0"/>
      </w:pPr>
      <w:r>
        <w:rPr>
          <w:rFonts w:ascii="Arial" w:cs="Arial" w:eastAsia="Arial" w:hAnsi="Arial"/>
          <w:color w:val="111827"/>
          <w:sz w:val="22"/>
          <w:szCs w:val="22"/>
        </w:rPr>
        <w:t xml:space="preserve">Generating redemption records for reconciliation and settlement reporting.</w:t>
      </w:r>
    </w:p>
    <w:p>
      <w:pPr>
        <w:pStyle w:val="ListParagraph"/>
        <w:numPr>
          <w:ilvl w:val="0"/>
          <w:numId w:val="2"/>
        </w:numPr>
        <w:spacing w:after="80" w:before="0"/>
      </w:pPr>
      <w:r>
        <w:rPr>
          <w:rFonts w:ascii="Arial" w:cs="Arial" w:eastAsia="Arial" w:hAnsi="Arial"/>
          <w:color w:val="111827"/>
          <w:sz w:val="22"/>
          <w:szCs w:val="22"/>
        </w:rPr>
        <w:t xml:space="preserve">Providing aggregated analytics to the Controller via the partner portal.</w:t>
      </w:r>
    </w:p>
    <w:p>
      <w:pPr>
        <w:pStyle w:val="ListParagraph"/>
        <w:numPr>
          <w:ilvl w:val="0"/>
          <w:numId w:val="2"/>
        </w:numPr>
        <w:spacing w:after="80" w:before="0"/>
      </w:pPr>
      <w:r>
        <w:rPr>
          <w:rFonts w:ascii="Arial" w:cs="Arial" w:eastAsia="Arial" w:hAnsi="Arial"/>
          <w:color w:val="111827"/>
          <w:sz w:val="22"/>
          <w:szCs w:val="22"/>
        </w:rPr>
        <w:t xml:space="preserve">Maintaining audit logs of API access and redemption events for security and compliance purposes.</w:t>
      </w:r>
    </w:p>
    <w:p>
      <w:pPr>
        <w:spacing w:after="80" w:before="240"/>
      </w:pPr>
      <w:r>
        <w:rPr>
          <w:rFonts w:ascii="Arial" w:cs="Arial" w:eastAsia="Arial" w:hAnsi="Arial"/>
          <w:b/>
          <w:bCs/>
          <w:color w:val="111827"/>
          <w:sz w:val="22"/>
          <w:szCs w:val="22"/>
        </w:rPr>
        <w:t xml:space="preserve">3.4  Categories of Personal Data</w:t>
      </w:r>
    </w:p>
    <w:p>
      <w:pPr>
        <w:pStyle w:val="ListParagraph"/>
        <w:numPr>
          <w:ilvl w:val="0"/>
          <w:numId w:val="2"/>
        </w:numPr>
        <w:spacing w:after="80" w:before="0"/>
      </w:pPr>
      <w:r>
        <w:rPr>
          <w:rFonts w:ascii="Arial" w:cs="Arial" w:eastAsia="Arial" w:hAnsi="Arial"/>
          <w:color w:val="111827"/>
          <w:sz w:val="22"/>
          <w:szCs w:val="22"/>
        </w:rPr>
        <w:t xml:space="preserve">Voucher codes (which may indirectly identify a Data Subject when combined with other data held by the Controller).</w:t>
      </w:r>
    </w:p>
    <w:p>
      <w:pPr>
        <w:pStyle w:val="ListParagraph"/>
        <w:numPr>
          <w:ilvl w:val="0"/>
          <w:numId w:val="2"/>
        </w:numPr>
        <w:spacing w:after="80" w:before="0"/>
      </w:pPr>
      <w:r>
        <w:rPr>
          <w:rFonts w:ascii="Arial" w:cs="Arial" w:eastAsia="Arial" w:hAnsi="Arial"/>
          <w:color w:val="111827"/>
          <w:sz w:val="22"/>
          <w:szCs w:val="22"/>
        </w:rPr>
        <w:t xml:space="preserve">Redemption timestamps and transaction amounts.</w:t>
      </w:r>
    </w:p>
    <w:p>
      <w:pPr>
        <w:pStyle w:val="ListParagraph"/>
        <w:numPr>
          <w:ilvl w:val="0"/>
          <w:numId w:val="2"/>
        </w:numPr>
        <w:spacing w:after="80" w:before="0"/>
      </w:pPr>
      <w:r>
        <w:rPr>
          <w:rFonts w:ascii="Arial" w:cs="Arial" w:eastAsia="Arial" w:hAnsi="Arial"/>
          <w:color w:val="111827"/>
          <w:sz w:val="22"/>
          <w:szCs w:val="22"/>
        </w:rPr>
        <w:t xml:space="preserve">Device or location identifiers where provided by the Controller’s integration (e.g. POS terminal ID, station identifier).</w:t>
      </w:r>
    </w:p>
    <w:p>
      <w:pPr>
        <w:pStyle w:val="ListParagraph"/>
        <w:numPr>
          <w:ilvl w:val="0"/>
          <w:numId w:val="2"/>
        </w:numPr>
        <w:spacing w:after="80" w:before="0"/>
      </w:pPr>
      <w:r>
        <w:rPr>
          <w:rFonts w:ascii="Arial" w:cs="Arial" w:eastAsia="Arial" w:hAnsi="Arial"/>
          <w:color w:val="111827"/>
          <w:sz w:val="22"/>
          <w:szCs w:val="22"/>
        </w:rPr>
        <w:t xml:space="preserve">Customer account identifiers provided by the Controller (internal reference numbers; not names or contact details unless the Controller explicitly provides them).</w:t>
      </w:r>
    </w:p>
    <w:p>
      <w:pPr>
        <w:pStyle w:val="ListParagraph"/>
        <w:numPr>
          <w:ilvl w:val="0"/>
          <w:numId w:val="2"/>
        </w:numPr>
        <w:spacing w:after="80" w:before="0"/>
      </w:pPr>
      <w:r>
        <w:rPr>
          <w:rFonts w:ascii="Arial" w:cs="Arial" w:eastAsia="Arial" w:hAnsi="Arial"/>
          <w:color w:val="111827"/>
          <w:sz w:val="22"/>
          <w:szCs w:val="22"/>
        </w:rPr>
        <w:t xml:space="preserve">For Partner portal users: name, business email address, role, and login activity of the Controller’s authorised staff.</w:t>
      </w:r>
    </w:p>
    <w:p>
      <w:pPr>
        <w:spacing w:after="80" w:before="240"/>
      </w:pPr>
      <w:r>
        <w:rPr>
          <w:rFonts w:ascii="Arial" w:cs="Arial" w:eastAsia="Arial" w:hAnsi="Arial"/>
          <w:b/>
          <w:bCs/>
          <w:color w:val="111827"/>
          <w:sz w:val="22"/>
          <w:szCs w:val="22"/>
        </w:rPr>
        <w:t xml:space="preserve">3.5  Categories of Data Subjects</w:t>
      </w:r>
    </w:p>
    <w:p>
      <w:pPr>
        <w:pStyle w:val="ListParagraph"/>
        <w:numPr>
          <w:ilvl w:val="0"/>
          <w:numId w:val="2"/>
        </w:numPr>
        <w:spacing w:after="80" w:before="0"/>
      </w:pPr>
      <w:r>
        <w:rPr>
          <w:rFonts w:ascii="Arial" w:cs="Arial" w:eastAsia="Arial" w:hAnsi="Arial"/>
          <w:color w:val="111827"/>
          <w:sz w:val="22"/>
          <w:szCs w:val="22"/>
        </w:rPr>
        <w:t xml:space="preserve">Consumers who hold vouchers issued by or redeemable at the Controller’s locations.</w:t>
      </w:r>
    </w:p>
    <w:p>
      <w:pPr>
        <w:pStyle w:val="ListParagraph"/>
        <w:numPr>
          <w:ilvl w:val="0"/>
          <w:numId w:val="2"/>
        </w:numPr>
        <w:spacing w:after="80" w:before="0"/>
      </w:pPr>
      <w:r>
        <w:rPr>
          <w:rFonts w:ascii="Arial" w:cs="Arial" w:eastAsia="Arial" w:hAnsi="Arial"/>
          <w:color w:val="111827"/>
          <w:sz w:val="22"/>
          <w:szCs w:val="22"/>
        </w:rPr>
        <w:t xml:space="preserve">Authorised staff members of the Controller who access the Partner portal.</w:t>
      </w:r>
    </w:p>
    <w:p>
      <w:pPr>
        <w:spacing w:after="80" w:before="240"/>
      </w:pPr>
      <w:r>
        <w:rPr>
          <w:rFonts w:ascii="Arial" w:cs="Arial" w:eastAsia="Arial" w:hAnsi="Arial"/>
          <w:b/>
          <w:bCs/>
          <w:color w:val="111827"/>
          <w:sz w:val="22"/>
          <w:szCs w:val="22"/>
        </w:rPr>
        <w:t xml:space="preserve">3.6  Special categories of data</w:t>
      </w:r>
    </w:p>
    <w:p>
      <w:pPr>
        <w:spacing w:after="140" w:before="0"/>
      </w:pPr>
      <w:r>
        <w:rPr>
          <w:rFonts w:ascii="Arial" w:cs="Arial" w:eastAsia="Arial" w:hAnsi="Arial"/>
          <w:b w:val="false"/>
          <w:bCs w:val="false"/>
          <w:i w:val="false"/>
          <w:iCs w:val="false"/>
          <w:color w:val="111827"/>
          <w:sz w:val="22"/>
          <w:szCs w:val="22"/>
        </w:rPr>
        <w:t xml:space="preserve">The parties do not intend for any special category Personal Data (as defined in Article 9 of UK/EU GDPR) to be processed under this DPA. The Controller must not submit special category data to the Processor without prior written agreement.</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4. Obligations of the Processor</w:t>
      </w:r>
    </w:p>
    <w:p>
      <w:pPr>
        <w:spacing w:after="140" w:before="0"/>
      </w:pPr>
      <w:r>
        <w:rPr>
          <w:rFonts w:ascii="Arial" w:cs="Arial" w:eastAsia="Arial" w:hAnsi="Arial"/>
          <w:b w:val="false"/>
          <w:bCs w:val="false"/>
          <w:i w:val="false"/>
          <w:iCs w:val="false"/>
          <w:color w:val="111827"/>
          <w:sz w:val="22"/>
          <w:szCs w:val="22"/>
        </w:rPr>
        <w:t xml:space="preserve">The Processor shall:</w:t>
      </w:r>
    </w:p>
    <w:p>
      <w:pPr>
        <w:pStyle w:val="ListParagraph"/>
        <w:numPr>
          <w:ilvl w:val="0"/>
          <w:numId w:val="3"/>
        </w:numPr>
        <w:spacing w:after="80" w:before="0"/>
      </w:pPr>
      <w:r>
        <w:rPr>
          <w:rFonts w:ascii="Arial" w:cs="Arial" w:eastAsia="Arial" w:hAnsi="Arial"/>
          <w:color w:val="111827"/>
          <w:sz w:val="22"/>
          <w:szCs w:val="22"/>
        </w:rPr>
        <w:t xml:space="preserve">Process Personal Data only on the documented instructions of the Controller, unless required to do so by applicable law. If required by law, the Processor shall (where permitted by law) inform the Controller before carrying out such processing.</w:t>
      </w:r>
    </w:p>
    <w:p>
      <w:pPr>
        <w:pStyle w:val="ListParagraph"/>
        <w:numPr>
          <w:ilvl w:val="0"/>
          <w:numId w:val="3"/>
        </w:numPr>
        <w:spacing w:after="80" w:before="0"/>
      </w:pPr>
      <w:r>
        <w:rPr>
          <w:rFonts w:ascii="Arial" w:cs="Arial" w:eastAsia="Arial" w:hAnsi="Arial"/>
          <w:color w:val="111827"/>
          <w:sz w:val="22"/>
          <w:szCs w:val="22"/>
        </w:rPr>
        <w:t xml:space="preserve">Ensure that persons authorised to process Personal Data are bound by appropriate confidentiality obligations.</w:t>
      </w:r>
    </w:p>
    <w:p>
      <w:pPr>
        <w:pStyle w:val="ListParagraph"/>
        <w:numPr>
          <w:ilvl w:val="0"/>
          <w:numId w:val="3"/>
        </w:numPr>
        <w:spacing w:after="80" w:before="0"/>
      </w:pPr>
      <w:r>
        <w:rPr>
          <w:rFonts w:ascii="Arial" w:cs="Arial" w:eastAsia="Arial" w:hAnsi="Arial"/>
          <w:color w:val="111827"/>
          <w:sz w:val="22"/>
          <w:szCs w:val="22"/>
        </w:rPr>
        <w:t xml:space="preserve">Implement and maintain appropriate technical and organisational measures to ensure a level of security appropriate to the risk, as described in Schedule A (Security Measures).</w:t>
      </w:r>
    </w:p>
    <w:p>
      <w:pPr>
        <w:pStyle w:val="ListParagraph"/>
        <w:numPr>
          <w:ilvl w:val="0"/>
          <w:numId w:val="3"/>
        </w:numPr>
        <w:spacing w:after="80" w:before="0"/>
      </w:pPr>
      <w:r>
        <w:rPr>
          <w:rFonts w:ascii="Arial" w:cs="Arial" w:eastAsia="Arial" w:hAnsi="Arial"/>
          <w:color w:val="111827"/>
          <w:sz w:val="22"/>
          <w:szCs w:val="22"/>
        </w:rPr>
        <w:t xml:space="preserve">Respect the conditions for engaging Sub-Processors set out in Clause 6 of this DPA.</w:t>
      </w:r>
    </w:p>
    <w:p>
      <w:pPr>
        <w:pStyle w:val="ListParagraph"/>
        <w:numPr>
          <w:ilvl w:val="0"/>
          <w:numId w:val="3"/>
        </w:numPr>
        <w:spacing w:after="80" w:before="0"/>
      </w:pPr>
      <w:r>
        <w:rPr>
          <w:rFonts w:ascii="Arial" w:cs="Arial" w:eastAsia="Arial" w:hAnsi="Arial"/>
          <w:color w:val="111827"/>
          <w:sz w:val="22"/>
          <w:szCs w:val="22"/>
        </w:rPr>
        <w:t xml:space="preserve">Assist the Controller, taking into account the nature of the processing and the information available to the Processor, in responding to requests from Data Subjects exercising their rights under Applicable Data Protection Law. Where a Data Subject makes a rights request directly to the Processor relating to the Controller’s processing, the Processor shall forward the request to the Controller within 5 business days.</w:t>
      </w:r>
    </w:p>
    <w:p>
      <w:pPr>
        <w:pStyle w:val="ListParagraph"/>
        <w:numPr>
          <w:ilvl w:val="0"/>
          <w:numId w:val="3"/>
        </w:numPr>
        <w:spacing w:after="80" w:before="0"/>
      </w:pPr>
      <w:r>
        <w:rPr>
          <w:rFonts w:ascii="Arial" w:cs="Arial" w:eastAsia="Arial" w:hAnsi="Arial"/>
          <w:color w:val="111827"/>
          <w:sz w:val="22"/>
          <w:szCs w:val="22"/>
        </w:rPr>
        <w:t xml:space="preserve">Assist the Controller in ensuring compliance with obligations under Articles 32–36 of UK/EU GDPR (security, breach notification, data protection impact assessments, and prior consultation with supervisory authorities), taking into account the nature of processing and information available to the Processor.</w:t>
      </w:r>
    </w:p>
    <w:p>
      <w:pPr>
        <w:pStyle w:val="ListParagraph"/>
        <w:numPr>
          <w:ilvl w:val="0"/>
          <w:numId w:val="3"/>
        </w:numPr>
        <w:spacing w:after="80" w:before="0"/>
      </w:pPr>
      <w:r>
        <w:rPr>
          <w:rFonts w:ascii="Arial" w:cs="Arial" w:eastAsia="Arial" w:hAnsi="Arial"/>
          <w:color w:val="111827"/>
          <w:sz w:val="22"/>
          <w:szCs w:val="22"/>
        </w:rPr>
        <w:t xml:space="preserve">At the Controller’s choice, delete or return all Personal Data to the Controller on termination of the Partner Terms (unless applicable law requires continued retention), and delete existing copies unless retention is required by law.</w:t>
      </w:r>
    </w:p>
    <w:p>
      <w:pPr>
        <w:pStyle w:val="ListParagraph"/>
        <w:numPr>
          <w:ilvl w:val="0"/>
          <w:numId w:val="3"/>
        </w:numPr>
        <w:spacing w:after="80" w:before="0"/>
      </w:pPr>
      <w:r>
        <w:rPr>
          <w:rFonts w:ascii="Arial" w:cs="Arial" w:eastAsia="Arial" w:hAnsi="Arial"/>
          <w:color w:val="111827"/>
          <w:sz w:val="22"/>
          <w:szCs w:val="22"/>
        </w:rPr>
        <w:t xml:space="preserve">Make available to the Controller all information necessary to demonstrate compliance with the obligations in Article 28 of UK/EU GDPR, and allow for and contribute to audits (including inspections) conducted by the Controller or an auditor mandated by the Controller, subject to Clause 7 of this DPA.</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5. Controller’s Obligations and Instructions</w:t>
      </w:r>
    </w:p>
    <w:p>
      <w:pPr>
        <w:spacing w:after="140" w:before="0"/>
      </w:pPr>
      <w:r>
        <w:rPr>
          <w:rFonts w:ascii="Arial" w:cs="Arial" w:eastAsia="Arial" w:hAnsi="Arial"/>
          <w:b w:val="false"/>
          <w:bCs w:val="false"/>
          <w:i w:val="false"/>
          <w:iCs w:val="false"/>
          <w:color w:val="111827"/>
          <w:sz w:val="22"/>
          <w:szCs w:val="22"/>
        </w:rPr>
        <w:t xml:space="preserve">The Controller represents, warrants, and agrees that:</w:t>
      </w:r>
    </w:p>
    <w:p>
      <w:pPr>
        <w:pStyle w:val="ListParagraph"/>
        <w:numPr>
          <w:ilvl w:val="0"/>
          <w:numId w:val="2"/>
        </w:numPr>
        <w:spacing w:after="80" w:before="0"/>
      </w:pPr>
      <w:r>
        <w:rPr>
          <w:rFonts w:ascii="Arial" w:cs="Arial" w:eastAsia="Arial" w:hAnsi="Arial"/>
          <w:color w:val="111827"/>
          <w:sz w:val="22"/>
          <w:szCs w:val="22"/>
        </w:rPr>
        <w:t xml:space="preserve">It has a valid lawful basis under Applicable Data Protection Law for sharing Personal Data with the Processor for the purposes described in this DPA.</w:t>
      </w:r>
    </w:p>
    <w:p>
      <w:pPr>
        <w:pStyle w:val="ListParagraph"/>
        <w:numPr>
          <w:ilvl w:val="0"/>
          <w:numId w:val="2"/>
        </w:numPr>
        <w:spacing w:after="80" w:before="0"/>
      </w:pPr>
      <w:r>
        <w:rPr>
          <w:rFonts w:ascii="Arial" w:cs="Arial" w:eastAsia="Arial" w:hAnsi="Arial"/>
          <w:color w:val="111827"/>
          <w:sz w:val="22"/>
          <w:szCs w:val="22"/>
        </w:rPr>
        <w:t xml:space="preserve">It has provided Data Subjects with appropriate information about this processing (including in its own privacy notice), and that Data Subjects have been informed that their data may be shared with Energy Shift for redemption processing.</w:t>
      </w:r>
    </w:p>
    <w:p>
      <w:pPr>
        <w:pStyle w:val="ListParagraph"/>
        <w:numPr>
          <w:ilvl w:val="0"/>
          <w:numId w:val="2"/>
        </w:numPr>
        <w:spacing w:after="80" w:before="0"/>
      </w:pPr>
      <w:r>
        <w:rPr>
          <w:rFonts w:ascii="Arial" w:cs="Arial" w:eastAsia="Arial" w:hAnsi="Arial"/>
          <w:color w:val="111827"/>
          <w:sz w:val="22"/>
          <w:szCs w:val="22"/>
        </w:rPr>
        <w:t xml:space="preserve">Its instructions to the Processor are and shall remain lawful.</w:t>
      </w:r>
    </w:p>
    <w:p>
      <w:pPr>
        <w:pStyle w:val="ListParagraph"/>
        <w:numPr>
          <w:ilvl w:val="0"/>
          <w:numId w:val="2"/>
        </w:numPr>
        <w:spacing w:after="80" w:before="0"/>
      </w:pPr>
      <w:r>
        <w:rPr>
          <w:rFonts w:ascii="Arial" w:cs="Arial" w:eastAsia="Arial" w:hAnsi="Arial"/>
          <w:color w:val="111827"/>
          <w:sz w:val="22"/>
          <w:szCs w:val="22"/>
        </w:rPr>
        <w:t xml:space="preserve">It will notify the Processor promptly of any Data Subject rights request, regulatory inquiry, or supervisory authority investigation that may affect the Processor’s processing activities.</w:t>
      </w:r>
    </w:p>
    <w:p>
      <w:pPr>
        <w:pStyle w:val="ListParagraph"/>
        <w:numPr>
          <w:ilvl w:val="0"/>
          <w:numId w:val="2"/>
        </w:numPr>
        <w:spacing w:after="80" w:before="0"/>
      </w:pPr>
      <w:r>
        <w:rPr>
          <w:rFonts w:ascii="Arial" w:cs="Arial" w:eastAsia="Arial" w:hAnsi="Arial"/>
          <w:color w:val="111827"/>
          <w:sz w:val="22"/>
          <w:szCs w:val="22"/>
        </w:rPr>
        <w:t xml:space="preserve">It will not instruct the Processor to process Personal Data in a manner that would violate Applicable Data Protection Law.</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6. Sub-Processing</w:t>
      </w:r>
    </w:p>
    <w:p>
      <w:pPr>
        <w:spacing w:after="80" w:before="240"/>
      </w:pPr>
      <w:r>
        <w:rPr>
          <w:rFonts w:ascii="Arial" w:cs="Arial" w:eastAsia="Arial" w:hAnsi="Arial"/>
          <w:b/>
          <w:bCs/>
          <w:color w:val="111827"/>
          <w:sz w:val="22"/>
          <w:szCs w:val="22"/>
        </w:rPr>
        <w:t xml:space="preserve">6.1  General authorisation</w:t>
      </w:r>
    </w:p>
    <w:p>
      <w:pPr>
        <w:spacing w:after="140" w:before="0"/>
      </w:pPr>
      <w:r>
        <w:rPr>
          <w:rFonts w:ascii="Arial" w:cs="Arial" w:eastAsia="Arial" w:hAnsi="Arial"/>
          <w:b w:val="false"/>
          <w:bCs w:val="false"/>
          <w:i w:val="false"/>
          <w:iCs w:val="false"/>
          <w:color w:val="111827"/>
          <w:sz w:val="22"/>
          <w:szCs w:val="22"/>
        </w:rPr>
        <w:t xml:space="preserve">The Controller grants the Processor general authorisation to engage Sub-Processors from the list set out in Schedule B (Approved Sub-Processors). The Processor shall inform the Controller of any intended changes to the list of Sub-Processors by updating Schedule B with at least 30 days’ advance notice via email or partner portal notification.</w:t>
      </w:r>
    </w:p>
    <w:p>
      <w:pPr>
        <w:spacing w:after="80" w:before="240"/>
      </w:pPr>
      <w:r>
        <w:rPr>
          <w:rFonts w:ascii="Arial" w:cs="Arial" w:eastAsia="Arial" w:hAnsi="Arial"/>
          <w:b/>
          <w:bCs/>
          <w:color w:val="111827"/>
          <w:sz w:val="22"/>
          <w:szCs w:val="22"/>
        </w:rPr>
        <w:t xml:space="preserve">6.2  Controller’s right to object</w:t>
      </w:r>
    </w:p>
    <w:p>
      <w:pPr>
        <w:spacing w:after="140" w:before="0"/>
      </w:pPr>
      <w:r>
        <w:rPr>
          <w:rFonts w:ascii="Arial" w:cs="Arial" w:eastAsia="Arial" w:hAnsi="Arial"/>
          <w:b w:val="false"/>
          <w:bCs w:val="false"/>
          <w:i w:val="false"/>
          <w:iCs w:val="false"/>
          <w:color w:val="111827"/>
          <w:sz w:val="22"/>
          <w:szCs w:val="22"/>
        </w:rPr>
        <w:t xml:space="preserve">The Controller may object to a new Sub-Processor appointment by notifying the Processor in writing within 14 days of receiving notice. If the Controller objects and the Processor cannot accommodate the objection without materially impacting the services, either party may terminate the Partner Terms on 30 days’ notice.</w:t>
      </w:r>
    </w:p>
    <w:p>
      <w:pPr>
        <w:spacing w:after="80" w:before="240"/>
      </w:pPr>
      <w:r>
        <w:rPr>
          <w:rFonts w:ascii="Arial" w:cs="Arial" w:eastAsia="Arial" w:hAnsi="Arial"/>
          <w:b/>
          <w:bCs/>
          <w:color w:val="111827"/>
          <w:sz w:val="22"/>
          <w:szCs w:val="22"/>
        </w:rPr>
        <w:t xml:space="preserve">6.3  Sub-Processor obligations</w:t>
      </w:r>
    </w:p>
    <w:p>
      <w:pPr>
        <w:spacing w:after="140" w:before="0"/>
      </w:pPr>
      <w:r>
        <w:rPr>
          <w:rFonts w:ascii="Arial" w:cs="Arial" w:eastAsia="Arial" w:hAnsi="Arial"/>
          <w:b w:val="false"/>
          <w:bCs w:val="false"/>
          <w:i w:val="false"/>
          <w:iCs w:val="false"/>
          <w:color w:val="111827"/>
          <w:sz w:val="22"/>
          <w:szCs w:val="22"/>
        </w:rPr>
        <w:t xml:space="preserve">The Processor shall impose on each Sub-Processor data protection obligations that are equivalent to those imposed on the Processor by this DPA. The Processor remains fully liable to the Controller for the performance of a Sub-Processor’s obligations.</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7. Audit Rights</w:t>
      </w:r>
    </w:p>
    <w:p>
      <w:pPr>
        <w:spacing w:after="140" w:before="0"/>
      </w:pPr>
      <w:r>
        <w:rPr>
          <w:rFonts w:ascii="Arial" w:cs="Arial" w:eastAsia="Arial" w:hAnsi="Arial"/>
          <w:b w:val="false"/>
          <w:bCs w:val="false"/>
          <w:i w:val="false"/>
          <w:iCs w:val="false"/>
          <w:color w:val="111827"/>
          <w:sz w:val="22"/>
          <w:szCs w:val="22"/>
        </w:rPr>
        <w:t xml:space="preserve">Upon the Controller’s reasonable written request (no more than once per calendar year, or at any time following a Personal Data Breach), the Processor shall:</w:t>
      </w:r>
    </w:p>
    <w:p>
      <w:pPr>
        <w:pStyle w:val="ListParagraph"/>
        <w:numPr>
          <w:ilvl w:val="0"/>
          <w:numId w:val="2"/>
        </w:numPr>
        <w:spacing w:after="80" w:before="0"/>
      </w:pPr>
      <w:r>
        <w:rPr>
          <w:rFonts w:ascii="Arial" w:cs="Arial" w:eastAsia="Arial" w:hAnsi="Arial"/>
          <w:color w:val="111827"/>
          <w:sz w:val="22"/>
          <w:szCs w:val="22"/>
        </w:rPr>
        <w:t xml:space="preserve">Make available documentation demonstrating compliance with this DPA (e.g. security policies, penetration test summaries, ISO or SOC 2 certifications where held).</w:t>
      </w:r>
    </w:p>
    <w:p>
      <w:pPr>
        <w:pStyle w:val="ListParagraph"/>
        <w:numPr>
          <w:ilvl w:val="0"/>
          <w:numId w:val="2"/>
        </w:numPr>
        <w:spacing w:after="80" w:before="0"/>
      </w:pPr>
      <w:r>
        <w:rPr>
          <w:rFonts w:ascii="Arial" w:cs="Arial" w:eastAsia="Arial" w:hAnsi="Arial"/>
          <w:color w:val="111827"/>
          <w:sz w:val="22"/>
          <w:szCs w:val="22"/>
        </w:rPr>
        <w:t xml:space="preserve">Allow the Controller or its appointed auditor to conduct an on-site audit or inspection on at least 30 days’ notice, at the Controller’s cost, subject to the auditor signing a confidentiality agreement and the audit not unreasonably disrupting the Processor’s operations.</w:t>
      </w:r>
    </w:p>
    <w:p>
      <w:pPr>
        <w:spacing w:after="140" w:before="0"/>
      </w:pPr>
      <w:r>
        <w:rPr>
          <w:rFonts w:ascii="Arial" w:cs="Arial" w:eastAsia="Arial" w:hAnsi="Arial"/>
          <w:b w:val="false"/>
          <w:bCs w:val="false"/>
          <w:i w:val="false"/>
          <w:iCs w:val="false"/>
          <w:color w:val="111827"/>
          <w:sz w:val="22"/>
          <w:szCs w:val="22"/>
        </w:rPr>
        <w:t xml:space="preserve">The Processor may object to a specific auditor on reasonable grounds (e.g. a direct competitor) and propose an alternative.</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8. Personal Data Breach Notification</w:t>
      </w:r>
    </w:p>
    <w:p>
      <w:pPr>
        <w:spacing w:after="140" w:before="0"/>
      </w:pPr>
      <w:r>
        <w:rPr>
          <w:rFonts w:ascii="Arial" w:cs="Arial" w:eastAsia="Arial" w:hAnsi="Arial"/>
          <w:b w:val="false"/>
          <w:bCs w:val="false"/>
          <w:i w:val="false"/>
          <w:iCs w:val="false"/>
          <w:color w:val="111827"/>
          <w:sz w:val="22"/>
          <w:szCs w:val="22"/>
        </w:rPr>
        <w:t xml:space="preserve">In the event of a Personal Data Breach affecting Personal Data processed under this DPA, the Processor shall:</w:t>
      </w:r>
    </w:p>
    <w:p>
      <w:pPr>
        <w:pStyle w:val="ListParagraph"/>
        <w:numPr>
          <w:ilvl w:val="0"/>
          <w:numId w:val="2"/>
        </w:numPr>
        <w:spacing w:after="80" w:before="0"/>
      </w:pPr>
      <w:r>
        <w:rPr>
          <w:rFonts w:ascii="Arial" w:cs="Arial" w:eastAsia="Arial" w:hAnsi="Arial"/>
          <w:color w:val="111827"/>
          <w:sz w:val="22"/>
          <w:szCs w:val="22"/>
        </w:rPr>
        <w:t xml:space="preserve">Notify the Controller without undue delay and in any event within 48 hours of becoming aware of the breach.</w:t>
      </w:r>
    </w:p>
    <w:p>
      <w:pPr>
        <w:pStyle w:val="ListParagraph"/>
        <w:numPr>
          <w:ilvl w:val="0"/>
          <w:numId w:val="2"/>
        </w:numPr>
        <w:spacing w:after="80" w:before="0"/>
      </w:pPr>
      <w:r>
        <w:rPr>
          <w:rFonts w:ascii="Arial" w:cs="Arial" w:eastAsia="Arial" w:hAnsi="Arial"/>
          <w:color w:val="111827"/>
          <w:sz w:val="22"/>
          <w:szCs w:val="22"/>
        </w:rPr>
        <w:t xml:space="preserve">Provide the Controller with sufficient information to enable the Controller to comply with its own breach notification obligations under Applicable Data Protection Law (which may require notification to supervisory authorities within 72 hours of becoming aware of the breach).</w:t>
      </w:r>
    </w:p>
    <w:p>
      <w:pPr>
        <w:spacing w:after="140" w:before="0"/>
      </w:pPr>
      <w:r>
        <w:rPr>
          <w:rFonts w:ascii="Arial" w:cs="Arial" w:eastAsia="Arial" w:hAnsi="Arial"/>
          <w:b w:val="false"/>
          <w:bCs w:val="false"/>
          <w:i w:val="false"/>
          <w:iCs w:val="false"/>
          <w:color w:val="111827"/>
          <w:sz w:val="22"/>
          <w:szCs w:val="22"/>
        </w:rPr>
        <w:t xml:space="preserve">Notification shall be made to the Controller’s registered email address or the primary security contact specified in the Controller’s partner portal settings, and shall include (to the extent known at the time):</w:t>
      </w:r>
    </w:p>
    <w:p>
      <w:pPr>
        <w:pStyle w:val="ListParagraph"/>
        <w:numPr>
          <w:ilvl w:val="0"/>
          <w:numId w:val="2"/>
        </w:numPr>
        <w:spacing w:after="80" w:before="0"/>
      </w:pPr>
      <w:r>
        <w:rPr>
          <w:rFonts w:ascii="Arial" w:cs="Arial" w:eastAsia="Arial" w:hAnsi="Arial"/>
          <w:color w:val="111827"/>
          <w:sz w:val="22"/>
          <w:szCs w:val="22"/>
        </w:rPr>
        <w:t xml:space="preserve">A description of the nature of the breach, including categories and approximate number of Data Subjects and Personal Data records affected.</w:t>
      </w:r>
    </w:p>
    <w:p>
      <w:pPr>
        <w:pStyle w:val="ListParagraph"/>
        <w:numPr>
          <w:ilvl w:val="0"/>
          <w:numId w:val="2"/>
        </w:numPr>
        <w:spacing w:after="80" w:before="0"/>
      </w:pPr>
      <w:r>
        <w:rPr>
          <w:rFonts w:ascii="Arial" w:cs="Arial" w:eastAsia="Arial" w:hAnsi="Arial"/>
          <w:color w:val="111827"/>
          <w:sz w:val="22"/>
          <w:szCs w:val="22"/>
        </w:rPr>
        <w:t xml:space="preserve">The name and contact details of the Processor’s data protection contact.</w:t>
      </w:r>
    </w:p>
    <w:p>
      <w:pPr>
        <w:pStyle w:val="ListParagraph"/>
        <w:numPr>
          <w:ilvl w:val="0"/>
          <w:numId w:val="2"/>
        </w:numPr>
        <w:spacing w:after="80" w:before="0"/>
      </w:pPr>
      <w:r>
        <w:rPr>
          <w:rFonts w:ascii="Arial" w:cs="Arial" w:eastAsia="Arial" w:hAnsi="Arial"/>
          <w:color w:val="111827"/>
          <w:sz w:val="22"/>
          <w:szCs w:val="22"/>
        </w:rPr>
        <w:t xml:space="preserve">The likely consequences of the breach.</w:t>
      </w:r>
    </w:p>
    <w:p>
      <w:pPr>
        <w:pStyle w:val="ListParagraph"/>
        <w:numPr>
          <w:ilvl w:val="0"/>
          <w:numId w:val="2"/>
        </w:numPr>
        <w:spacing w:after="80" w:before="0"/>
      </w:pPr>
      <w:r>
        <w:rPr>
          <w:rFonts w:ascii="Arial" w:cs="Arial" w:eastAsia="Arial" w:hAnsi="Arial"/>
          <w:color w:val="111827"/>
          <w:sz w:val="22"/>
          <w:szCs w:val="22"/>
        </w:rPr>
        <w:t xml:space="preserve">Measures taken or proposed to address the breach and mitigate its effects.</w:t>
      </w:r>
    </w:p>
    <w:p>
      <w:pPr>
        <w:spacing w:after="140" w:before="0"/>
      </w:pPr>
      <w:r>
        <w:rPr>
          <w:rFonts w:ascii="Arial" w:cs="Arial" w:eastAsia="Arial" w:hAnsi="Arial"/>
          <w:b w:val="false"/>
          <w:bCs w:val="false"/>
          <w:i w:val="false"/>
          <w:iCs w:val="false"/>
          <w:color w:val="111827"/>
          <w:sz w:val="22"/>
          <w:szCs w:val="22"/>
        </w:rPr>
        <w:t xml:space="preserve">The Processor shall cooperate with the Controller and provide further information as it becomes available.</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9. International Transfers</w:t>
      </w:r>
    </w:p>
    <w:p>
      <w:pPr>
        <w:spacing w:after="80" w:before="240"/>
      </w:pPr>
      <w:r>
        <w:rPr>
          <w:rFonts w:ascii="Arial" w:cs="Arial" w:eastAsia="Arial" w:hAnsi="Arial"/>
          <w:b/>
          <w:bCs/>
          <w:color w:val="111827"/>
          <w:sz w:val="22"/>
          <w:szCs w:val="22"/>
        </w:rPr>
        <w:t xml:space="preserve">9.1  Transfers from the UK</w:t>
      </w:r>
    </w:p>
    <w:p>
      <w:pPr>
        <w:spacing w:after="140" w:before="0"/>
      </w:pPr>
      <w:r>
        <w:rPr>
          <w:rFonts w:ascii="Arial" w:cs="Arial" w:eastAsia="Arial" w:hAnsi="Arial"/>
          <w:b w:val="false"/>
          <w:bCs w:val="false"/>
          <w:i w:val="false"/>
          <w:iCs w:val="false"/>
          <w:color w:val="111827"/>
          <w:sz w:val="22"/>
          <w:szCs w:val="22"/>
        </w:rPr>
        <w:t xml:space="preserve">The Processor is based in the United Kingdom. To the extent the Controller is established in the UK or transfers UK Personal Data to the Processor, no international transfer restriction applies under UK GDPR, as the Processor is UK-based.</w:t>
      </w:r>
    </w:p>
    <w:p>
      <w:pPr>
        <w:spacing w:after="80" w:before="240"/>
      </w:pPr>
      <w:r>
        <w:rPr>
          <w:rFonts w:ascii="Arial" w:cs="Arial" w:eastAsia="Arial" w:hAnsi="Arial"/>
          <w:b/>
          <w:bCs/>
          <w:color w:val="111827"/>
          <w:sz w:val="22"/>
          <w:szCs w:val="22"/>
        </w:rPr>
        <w:t xml:space="preserve">9.2  Transfers from the EU/EEA</w:t>
      </w:r>
    </w:p>
    <w:p>
      <w:pPr>
        <w:spacing w:after="140" w:before="0"/>
      </w:pPr>
      <w:r>
        <w:rPr>
          <w:rFonts w:ascii="Arial" w:cs="Arial" w:eastAsia="Arial" w:hAnsi="Arial"/>
          <w:b w:val="false"/>
          <w:bCs w:val="false"/>
          <w:i w:val="false"/>
          <w:iCs w:val="false"/>
          <w:color w:val="111827"/>
          <w:sz w:val="22"/>
          <w:szCs w:val="22"/>
        </w:rPr>
        <w:t xml:space="preserve">The UK has received an adequacy decision from the European Commission (28 June 2021). Accordingly, transfers of EU/EEA Personal Data to the Processor in the UK do not require additional safeguards under EU GDPR Article 46.</w:t>
      </w:r>
    </w:p>
    <w:p>
      <w:pPr>
        <w:spacing w:after="80" w:before="240"/>
      </w:pPr>
      <w:r>
        <w:rPr>
          <w:rFonts w:ascii="Arial" w:cs="Arial" w:eastAsia="Arial" w:hAnsi="Arial"/>
          <w:b/>
          <w:bCs/>
          <w:color w:val="111827"/>
          <w:sz w:val="22"/>
          <w:szCs w:val="22"/>
        </w:rPr>
        <w:t xml:space="preserve">9.3  Onward transfers by the Processor</w:t>
      </w:r>
    </w:p>
    <w:p>
      <w:pPr>
        <w:spacing w:after="140" w:before="0"/>
      </w:pPr>
      <w:r>
        <w:rPr>
          <w:rFonts w:ascii="Arial" w:cs="Arial" w:eastAsia="Arial" w:hAnsi="Arial"/>
          <w:b w:val="false"/>
          <w:bCs w:val="false"/>
          <w:i w:val="false"/>
          <w:iCs w:val="false"/>
          <w:color w:val="111827"/>
          <w:sz w:val="22"/>
          <w:szCs w:val="22"/>
        </w:rPr>
        <w:t xml:space="preserve">Where the Processor transfers Personal Data to a Sub-Processor located outside the UK and EEA, the Processor shall ensure appropriate safeguards are in place, including UK IDTAs or EU SCCs as applicable, and shall notify the Controller in Schedule B.</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10. Deletion and Return of Data</w:t>
      </w:r>
    </w:p>
    <w:p>
      <w:pPr>
        <w:spacing w:after="140" w:before="0"/>
      </w:pPr>
      <w:r>
        <w:rPr>
          <w:rFonts w:ascii="Arial" w:cs="Arial" w:eastAsia="Arial" w:hAnsi="Arial"/>
          <w:b w:val="false"/>
          <w:bCs w:val="false"/>
          <w:i w:val="false"/>
          <w:iCs w:val="false"/>
          <w:color w:val="111827"/>
          <w:sz w:val="22"/>
          <w:szCs w:val="22"/>
        </w:rPr>
        <w:t xml:space="preserve">Upon termination or expiry of the Partner Terms, or upon written instruction from the Controller at any time:</w:t>
      </w:r>
    </w:p>
    <w:p>
      <w:pPr>
        <w:pStyle w:val="ListParagraph"/>
        <w:numPr>
          <w:ilvl w:val="0"/>
          <w:numId w:val="2"/>
        </w:numPr>
        <w:spacing w:after="80" w:before="0"/>
      </w:pPr>
      <w:r>
        <w:rPr>
          <w:rFonts w:ascii="Arial" w:cs="Arial" w:eastAsia="Arial" w:hAnsi="Arial"/>
          <w:color w:val="111827"/>
          <w:sz w:val="22"/>
          <w:szCs w:val="22"/>
        </w:rPr>
        <w:t xml:space="preserve">The Processor shall, at the Controller’s choice, either securely delete all Personal Data processed under this DPA, or return it to the Controller in a commonly used machine-readable format (JSON or CSV) within 30 days.</w:t>
      </w:r>
    </w:p>
    <w:p>
      <w:pPr>
        <w:pStyle w:val="ListParagraph"/>
        <w:numPr>
          <w:ilvl w:val="0"/>
          <w:numId w:val="2"/>
        </w:numPr>
        <w:spacing w:after="80" w:before="0"/>
      </w:pPr>
      <w:r>
        <w:rPr>
          <w:rFonts w:ascii="Arial" w:cs="Arial" w:eastAsia="Arial" w:hAnsi="Arial"/>
          <w:color w:val="111827"/>
          <w:sz w:val="22"/>
          <w:szCs w:val="22"/>
        </w:rPr>
        <w:t xml:space="preserve">The Processor shall provide written confirmation of deletion upon request.</w:t>
      </w:r>
    </w:p>
    <w:p>
      <w:pPr>
        <w:pStyle w:val="ListParagraph"/>
        <w:numPr>
          <w:ilvl w:val="0"/>
          <w:numId w:val="2"/>
        </w:numPr>
        <w:spacing w:after="80" w:before="0"/>
      </w:pPr>
      <w:r>
        <w:rPr>
          <w:rFonts w:ascii="Arial" w:cs="Arial" w:eastAsia="Arial" w:hAnsi="Arial"/>
          <w:color w:val="111827"/>
          <w:sz w:val="22"/>
          <w:szCs w:val="22"/>
        </w:rPr>
        <w:t xml:space="preserve">Notwithstanding the above, the Processor may retain Personal Data where required by applicable law (e.g. audit log retention requirements) for the minimum period required, after which it shall be securely deleted.</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11. Liability</w:t>
      </w:r>
    </w:p>
    <w:p>
      <w:pPr>
        <w:spacing w:after="140" w:before="0"/>
      </w:pPr>
      <w:r>
        <w:rPr>
          <w:rFonts w:ascii="Arial" w:cs="Arial" w:eastAsia="Arial" w:hAnsi="Arial"/>
          <w:b w:val="false"/>
          <w:bCs w:val="false"/>
          <w:i w:val="false"/>
          <w:iCs w:val="false"/>
          <w:color w:val="111827"/>
          <w:sz w:val="22"/>
          <w:szCs w:val="22"/>
        </w:rPr>
        <w:t xml:space="preserve">The liability of each party under this DPA is subject to and governed by the limitations of liability set out in the Partner Terms, except that:</w:t>
      </w:r>
    </w:p>
    <w:p>
      <w:pPr>
        <w:pStyle w:val="ListParagraph"/>
        <w:numPr>
          <w:ilvl w:val="0"/>
          <w:numId w:val="2"/>
        </w:numPr>
        <w:spacing w:after="80" w:before="0"/>
      </w:pPr>
      <w:r>
        <w:rPr>
          <w:rFonts w:ascii="Arial" w:cs="Arial" w:eastAsia="Arial" w:hAnsi="Arial"/>
          <w:color w:val="111827"/>
          <w:sz w:val="22"/>
          <w:szCs w:val="22"/>
        </w:rPr>
        <w:t xml:space="preserve">Neither party excludes liability for any regulatory fines or penalties imposed directly on that party by a supervisory authority.</w:t>
      </w:r>
    </w:p>
    <w:p>
      <w:pPr>
        <w:pStyle w:val="ListParagraph"/>
        <w:numPr>
          <w:ilvl w:val="0"/>
          <w:numId w:val="2"/>
        </w:numPr>
        <w:spacing w:after="80" w:before="0"/>
      </w:pPr>
      <w:r>
        <w:rPr>
          <w:rFonts w:ascii="Arial" w:cs="Arial" w:eastAsia="Arial" w:hAnsi="Arial"/>
          <w:color w:val="111827"/>
          <w:sz w:val="22"/>
          <w:szCs w:val="22"/>
        </w:rPr>
        <w:t xml:space="preserve">The allocation of liability between the parties for regulatory fines attributable to the combined actions of both parties shall be determined in accordance with Article 82 of UK/EU GDPR and any applicable regulatory guidance.</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12. Duration and Survival</w:t>
      </w:r>
    </w:p>
    <w:p>
      <w:pPr>
        <w:spacing w:after="140" w:before="0"/>
      </w:pPr>
      <w:r>
        <w:rPr>
          <w:rFonts w:ascii="Arial" w:cs="Arial" w:eastAsia="Arial" w:hAnsi="Arial"/>
          <w:b w:val="false"/>
          <w:bCs w:val="false"/>
          <w:i w:val="false"/>
          <w:iCs w:val="false"/>
          <w:color w:val="111827"/>
          <w:sz w:val="22"/>
          <w:szCs w:val="22"/>
        </w:rPr>
        <w:t xml:space="preserve">This DPA remains in force for as long as the Processor processes Personal Data on behalf of the Controller. The obligations in this DPA that by their nature should survive termination (including Clauses 8, 9, and 10) shall survive termination of the Partner Terms.</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13. Governing Law</w:t>
      </w:r>
    </w:p>
    <w:p>
      <w:pPr>
        <w:spacing w:after="140" w:before="0"/>
      </w:pPr>
      <w:r>
        <w:rPr>
          <w:rFonts w:ascii="Arial" w:cs="Arial" w:eastAsia="Arial" w:hAnsi="Arial"/>
          <w:b w:val="false"/>
          <w:bCs w:val="false"/>
          <w:i w:val="false"/>
          <w:iCs w:val="false"/>
          <w:color w:val="111827"/>
          <w:sz w:val="22"/>
          <w:szCs w:val="22"/>
        </w:rPr>
        <w:t xml:space="preserve">This DPA is governed by the law of England and Wales and the parties submit to the exclusive jurisdiction of the courts of England and Wales, unless the Controller is established in an EU member state and EU GDPR applies, in which case the mandatory provisions of EU law shall apply in addition.</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14. Contact Details</w:t>
      </w:r>
    </w:p>
    <w:p>
      <w:pPr>
        <w:spacing w:after="80" w:before="240"/>
      </w:pPr>
      <w:r>
        <w:rPr>
          <w:rFonts w:ascii="Arial" w:cs="Arial" w:eastAsia="Arial" w:hAnsi="Arial"/>
          <w:b/>
          <w:bCs/>
          <w:color w:val="111827"/>
          <w:sz w:val="22"/>
          <w:szCs w:val="22"/>
        </w:rPr>
        <w:t xml:space="preserve">Processor — Energy Shift Europe Limited</w:t>
      </w:r>
    </w:p>
    <w:p>
      <w:pPr>
        <w:spacing w:after="140" w:before="0"/>
      </w:pPr>
      <w:r>
        <w:rPr>
          <w:rFonts w:ascii="Arial" w:cs="Arial" w:eastAsia="Arial" w:hAnsi="Arial"/>
          <w:b w:val="false"/>
          <w:bCs w:val="false"/>
          <w:i w:val="false"/>
          <w:iCs w:val="false"/>
          <w:color w:val="111827"/>
          <w:sz w:val="22"/>
          <w:szCs w:val="22"/>
        </w:rPr>
        <w:t xml:space="preserve">Data Protection Contact</w:t>
      </w:r>
    </w:p>
    <w:p>
      <w:pPr>
        <w:spacing w:after="140" w:before="0"/>
      </w:pPr>
      <w:r>
        <w:rPr>
          <w:rFonts w:ascii="Arial" w:cs="Arial" w:eastAsia="Arial" w:hAnsi="Arial"/>
          <w:b/>
          <w:bCs/>
          <w:color w:val="111827"/>
          <w:sz w:val="22"/>
          <w:szCs w:val="22"/>
        </w:rPr>
        <w:t xml:space="preserve">Email: </w:t>
      </w:r>
      <w:hyperlink w:history="1" r:id="rIdr8l9wnt21u17sk6xsyqmc">
        <w:r>
          <w:rPr>
            <w:rStyle w:val="Hyperlink"/>
            <w:rFonts w:ascii="Arial" w:cs="Arial" w:eastAsia="Arial" w:hAnsi="Arial"/>
            <w:color w:val="5B21B6"/>
            <w:sz w:val="22"/>
            <w:szCs w:val="22"/>
            <w:u w:val="single"/>
          </w:rPr>
          <w:t xml:space="preserve">privacy@energyshift.eu</w:t>
        </w:r>
      </w:hyperlink>
    </w:p>
    <w:p>
      <w:pPr>
        <w:spacing w:after="140" w:before="0"/>
      </w:pPr>
      <w:r>
        <w:rPr>
          <w:rFonts w:ascii="Arial" w:cs="Arial" w:eastAsia="Arial" w:hAnsi="Arial"/>
          <w:b w:val="false"/>
          <w:bCs w:val="false"/>
          <w:i w:val="false"/>
          <w:iCs w:val="false"/>
          <w:color w:val="111827"/>
          <w:sz w:val="22"/>
          <w:szCs w:val="22"/>
        </w:rPr>
        <w:t xml:space="preserve">124 City Road, London, EC1V 2NX, United Kingdom</w:t>
      </w:r>
    </w:p>
    <w:p>
      <w:pPr>
        <w:spacing w:after="140" w:before="0"/>
      </w:pPr>
      <w:r>
        <w:rPr>
          <w:rFonts w:ascii="Arial" w:cs="Arial" w:eastAsia="Arial" w:hAnsi="Arial"/>
          <w:b/>
          <w:bCs/>
          <w:color w:val="111827"/>
          <w:sz w:val="22"/>
          <w:szCs w:val="22"/>
        </w:rPr>
        <w:t xml:space="preserve">Companies House: </w:t>
      </w:r>
      <w:r>
        <w:rPr>
          <w:rFonts w:ascii="Arial" w:cs="Arial" w:eastAsia="Arial" w:hAnsi="Arial"/>
          <w:color w:val="111827"/>
          <w:sz w:val="22"/>
          <w:szCs w:val="22"/>
        </w:rPr>
        <w:t xml:space="preserve">13579214</w:t>
      </w:r>
    </w:p>
    <w:p>
      <w:pPr>
        <w:spacing w:after="140" w:before="0"/>
      </w:pPr>
      <w:r>
        <w:rPr>
          <w:rFonts w:ascii="Arial" w:cs="Arial" w:eastAsia="Arial" w:hAnsi="Arial"/>
          <w:b/>
          <w:bCs/>
          <w:color w:val="111827"/>
          <w:sz w:val="22"/>
          <w:szCs w:val="22"/>
        </w:rPr>
        <w:t xml:space="preserve">ICO registration: </w:t>
      </w:r>
      <w:r>
        <w:rPr>
          <w:rFonts w:ascii="Arial" w:cs="Arial" w:eastAsia="Arial" w:hAnsi="Arial"/>
          <w:color w:val="111827"/>
          <w:sz w:val="22"/>
          <w:szCs w:val="22"/>
        </w:rPr>
        <w:t xml:space="preserve">ZB382436</w:t>
      </w:r>
    </w:p>
    <w:p>
      <w:pPr>
        <w:spacing w:after="100" w:before="0"/>
      </w:pPr>
      <w:r>
        <w:t xml:space="preserve"/>
      </w:r>
    </w:p>
    <w:p>
      <w:pPr>
        <w:spacing w:after="80" w:before="240"/>
      </w:pPr>
      <w:r>
        <w:rPr>
          <w:rFonts w:ascii="Arial" w:cs="Arial" w:eastAsia="Arial" w:hAnsi="Arial"/>
          <w:b/>
          <w:bCs/>
          <w:color w:val="111827"/>
          <w:sz w:val="22"/>
          <w:szCs w:val="22"/>
        </w:rPr>
        <w:t xml:space="preserve">Controller — Partner</w:t>
      </w:r>
    </w:p>
    <w:p>
      <w:pPr>
        <w:spacing w:after="140" w:before="0"/>
      </w:pPr>
      <w:r>
        <w:rPr>
          <w:rFonts w:ascii="Arial" w:cs="Arial" w:eastAsia="Arial" w:hAnsi="Arial"/>
          <w:b w:val="false"/>
          <w:bCs w:val="false"/>
          <w:i w:val="false"/>
          <w:iCs w:val="false"/>
          <w:color w:val="111827"/>
          <w:sz w:val="22"/>
          <w:szCs w:val="22"/>
        </w:rPr>
        <w:t xml:space="preserve">Data Protection Contact name: ___________________________________</w:t>
      </w:r>
    </w:p>
    <w:p>
      <w:pPr>
        <w:spacing w:after="140" w:before="0"/>
      </w:pPr>
      <w:r>
        <w:rPr>
          <w:rFonts w:ascii="Arial" w:cs="Arial" w:eastAsia="Arial" w:hAnsi="Arial"/>
          <w:b w:val="false"/>
          <w:bCs w:val="false"/>
          <w:i w:val="false"/>
          <w:iCs w:val="false"/>
          <w:color w:val="111827"/>
          <w:sz w:val="22"/>
          <w:szCs w:val="22"/>
        </w:rPr>
        <w:t xml:space="preserve">Email: ___________________________________</w:t>
      </w:r>
    </w:p>
    <w:p>
      <w:pPr>
        <w:spacing w:after="140" w:before="0"/>
      </w:pPr>
      <w:r>
        <w:rPr>
          <w:rFonts w:ascii="Arial" w:cs="Arial" w:eastAsia="Arial" w:hAnsi="Arial"/>
          <w:b w:val="false"/>
          <w:bCs w:val="false"/>
          <w:i w:val="false"/>
          <w:iCs w:val="false"/>
          <w:color w:val="111827"/>
          <w:sz w:val="22"/>
          <w:szCs w:val="22"/>
        </w:rPr>
        <w:t xml:space="preserve">Company: ___________________________________</w:t>
      </w:r>
    </w:p>
    <w:p>
      <w:pPr>
        <w:spacing w:after="140" w:before="0"/>
      </w:pPr>
      <w:r>
        <w:rPr>
          <w:rFonts w:ascii="Arial" w:cs="Arial" w:eastAsia="Arial" w:hAnsi="Arial"/>
          <w:b w:val="false"/>
          <w:bCs w:val="false"/>
          <w:i w:val="false"/>
          <w:iCs w:val="false"/>
          <w:color w:val="111827"/>
          <w:sz w:val="22"/>
          <w:szCs w:val="22"/>
        </w:rPr>
        <w:t xml:space="preserve">Address: ___________________________________</w:t>
      </w:r>
    </w:p>
    <w:p>
      <w:pPr>
        <w:spacing w:after="100" w:before="0"/>
      </w:pPr>
      <w:r>
        <w:t xml:space="preserve"/>
      </w:r>
    </w:p>
    <w:p>
      <w:pPr>
        <w:pBdr>
          <w:bottom w:val="single" w:color="E5E7EB" w:sz="4" w:space="1"/>
        </w:pBdr>
        <w:spacing w:after="200" w:before="200"/>
      </w:pPr>
      <w:r>
        <w:t xml:space="preserve"/>
      </w:r>
    </w:p>
    <w:p>
      <w:pPr>
        <w:spacing w:after="100" w:before="0"/>
      </w:pPr>
      <w:r>
        <w:t xml:space="preserve"/>
      </w:r>
    </w:p>
    <w:p>
      <w:pPr>
        <w:spacing w:after="100" w:before="0"/>
      </w:pPr>
      <w:r>
        <w:t xml:space="preserve"/>
      </w:r>
    </w:p>
    <w:p>
      <w:pPr>
        <w:spacing w:after="80" w:before="240"/>
      </w:pPr>
      <w:r>
        <w:rPr>
          <w:rFonts w:ascii="Arial" w:cs="Arial" w:eastAsia="Arial" w:hAnsi="Arial"/>
          <w:b/>
          <w:bCs/>
          <w:color w:val="111827"/>
          <w:sz w:val="22"/>
          <w:szCs w:val="22"/>
        </w:rPr>
        <w:t xml:space="preserve">Signed for and on behalf of Energy Shift Europe Limited</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Signature: ___________________________________</w:t>
      </w:r>
    </w:p>
    <w:p>
      <w:pPr>
        <w:spacing w:after="140" w:before="0"/>
      </w:pPr>
      <w:r>
        <w:rPr>
          <w:rFonts w:ascii="Arial" w:cs="Arial" w:eastAsia="Arial" w:hAnsi="Arial"/>
          <w:b w:val="false"/>
          <w:bCs w:val="false"/>
          <w:i w:val="false"/>
          <w:iCs w:val="false"/>
          <w:color w:val="111827"/>
          <w:sz w:val="22"/>
          <w:szCs w:val="22"/>
        </w:rPr>
        <w:t xml:space="preserve">Name: ___________________________________</w:t>
      </w:r>
    </w:p>
    <w:p>
      <w:pPr>
        <w:spacing w:after="140" w:before="0"/>
      </w:pPr>
      <w:r>
        <w:rPr>
          <w:rFonts w:ascii="Arial" w:cs="Arial" w:eastAsia="Arial" w:hAnsi="Arial"/>
          <w:b w:val="false"/>
          <w:bCs w:val="false"/>
          <w:i w:val="false"/>
          <w:iCs w:val="false"/>
          <w:color w:val="111827"/>
          <w:sz w:val="22"/>
          <w:szCs w:val="22"/>
        </w:rPr>
        <w:t xml:space="preserve">Title: ___________________________________</w:t>
      </w:r>
    </w:p>
    <w:p>
      <w:pPr>
        <w:spacing w:after="140" w:before="0"/>
      </w:pPr>
      <w:r>
        <w:rPr>
          <w:rFonts w:ascii="Arial" w:cs="Arial" w:eastAsia="Arial" w:hAnsi="Arial"/>
          <w:b w:val="false"/>
          <w:bCs w:val="false"/>
          <w:i w:val="false"/>
          <w:iCs w:val="false"/>
          <w:color w:val="111827"/>
          <w:sz w:val="22"/>
          <w:szCs w:val="22"/>
        </w:rPr>
        <w:t xml:space="preserve">Date: ___________________________________</w:t>
      </w:r>
    </w:p>
    <w:p>
      <w:pPr>
        <w:spacing w:after="100" w:before="0"/>
      </w:pPr>
      <w:r>
        <w:t xml:space="preserve"/>
      </w:r>
    </w:p>
    <w:p>
      <w:pPr>
        <w:spacing w:after="100" w:before="0"/>
      </w:pPr>
      <w:r>
        <w:t xml:space="preserve"/>
      </w:r>
    </w:p>
    <w:p>
      <w:pPr>
        <w:spacing w:after="80" w:before="240"/>
      </w:pPr>
      <w:r>
        <w:rPr>
          <w:rFonts w:ascii="Arial" w:cs="Arial" w:eastAsia="Arial" w:hAnsi="Arial"/>
          <w:b/>
          <w:bCs/>
          <w:color w:val="111827"/>
          <w:sz w:val="22"/>
          <w:szCs w:val="22"/>
        </w:rPr>
        <w:t xml:space="preserve">Signed for and on behalf of the Partner</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Signature: ___________________________________</w:t>
      </w:r>
    </w:p>
    <w:p>
      <w:pPr>
        <w:spacing w:after="140" w:before="0"/>
      </w:pPr>
      <w:r>
        <w:rPr>
          <w:rFonts w:ascii="Arial" w:cs="Arial" w:eastAsia="Arial" w:hAnsi="Arial"/>
          <w:b w:val="false"/>
          <w:bCs w:val="false"/>
          <w:i w:val="false"/>
          <w:iCs w:val="false"/>
          <w:color w:val="111827"/>
          <w:sz w:val="22"/>
          <w:szCs w:val="22"/>
        </w:rPr>
        <w:t xml:space="preserve">Name: ___________________________________</w:t>
      </w:r>
    </w:p>
    <w:p>
      <w:pPr>
        <w:spacing w:after="140" w:before="0"/>
      </w:pPr>
      <w:r>
        <w:rPr>
          <w:rFonts w:ascii="Arial" w:cs="Arial" w:eastAsia="Arial" w:hAnsi="Arial"/>
          <w:b w:val="false"/>
          <w:bCs w:val="false"/>
          <w:i w:val="false"/>
          <w:iCs w:val="false"/>
          <w:color w:val="111827"/>
          <w:sz w:val="22"/>
          <w:szCs w:val="22"/>
        </w:rPr>
        <w:t xml:space="preserve">Title: ___________________________________</w:t>
      </w:r>
    </w:p>
    <w:p>
      <w:pPr>
        <w:spacing w:after="140" w:before="0"/>
      </w:pPr>
      <w:r>
        <w:rPr>
          <w:rFonts w:ascii="Arial" w:cs="Arial" w:eastAsia="Arial" w:hAnsi="Arial"/>
          <w:b w:val="false"/>
          <w:bCs w:val="false"/>
          <w:i w:val="false"/>
          <w:iCs w:val="false"/>
          <w:color w:val="111827"/>
          <w:sz w:val="22"/>
          <w:szCs w:val="22"/>
        </w:rPr>
        <w:t xml:space="preserve">Company: ___________________________________</w:t>
      </w:r>
    </w:p>
    <w:p>
      <w:pPr>
        <w:spacing w:after="140" w:before="0"/>
      </w:pPr>
      <w:r>
        <w:rPr>
          <w:rFonts w:ascii="Arial" w:cs="Arial" w:eastAsia="Arial" w:hAnsi="Arial"/>
          <w:b w:val="false"/>
          <w:bCs w:val="false"/>
          <w:i w:val="false"/>
          <w:iCs w:val="false"/>
          <w:color w:val="111827"/>
          <w:sz w:val="22"/>
          <w:szCs w:val="22"/>
        </w:rPr>
        <w:t xml:space="preserve">Date: ___________________________________</w:t>
      </w:r>
    </w:p>
    <w:p>
      <w:pPr>
        <w:spacing w:after="100" w:before="0"/>
      </w:pPr>
      <w:r>
        <w:t xml:space="preserve"/>
      </w:r>
    </w:p>
    <w:p>
      <w:pPr>
        <w:pBdr>
          <w:bottom w:val="single" w:color="E5E7EB" w:sz="4" w:space="1"/>
        </w:pBdr>
        <w:spacing w:after="200" w:before="200"/>
      </w:pPr>
      <w:r>
        <w:t xml:space="preserve"/>
      </w:r>
    </w:p>
    <w:p>
      <w:pPr>
        <w:pStyle w:val="Heading2"/>
        <w:spacing w:after="120" w:before="360"/>
      </w:pPr>
      <w:r>
        <w:rPr>
          <w:rFonts w:ascii="Arial" w:cs="Arial" w:eastAsia="Arial" w:hAnsi="Arial"/>
          <w:b/>
          <w:bCs/>
          <w:color w:val="111827"/>
          <w:sz w:val="26"/>
          <w:szCs w:val="26"/>
        </w:rPr>
        <w:t xml:space="preserve">Schedule A — Technical and Organisational Security Measures</w:t>
      </w:r>
    </w:p>
    <w:p>
      <w:pPr>
        <w:spacing w:after="140" w:before="0"/>
      </w:pPr>
      <w:r>
        <w:rPr>
          <w:rFonts w:ascii="Arial" w:cs="Arial" w:eastAsia="Arial" w:hAnsi="Arial"/>
          <w:b w:val="false"/>
          <w:bCs w:val="false"/>
          <w:i w:val="false"/>
          <w:iCs w:val="false"/>
          <w:color w:val="111827"/>
          <w:sz w:val="22"/>
          <w:szCs w:val="22"/>
        </w:rPr>
        <w:t xml:space="preserve">The Processor implements and maintains the following measures in accordance with Article 32 of UK/EU GDPR:</w:t>
      </w:r>
    </w:p>
    <w:p>
      <w:pPr>
        <w:spacing w:after="100" w:before="0"/>
      </w:pPr>
      <w:r>
        <w:t xml:space="preserve"/>
      </w:r>
    </w:p>
    <w:p>
      <w:pPr>
        <w:spacing w:after="80" w:before="240"/>
      </w:pPr>
      <w:r>
        <w:rPr>
          <w:rFonts w:ascii="Arial" w:cs="Arial" w:eastAsia="Arial" w:hAnsi="Arial"/>
          <w:b/>
          <w:bCs/>
          <w:color w:val="111827"/>
          <w:sz w:val="22"/>
          <w:szCs w:val="22"/>
        </w:rPr>
        <w:t xml:space="preserve">A.1  Encryption</w:t>
      </w:r>
    </w:p>
    <w:p>
      <w:pPr>
        <w:pStyle w:val="ListParagraph"/>
        <w:numPr>
          <w:ilvl w:val="0"/>
          <w:numId w:val="2"/>
        </w:numPr>
        <w:spacing w:after="80" w:before="0"/>
      </w:pPr>
      <w:r>
        <w:rPr>
          <w:rFonts w:ascii="Arial" w:cs="Arial" w:eastAsia="Arial" w:hAnsi="Arial"/>
          <w:color w:val="111827"/>
          <w:sz w:val="22"/>
          <w:szCs w:val="22"/>
        </w:rPr>
        <w:t xml:space="preserve">All data in transit is encrypted using TLS 1.2 or higher (HTTPS enforced on all endpoints).</w:t>
      </w:r>
    </w:p>
    <w:p>
      <w:pPr>
        <w:pStyle w:val="ListParagraph"/>
        <w:numPr>
          <w:ilvl w:val="0"/>
          <w:numId w:val="2"/>
        </w:numPr>
        <w:spacing w:after="80" w:before="0"/>
      </w:pPr>
      <w:r>
        <w:rPr>
          <w:rFonts w:ascii="Arial" w:cs="Arial" w:eastAsia="Arial" w:hAnsi="Arial"/>
          <w:color w:val="111827"/>
          <w:sz w:val="22"/>
          <w:szCs w:val="22"/>
        </w:rPr>
        <w:t xml:space="preserve">Sensitive data fields at rest (API key identifiers, payment tokens, session tokens) are encrypted using AES-256.</w:t>
      </w:r>
    </w:p>
    <w:p>
      <w:pPr>
        <w:pStyle w:val="ListParagraph"/>
        <w:numPr>
          <w:ilvl w:val="0"/>
          <w:numId w:val="2"/>
        </w:numPr>
        <w:spacing w:after="80" w:before="0"/>
      </w:pPr>
      <w:r>
        <w:rPr>
          <w:rFonts w:ascii="Arial" w:cs="Arial" w:eastAsia="Arial" w:hAnsi="Arial"/>
          <w:color w:val="111827"/>
          <w:sz w:val="22"/>
          <w:szCs w:val="22"/>
        </w:rPr>
        <w:t xml:space="preserve">Database backups are encrypted at rest.</w:t>
      </w:r>
    </w:p>
    <w:p>
      <w:pPr>
        <w:spacing w:after="100" w:before="0"/>
      </w:pPr>
      <w:r>
        <w:t xml:space="preserve"/>
      </w:r>
    </w:p>
    <w:p>
      <w:pPr>
        <w:spacing w:after="80" w:before="240"/>
      </w:pPr>
      <w:r>
        <w:rPr>
          <w:rFonts w:ascii="Arial" w:cs="Arial" w:eastAsia="Arial" w:hAnsi="Arial"/>
          <w:b/>
          <w:bCs/>
          <w:color w:val="111827"/>
          <w:sz w:val="22"/>
          <w:szCs w:val="22"/>
        </w:rPr>
        <w:t xml:space="preserve">A.2  Access control</w:t>
      </w:r>
    </w:p>
    <w:p>
      <w:pPr>
        <w:pStyle w:val="ListParagraph"/>
        <w:numPr>
          <w:ilvl w:val="0"/>
          <w:numId w:val="2"/>
        </w:numPr>
        <w:spacing w:after="80" w:before="0"/>
      </w:pPr>
      <w:r>
        <w:rPr>
          <w:rFonts w:ascii="Arial" w:cs="Arial" w:eastAsia="Arial" w:hAnsi="Arial"/>
          <w:color w:val="111827"/>
          <w:sz w:val="22"/>
          <w:szCs w:val="22"/>
        </w:rPr>
        <w:t xml:space="preserve">Role-based access control (RBAC) is implemented across all platform components. Staff access only the data necessary for their role (principle of least privilege).</w:t>
      </w:r>
    </w:p>
    <w:p>
      <w:pPr>
        <w:pStyle w:val="ListParagraph"/>
        <w:numPr>
          <w:ilvl w:val="0"/>
          <w:numId w:val="2"/>
        </w:numPr>
        <w:spacing w:after="80" w:before="0"/>
      </w:pPr>
      <w:r>
        <w:rPr>
          <w:rFonts w:ascii="Arial" w:cs="Arial" w:eastAsia="Arial" w:hAnsi="Arial"/>
          <w:color w:val="111827"/>
          <w:sz w:val="22"/>
          <w:szCs w:val="22"/>
        </w:rPr>
        <w:t xml:space="preserve">Multi-factor authentication (MFA) is required for all internal staff accessing production systems.</w:t>
      </w:r>
    </w:p>
    <w:p>
      <w:pPr>
        <w:pStyle w:val="ListParagraph"/>
        <w:numPr>
          <w:ilvl w:val="0"/>
          <w:numId w:val="2"/>
        </w:numPr>
        <w:spacing w:after="80" w:before="0"/>
      </w:pPr>
      <w:r>
        <w:rPr>
          <w:rFonts w:ascii="Arial" w:cs="Arial" w:eastAsia="Arial" w:hAnsi="Arial"/>
          <w:color w:val="111827"/>
          <w:sz w:val="22"/>
          <w:szCs w:val="22"/>
        </w:rPr>
        <w:t xml:space="preserve">API access is authenticated via unique bearer tokens. Tokens are short-lived and must be rotated at least annually.</w:t>
      </w:r>
    </w:p>
    <w:p>
      <w:pPr>
        <w:pStyle w:val="ListParagraph"/>
        <w:numPr>
          <w:ilvl w:val="0"/>
          <w:numId w:val="2"/>
        </w:numPr>
        <w:spacing w:after="80" w:before="0"/>
      </w:pPr>
      <w:r>
        <w:rPr>
          <w:rFonts w:ascii="Arial" w:cs="Arial" w:eastAsia="Arial" w:hAnsi="Arial"/>
          <w:color w:val="111827"/>
          <w:sz w:val="22"/>
          <w:szCs w:val="22"/>
        </w:rPr>
        <w:t xml:space="preserve">Privileged access to databases and infrastructure is restricted to a named list of senior engineers and is subject to approval workflows.</w:t>
      </w:r>
    </w:p>
    <w:p>
      <w:pPr>
        <w:spacing w:after="100" w:before="0"/>
      </w:pPr>
      <w:r>
        <w:t xml:space="preserve"/>
      </w:r>
    </w:p>
    <w:p>
      <w:pPr>
        <w:spacing w:after="80" w:before="240"/>
      </w:pPr>
      <w:r>
        <w:rPr>
          <w:rFonts w:ascii="Arial" w:cs="Arial" w:eastAsia="Arial" w:hAnsi="Arial"/>
          <w:b/>
          <w:bCs/>
          <w:color w:val="111827"/>
          <w:sz w:val="22"/>
          <w:szCs w:val="22"/>
        </w:rPr>
        <w:t xml:space="preserve">A.3  Physical security</w:t>
      </w:r>
    </w:p>
    <w:p>
      <w:pPr>
        <w:pStyle w:val="ListParagraph"/>
        <w:numPr>
          <w:ilvl w:val="0"/>
          <w:numId w:val="2"/>
        </w:numPr>
        <w:spacing w:after="80" w:before="0"/>
      </w:pPr>
      <w:r>
        <w:rPr>
          <w:rFonts w:ascii="Arial" w:cs="Arial" w:eastAsia="Arial" w:hAnsi="Arial"/>
          <w:color w:val="111827"/>
          <w:sz w:val="22"/>
          <w:szCs w:val="22"/>
        </w:rPr>
        <w:t xml:space="preserve">Data is processed in ISO 27001-certified or equivalent data centres operated by our cloud infrastructure provider (EU/UK regions).</w:t>
      </w:r>
    </w:p>
    <w:p>
      <w:pPr>
        <w:pStyle w:val="ListParagraph"/>
        <w:numPr>
          <w:ilvl w:val="0"/>
          <w:numId w:val="2"/>
        </w:numPr>
        <w:spacing w:after="80" w:before="0"/>
      </w:pPr>
      <w:r>
        <w:rPr>
          <w:rFonts w:ascii="Arial" w:cs="Arial" w:eastAsia="Arial" w:hAnsi="Arial"/>
          <w:color w:val="111827"/>
          <w:sz w:val="22"/>
          <w:szCs w:val="22"/>
        </w:rPr>
        <w:t xml:space="preserve">Energy Shift staff work remotely or from locked office premises. No Personal Data is stored on portable media without encryption.</w:t>
      </w:r>
    </w:p>
    <w:p>
      <w:pPr>
        <w:spacing w:after="100" w:before="0"/>
      </w:pPr>
      <w:r>
        <w:t xml:space="preserve"/>
      </w:r>
    </w:p>
    <w:p>
      <w:pPr>
        <w:spacing w:after="80" w:before="240"/>
      </w:pPr>
      <w:r>
        <w:rPr>
          <w:rFonts w:ascii="Arial" w:cs="Arial" w:eastAsia="Arial" w:hAnsi="Arial"/>
          <w:b/>
          <w:bCs/>
          <w:color w:val="111827"/>
          <w:sz w:val="22"/>
          <w:szCs w:val="22"/>
        </w:rPr>
        <w:t xml:space="preserve">A.4  Availability and resilience</w:t>
      </w:r>
    </w:p>
    <w:p>
      <w:pPr>
        <w:pStyle w:val="ListParagraph"/>
        <w:numPr>
          <w:ilvl w:val="0"/>
          <w:numId w:val="2"/>
        </w:numPr>
        <w:spacing w:after="80" w:before="0"/>
      </w:pPr>
      <w:r>
        <w:rPr>
          <w:rFonts w:ascii="Arial" w:cs="Arial" w:eastAsia="Arial" w:hAnsi="Arial"/>
          <w:color w:val="111827"/>
          <w:sz w:val="22"/>
          <w:szCs w:val="22"/>
        </w:rPr>
        <w:t xml:space="preserve">The platform is deployed across multiple availability zones to ensure resilience against single-point failure.</w:t>
      </w:r>
    </w:p>
    <w:p>
      <w:pPr>
        <w:pStyle w:val="ListParagraph"/>
        <w:numPr>
          <w:ilvl w:val="0"/>
          <w:numId w:val="2"/>
        </w:numPr>
        <w:spacing w:after="80" w:before="0"/>
      </w:pPr>
      <w:r>
        <w:rPr>
          <w:rFonts w:ascii="Arial" w:cs="Arial" w:eastAsia="Arial" w:hAnsi="Arial"/>
          <w:color w:val="111827"/>
          <w:sz w:val="22"/>
          <w:szCs w:val="22"/>
        </w:rPr>
        <w:t xml:space="preserve">Automated backups are performed daily. Recovery time objective (RTO) is 4 hours; recovery point objective (RPO) is 1 hour.</w:t>
      </w:r>
    </w:p>
    <w:p>
      <w:pPr>
        <w:pStyle w:val="ListParagraph"/>
        <w:numPr>
          <w:ilvl w:val="0"/>
          <w:numId w:val="2"/>
        </w:numPr>
        <w:spacing w:after="80" w:before="0"/>
      </w:pPr>
      <w:r>
        <w:rPr>
          <w:rFonts w:ascii="Arial" w:cs="Arial" w:eastAsia="Arial" w:hAnsi="Arial"/>
          <w:color w:val="111827"/>
          <w:sz w:val="22"/>
          <w:szCs w:val="22"/>
        </w:rPr>
        <w:t xml:space="preserve">Platform availability is monitored 24/7 with automated alerting.</w:t>
      </w:r>
    </w:p>
    <w:p>
      <w:pPr>
        <w:spacing w:after="100" w:before="0"/>
      </w:pPr>
      <w:r>
        <w:t xml:space="preserve"/>
      </w:r>
    </w:p>
    <w:p>
      <w:pPr>
        <w:spacing w:after="80" w:before="240"/>
      </w:pPr>
      <w:r>
        <w:rPr>
          <w:rFonts w:ascii="Arial" w:cs="Arial" w:eastAsia="Arial" w:hAnsi="Arial"/>
          <w:b/>
          <w:bCs/>
          <w:color w:val="111827"/>
          <w:sz w:val="22"/>
          <w:szCs w:val="22"/>
        </w:rPr>
        <w:t xml:space="preserve">A.5  Security testing and monitoring</w:t>
      </w:r>
    </w:p>
    <w:p>
      <w:pPr>
        <w:pStyle w:val="ListParagraph"/>
        <w:numPr>
          <w:ilvl w:val="0"/>
          <w:numId w:val="2"/>
        </w:numPr>
        <w:spacing w:after="80" w:before="0"/>
      </w:pPr>
      <w:r>
        <w:rPr>
          <w:rFonts w:ascii="Arial" w:cs="Arial" w:eastAsia="Arial" w:hAnsi="Arial"/>
          <w:color w:val="111827"/>
          <w:sz w:val="22"/>
          <w:szCs w:val="22"/>
        </w:rPr>
        <w:t xml:space="preserve">Penetration testing is conducted at least annually by an independent third party. Critical findings are remediated within 30 days.</w:t>
      </w:r>
    </w:p>
    <w:p>
      <w:pPr>
        <w:pStyle w:val="ListParagraph"/>
        <w:numPr>
          <w:ilvl w:val="0"/>
          <w:numId w:val="2"/>
        </w:numPr>
        <w:spacing w:after="80" w:before="0"/>
      </w:pPr>
      <w:r>
        <w:rPr>
          <w:rFonts w:ascii="Arial" w:cs="Arial" w:eastAsia="Arial" w:hAnsi="Arial"/>
          <w:color w:val="111827"/>
          <w:sz w:val="22"/>
          <w:szCs w:val="22"/>
        </w:rPr>
        <w:t xml:space="preserve">Vulnerability scanning is performed on all production systems on a continuous basis.</w:t>
      </w:r>
    </w:p>
    <w:p>
      <w:pPr>
        <w:pStyle w:val="ListParagraph"/>
        <w:numPr>
          <w:ilvl w:val="0"/>
          <w:numId w:val="2"/>
        </w:numPr>
        <w:spacing w:after="80" w:before="0"/>
      </w:pPr>
      <w:r>
        <w:rPr>
          <w:rFonts w:ascii="Arial" w:cs="Arial" w:eastAsia="Arial" w:hAnsi="Arial"/>
          <w:color w:val="111827"/>
          <w:sz w:val="22"/>
          <w:szCs w:val="22"/>
        </w:rPr>
        <w:t xml:space="preserve">Application and infrastructure logs are centrally aggregated, monitored, and retained for 90 days.</w:t>
      </w:r>
    </w:p>
    <w:p>
      <w:pPr>
        <w:pStyle w:val="ListParagraph"/>
        <w:numPr>
          <w:ilvl w:val="0"/>
          <w:numId w:val="2"/>
        </w:numPr>
        <w:spacing w:after="80" w:before="0"/>
      </w:pPr>
      <w:r>
        <w:rPr>
          <w:rFonts w:ascii="Arial" w:cs="Arial" w:eastAsia="Arial" w:hAnsi="Arial"/>
          <w:color w:val="111827"/>
          <w:sz w:val="22"/>
          <w:szCs w:val="22"/>
        </w:rPr>
        <w:t xml:space="preserve">Anomalous access patterns and potential account compromises are detected and alerted in near-real time.</w:t>
      </w:r>
    </w:p>
    <w:p>
      <w:pPr>
        <w:spacing w:after="100" w:before="0"/>
      </w:pPr>
      <w:r>
        <w:t xml:space="preserve"/>
      </w:r>
    </w:p>
    <w:p>
      <w:pPr>
        <w:spacing w:after="80" w:before="240"/>
      </w:pPr>
      <w:r>
        <w:rPr>
          <w:rFonts w:ascii="Arial" w:cs="Arial" w:eastAsia="Arial" w:hAnsi="Arial"/>
          <w:b/>
          <w:bCs/>
          <w:color w:val="111827"/>
          <w:sz w:val="22"/>
          <w:szCs w:val="22"/>
        </w:rPr>
        <w:t xml:space="preserve">A.6  Incident response</w:t>
      </w:r>
    </w:p>
    <w:p>
      <w:pPr>
        <w:pStyle w:val="ListParagraph"/>
        <w:numPr>
          <w:ilvl w:val="0"/>
          <w:numId w:val="2"/>
        </w:numPr>
        <w:spacing w:after="80" w:before="0"/>
      </w:pPr>
      <w:r>
        <w:rPr>
          <w:rFonts w:ascii="Arial" w:cs="Arial" w:eastAsia="Arial" w:hAnsi="Arial"/>
          <w:color w:val="111827"/>
          <w:sz w:val="22"/>
          <w:szCs w:val="22"/>
        </w:rPr>
        <w:t xml:space="preserve">A documented incident response plan is maintained and tested annually.</w:t>
      </w:r>
    </w:p>
    <w:p>
      <w:pPr>
        <w:pStyle w:val="ListParagraph"/>
        <w:numPr>
          <w:ilvl w:val="0"/>
          <w:numId w:val="2"/>
        </w:numPr>
        <w:spacing w:after="80" w:before="0"/>
      </w:pPr>
      <w:r>
        <w:rPr>
          <w:rFonts w:ascii="Arial" w:cs="Arial" w:eastAsia="Arial" w:hAnsi="Arial"/>
          <w:color w:val="111827"/>
          <w:sz w:val="22"/>
          <w:szCs w:val="22"/>
        </w:rPr>
        <w:t xml:space="preserve">All staff receive data protection and security awareness training upon onboarding and annually thereafter.</w:t>
      </w:r>
    </w:p>
    <w:p>
      <w:pPr>
        <w:pStyle w:val="ListParagraph"/>
        <w:numPr>
          <w:ilvl w:val="0"/>
          <w:numId w:val="2"/>
        </w:numPr>
        <w:spacing w:after="80" w:before="0"/>
      </w:pPr>
      <w:r>
        <w:rPr>
          <w:rFonts w:ascii="Arial" w:cs="Arial" w:eastAsia="Arial" w:hAnsi="Arial"/>
          <w:color w:val="111827"/>
          <w:sz w:val="22"/>
          <w:szCs w:val="22"/>
        </w:rPr>
        <w:t xml:space="preserve">Personal Data Breaches are triaged within 2 hours, assessed within 24 hours, and reported to the Controller within 48 hours of discovery as required by Clause 8 of this DPA.</w:t>
      </w:r>
    </w:p>
    <w:p>
      <w:pPr>
        <w:spacing w:after="100" w:before="0"/>
      </w:pPr>
      <w:r>
        <w:t xml:space="preserve"/>
      </w:r>
    </w:p>
    <w:p>
      <w:pPr>
        <w:spacing w:after="80" w:before="240"/>
      </w:pPr>
      <w:r>
        <w:rPr>
          <w:rFonts w:ascii="Arial" w:cs="Arial" w:eastAsia="Arial" w:hAnsi="Arial"/>
          <w:b/>
          <w:bCs/>
          <w:color w:val="111827"/>
          <w:sz w:val="22"/>
          <w:szCs w:val="22"/>
        </w:rPr>
        <w:t xml:space="preserve">A.7  Supplier and third-party management</w:t>
      </w:r>
    </w:p>
    <w:p>
      <w:pPr>
        <w:pStyle w:val="ListParagraph"/>
        <w:numPr>
          <w:ilvl w:val="0"/>
          <w:numId w:val="2"/>
        </w:numPr>
        <w:spacing w:after="80" w:before="0"/>
      </w:pPr>
      <w:r>
        <w:rPr>
          <w:rFonts w:ascii="Arial" w:cs="Arial" w:eastAsia="Arial" w:hAnsi="Arial"/>
          <w:color w:val="111827"/>
          <w:sz w:val="22"/>
          <w:szCs w:val="22"/>
        </w:rPr>
        <w:t xml:space="preserve">All Sub-Processors are subject to vendor security assessments before appointment.</w:t>
      </w:r>
    </w:p>
    <w:p>
      <w:pPr>
        <w:pStyle w:val="ListParagraph"/>
        <w:numPr>
          <w:ilvl w:val="0"/>
          <w:numId w:val="2"/>
        </w:numPr>
        <w:spacing w:after="80" w:before="0"/>
      </w:pPr>
      <w:r>
        <w:rPr>
          <w:rFonts w:ascii="Arial" w:cs="Arial" w:eastAsia="Arial" w:hAnsi="Arial"/>
          <w:color w:val="111827"/>
          <w:sz w:val="22"/>
          <w:szCs w:val="22"/>
        </w:rPr>
        <w:t xml:space="preserve">Sub-Processor agreements include data protection obligations equivalent to those in this DPA.</w:t>
      </w:r>
    </w:p>
    <w:p>
      <w:pPr>
        <w:spacing w:after="100" w:before="0"/>
      </w:pPr>
      <w:r>
        <w:t xml:space="preserve"/>
      </w:r>
    </w:p>
    <w:p>
      <w:pPr>
        <w:pBdr>
          <w:bottom w:val="single" w:color="E5E7EB" w:sz="4" w:space="1"/>
        </w:pBdr>
        <w:spacing w:after="200" w:before="200"/>
      </w:pPr>
      <w:r>
        <w:t xml:space="preserve"/>
      </w:r>
    </w:p>
    <w:p>
      <w:pPr>
        <w:pStyle w:val="Heading2"/>
        <w:spacing w:after="120" w:before="360"/>
      </w:pPr>
      <w:r>
        <w:rPr>
          <w:rFonts w:ascii="Arial" w:cs="Arial" w:eastAsia="Arial" w:hAnsi="Arial"/>
          <w:b/>
          <w:bCs/>
          <w:color w:val="111827"/>
          <w:sz w:val="26"/>
          <w:szCs w:val="26"/>
        </w:rPr>
        <w:t xml:space="preserve">Schedule B — Approved Sub-Processors</w:t>
      </w:r>
    </w:p>
    <w:p>
      <w:pPr>
        <w:spacing w:after="140" w:before="0"/>
      </w:pPr>
      <w:r>
        <w:rPr>
          <w:rFonts w:ascii="Arial" w:cs="Arial" w:eastAsia="Arial" w:hAnsi="Arial"/>
          <w:b w:val="false"/>
          <w:bCs w:val="false"/>
          <w:i w:val="false"/>
          <w:iCs w:val="false"/>
          <w:color w:val="111827"/>
          <w:sz w:val="22"/>
          <w:szCs w:val="22"/>
        </w:rPr>
        <w:t xml:space="preserve">The following Sub-Processors are approved as at the date of this DPA. Energy Shift shall notify the Controller of any changes in accordance with Clause 6.1.</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1.  Cloud infrastructure provider (hosting, databases, storage)</w:t>
      </w:r>
    </w:p>
    <w:p>
      <w:pPr>
        <w:spacing w:after="140" w:before="0"/>
      </w:pPr>
      <w:r>
        <w:rPr>
          <w:rFonts w:ascii="Arial" w:cs="Arial" w:eastAsia="Arial" w:hAnsi="Arial"/>
          <w:b/>
          <w:bCs/>
          <w:color w:val="111827"/>
          <w:sz w:val="22"/>
          <w:szCs w:val="22"/>
        </w:rPr>
        <w:t xml:space="preserve">Name: </w:t>
      </w:r>
      <w:r>
        <w:rPr>
          <w:rFonts w:ascii="Arial" w:cs="Arial" w:eastAsia="Arial" w:hAnsi="Arial"/>
          <w:color w:val="111827"/>
          <w:sz w:val="22"/>
          <w:szCs w:val="22"/>
        </w:rPr>
        <w:t xml:space="preserve">To be specified upon request</w:t>
      </w:r>
    </w:p>
    <w:p>
      <w:pPr>
        <w:spacing w:after="140" w:before="0"/>
      </w:pPr>
      <w:r>
        <w:rPr>
          <w:rFonts w:ascii="Arial" w:cs="Arial" w:eastAsia="Arial" w:hAnsi="Arial"/>
          <w:b/>
          <w:bCs/>
          <w:color w:val="111827"/>
          <w:sz w:val="22"/>
          <w:szCs w:val="22"/>
        </w:rPr>
        <w:t xml:space="preserve">Location: </w:t>
      </w:r>
      <w:r>
        <w:rPr>
          <w:rFonts w:ascii="Arial" w:cs="Arial" w:eastAsia="Arial" w:hAnsi="Arial"/>
          <w:color w:val="111827"/>
          <w:sz w:val="22"/>
          <w:szCs w:val="22"/>
        </w:rPr>
        <w:t xml:space="preserve">European Union / United Kingdom</w:t>
      </w:r>
    </w:p>
    <w:p>
      <w:pPr>
        <w:spacing w:after="140" w:before="0"/>
      </w:pPr>
      <w:r>
        <w:rPr>
          <w:rFonts w:ascii="Arial" w:cs="Arial" w:eastAsia="Arial" w:hAnsi="Arial"/>
          <w:b/>
          <w:bCs/>
          <w:color w:val="111827"/>
          <w:sz w:val="22"/>
          <w:szCs w:val="22"/>
        </w:rPr>
        <w:t xml:space="preserve">Purpose: </w:t>
      </w:r>
      <w:r>
        <w:rPr>
          <w:rFonts w:ascii="Arial" w:cs="Arial" w:eastAsia="Arial" w:hAnsi="Arial"/>
          <w:color w:val="111827"/>
          <w:sz w:val="22"/>
          <w:szCs w:val="22"/>
        </w:rPr>
        <w:t xml:space="preserve">Platform hosting, database storage, backup</w:t>
      </w:r>
    </w:p>
    <w:p>
      <w:pPr>
        <w:spacing w:after="140" w:before="0"/>
      </w:pPr>
      <w:r>
        <w:rPr>
          <w:rFonts w:ascii="Arial" w:cs="Arial" w:eastAsia="Arial" w:hAnsi="Arial"/>
          <w:b/>
          <w:bCs/>
          <w:color w:val="111827"/>
          <w:sz w:val="22"/>
          <w:szCs w:val="22"/>
        </w:rPr>
        <w:t xml:space="preserve">Transfer safeguard: </w:t>
      </w:r>
      <w:r>
        <w:rPr>
          <w:rFonts w:ascii="Arial" w:cs="Arial" w:eastAsia="Arial" w:hAnsi="Arial"/>
          <w:color w:val="111827"/>
          <w:sz w:val="22"/>
          <w:szCs w:val="22"/>
        </w:rPr>
        <w:t xml:space="preserve">EU adequacy decision (UK) / SCCs where applicable</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2.  Payment processor</w:t>
      </w:r>
    </w:p>
    <w:p>
      <w:pPr>
        <w:spacing w:after="140" w:before="0"/>
      </w:pPr>
      <w:r>
        <w:rPr>
          <w:rFonts w:ascii="Arial" w:cs="Arial" w:eastAsia="Arial" w:hAnsi="Arial"/>
          <w:b/>
          <w:bCs/>
          <w:color w:val="111827"/>
          <w:sz w:val="22"/>
          <w:szCs w:val="22"/>
        </w:rPr>
        <w:t xml:space="preserve">Name: </w:t>
      </w:r>
      <w:r>
        <w:rPr>
          <w:rFonts w:ascii="Arial" w:cs="Arial" w:eastAsia="Arial" w:hAnsi="Arial"/>
          <w:color w:val="111827"/>
          <w:sz w:val="22"/>
          <w:szCs w:val="22"/>
        </w:rPr>
        <w:t xml:space="preserve">Stripe, Inc.</w:t>
      </w:r>
    </w:p>
    <w:p>
      <w:pPr>
        <w:spacing w:after="140" w:before="0"/>
      </w:pPr>
      <w:r>
        <w:rPr>
          <w:rFonts w:ascii="Arial" w:cs="Arial" w:eastAsia="Arial" w:hAnsi="Arial"/>
          <w:b/>
          <w:bCs/>
          <w:color w:val="111827"/>
          <w:sz w:val="22"/>
          <w:szCs w:val="22"/>
        </w:rPr>
        <w:t xml:space="preserve">Location: </w:t>
      </w:r>
      <w:r>
        <w:rPr>
          <w:rFonts w:ascii="Arial" w:cs="Arial" w:eastAsia="Arial" w:hAnsi="Arial"/>
          <w:color w:val="111827"/>
          <w:sz w:val="22"/>
          <w:szCs w:val="22"/>
        </w:rPr>
        <w:t xml:space="preserve">United States (with EU data residency options)</w:t>
      </w:r>
    </w:p>
    <w:p>
      <w:pPr>
        <w:spacing w:after="140" w:before="0"/>
      </w:pPr>
      <w:r>
        <w:rPr>
          <w:rFonts w:ascii="Arial" w:cs="Arial" w:eastAsia="Arial" w:hAnsi="Arial"/>
          <w:b/>
          <w:bCs/>
          <w:color w:val="111827"/>
          <w:sz w:val="22"/>
          <w:szCs w:val="22"/>
        </w:rPr>
        <w:t xml:space="preserve">Purpose: </w:t>
      </w:r>
      <w:r>
        <w:rPr>
          <w:rFonts w:ascii="Arial" w:cs="Arial" w:eastAsia="Arial" w:hAnsi="Arial"/>
          <w:color w:val="111827"/>
          <w:sz w:val="22"/>
          <w:szCs w:val="22"/>
        </w:rPr>
        <w:t xml:space="preserve">Payment processing (tokenised card data only)</w:t>
      </w:r>
    </w:p>
    <w:p>
      <w:pPr>
        <w:spacing w:after="140" w:before="0"/>
      </w:pPr>
      <w:r>
        <w:rPr>
          <w:rFonts w:ascii="Arial" w:cs="Arial" w:eastAsia="Arial" w:hAnsi="Arial"/>
          <w:b/>
          <w:bCs/>
          <w:color w:val="111827"/>
          <w:sz w:val="22"/>
          <w:szCs w:val="22"/>
        </w:rPr>
        <w:t xml:space="preserve">Transfer safeguard: </w:t>
      </w:r>
      <w:r>
        <w:rPr>
          <w:rFonts w:ascii="Arial" w:cs="Arial" w:eastAsia="Arial" w:hAnsi="Arial"/>
          <w:color w:val="111827"/>
          <w:sz w:val="22"/>
          <w:szCs w:val="22"/>
        </w:rPr>
        <w:t xml:space="preserve">EU SCCs / UK IDTA</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3.  Transactional email service</w:t>
      </w:r>
    </w:p>
    <w:p>
      <w:pPr>
        <w:spacing w:after="140" w:before="0"/>
      </w:pPr>
      <w:r>
        <w:rPr>
          <w:rFonts w:ascii="Arial" w:cs="Arial" w:eastAsia="Arial" w:hAnsi="Arial"/>
          <w:b/>
          <w:bCs/>
          <w:color w:val="111827"/>
          <w:sz w:val="22"/>
          <w:szCs w:val="22"/>
        </w:rPr>
        <w:t xml:space="preserve">Name: </w:t>
      </w:r>
      <w:r>
        <w:rPr>
          <w:rFonts w:ascii="Arial" w:cs="Arial" w:eastAsia="Arial" w:hAnsi="Arial"/>
          <w:color w:val="111827"/>
          <w:sz w:val="22"/>
          <w:szCs w:val="22"/>
        </w:rPr>
        <w:t xml:space="preserve">To be specified upon request</w:t>
      </w:r>
    </w:p>
    <w:p>
      <w:pPr>
        <w:spacing w:after="140" w:before="0"/>
      </w:pPr>
      <w:r>
        <w:rPr>
          <w:rFonts w:ascii="Arial" w:cs="Arial" w:eastAsia="Arial" w:hAnsi="Arial"/>
          <w:b/>
          <w:bCs/>
          <w:color w:val="111827"/>
          <w:sz w:val="22"/>
          <w:szCs w:val="22"/>
        </w:rPr>
        <w:t xml:space="preserve">Location: </w:t>
      </w:r>
      <w:r>
        <w:rPr>
          <w:rFonts w:ascii="Arial" w:cs="Arial" w:eastAsia="Arial" w:hAnsi="Arial"/>
          <w:color w:val="111827"/>
          <w:sz w:val="22"/>
          <w:szCs w:val="22"/>
        </w:rPr>
        <w:t xml:space="preserve">EU / UK</w:t>
      </w:r>
    </w:p>
    <w:p>
      <w:pPr>
        <w:spacing w:after="140" w:before="0"/>
      </w:pPr>
      <w:r>
        <w:rPr>
          <w:rFonts w:ascii="Arial" w:cs="Arial" w:eastAsia="Arial" w:hAnsi="Arial"/>
          <w:b/>
          <w:bCs/>
          <w:color w:val="111827"/>
          <w:sz w:val="22"/>
          <w:szCs w:val="22"/>
        </w:rPr>
        <w:t xml:space="preserve">Purpose: </w:t>
      </w:r>
      <w:r>
        <w:rPr>
          <w:rFonts w:ascii="Arial" w:cs="Arial" w:eastAsia="Arial" w:hAnsi="Arial"/>
          <w:color w:val="111827"/>
          <w:sz w:val="22"/>
          <w:szCs w:val="22"/>
        </w:rPr>
        <w:t xml:space="preserve">Delivery of transactional and marketing emails</w:t>
      </w:r>
    </w:p>
    <w:p>
      <w:pPr>
        <w:spacing w:after="140" w:before="0"/>
      </w:pPr>
      <w:r>
        <w:rPr>
          <w:rFonts w:ascii="Arial" w:cs="Arial" w:eastAsia="Arial" w:hAnsi="Arial"/>
          <w:b/>
          <w:bCs/>
          <w:color w:val="111827"/>
          <w:sz w:val="22"/>
          <w:szCs w:val="22"/>
        </w:rPr>
        <w:t xml:space="preserve">Transfer safeguard: </w:t>
      </w:r>
      <w:r>
        <w:rPr>
          <w:rFonts w:ascii="Arial" w:cs="Arial" w:eastAsia="Arial" w:hAnsi="Arial"/>
          <w:color w:val="111827"/>
          <w:sz w:val="22"/>
          <w:szCs w:val="22"/>
        </w:rPr>
        <w:t xml:space="preserve">EU adequacy decision (UK) / SCCs where applicable</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4.  Customer support platform</w:t>
      </w:r>
    </w:p>
    <w:p>
      <w:pPr>
        <w:spacing w:after="140" w:before="0"/>
      </w:pPr>
      <w:r>
        <w:rPr>
          <w:rFonts w:ascii="Arial" w:cs="Arial" w:eastAsia="Arial" w:hAnsi="Arial"/>
          <w:b/>
          <w:bCs/>
          <w:color w:val="111827"/>
          <w:sz w:val="22"/>
          <w:szCs w:val="22"/>
        </w:rPr>
        <w:t xml:space="preserve">Name: </w:t>
      </w:r>
      <w:r>
        <w:rPr>
          <w:rFonts w:ascii="Arial" w:cs="Arial" w:eastAsia="Arial" w:hAnsi="Arial"/>
          <w:color w:val="111827"/>
          <w:sz w:val="22"/>
          <w:szCs w:val="22"/>
        </w:rPr>
        <w:t xml:space="preserve">To be specified upon request</w:t>
      </w:r>
    </w:p>
    <w:p>
      <w:pPr>
        <w:spacing w:after="140" w:before="0"/>
      </w:pPr>
      <w:r>
        <w:rPr>
          <w:rFonts w:ascii="Arial" w:cs="Arial" w:eastAsia="Arial" w:hAnsi="Arial"/>
          <w:b/>
          <w:bCs/>
          <w:color w:val="111827"/>
          <w:sz w:val="22"/>
          <w:szCs w:val="22"/>
        </w:rPr>
        <w:t xml:space="preserve">Location: </w:t>
      </w:r>
      <w:r>
        <w:rPr>
          <w:rFonts w:ascii="Arial" w:cs="Arial" w:eastAsia="Arial" w:hAnsi="Arial"/>
          <w:color w:val="111827"/>
          <w:sz w:val="22"/>
          <w:szCs w:val="22"/>
        </w:rPr>
        <w:t xml:space="preserve">EU / UK</w:t>
      </w:r>
    </w:p>
    <w:p>
      <w:pPr>
        <w:spacing w:after="140" w:before="0"/>
      </w:pPr>
      <w:r>
        <w:rPr>
          <w:rFonts w:ascii="Arial" w:cs="Arial" w:eastAsia="Arial" w:hAnsi="Arial"/>
          <w:b/>
          <w:bCs/>
          <w:color w:val="111827"/>
          <w:sz w:val="22"/>
          <w:szCs w:val="22"/>
        </w:rPr>
        <w:t xml:space="preserve">Purpose: </w:t>
      </w:r>
      <w:r>
        <w:rPr>
          <w:rFonts w:ascii="Arial" w:cs="Arial" w:eastAsia="Arial" w:hAnsi="Arial"/>
          <w:color w:val="111827"/>
          <w:sz w:val="22"/>
          <w:szCs w:val="22"/>
        </w:rPr>
        <w:t xml:space="preserve">Support ticket management and live chat</w:t>
      </w:r>
    </w:p>
    <w:p>
      <w:pPr>
        <w:spacing w:after="140" w:before="0"/>
      </w:pPr>
      <w:r>
        <w:rPr>
          <w:rFonts w:ascii="Arial" w:cs="Arial" w:eastAsia="Arial" w:hAnsi="Arial"/>
          <w:b/>
          <w:bCs/>
          <w:color w:val="111827"/>
          <w:sz w:val="22"/>
          <w:szCs w:val="22"/>
        </w:rPr>
        <w:t xml:space="preserve">Transfer safeguard: </w:t>
      </w:r>
      <w:r>
        <w:rPr>
          <w:rFonts w:ascii="Arial" w:cs="Arial" w:eastAsia="Arial" w:hAnsi="Arial"/>
          <w:color w:val="111827"/>
          <w:sz w:val="22"/>
          <w:szCs w:val="22"/>
        </w:rPr>
        <w:t xml:space="preserve">EU adequacy decision (UK) / SCCs where applicable</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The full names and contact details of Sub-Processors are available on request by emailing privacy@energyshift.eu.</w:t>
      </w:r>
    </w:p>
    <w:p>
      <w:pPr>
        <w:spacing w:after="100" w:before="0"/>
      </w:pPr>
      <w:r>
        <w:t xml:space="preserve"/>
      </w:r>
    </w:p>
    <w:p>
      <w:pPr>
        <w:pBdr>
          <w:bottom w:val="single" w:color="E5E7EB" w:sz="4" w:space="1"/>
        </w:pBdr>
        <w:spacing w:after="200" w:before="200"/>
      </w:pPr>
      <w:r>
        <w:t xml:space="preserve"/>
      </w:r>
    </w:p>
    <w:p>
      <w:pPr>
        <w:spacing w:after="140" w:before="0"/>
      </w:pPr>
      <w:r>
        <w:rPr>
          <w:rFonts w:ascii="Arial" w:cs="Arial" w:eastAsia="Arial" w:hAnsi="Arial"/>
          <w:b w:val="false"/>
          <w:bCs w:val="false"/>
          <w:i w:val="false"/>
          <w:iCs w:val="false"/>
          <w:color w:val="6B7280"/>
          <w:sz w:val="22"/>
          <w:szCs w:val="22"/>
        </w:rPr>
        <w:t xml:space="preserve">This Data Processing Agreement is entered into as of the date last signed below and forms a binding part of the Partner Terms and Conditions between the parties.</w:t>
      </w:r>
    </w:p>
    <w:p>
      <w:pPr>
        <w:spacing w:after="140" w:before="0"/>
      </w:pPr>
      <w:r>
        <w:rPr>
          <w:rFonts w:ascii="Arial" w:cs="Arial" w:eastAsia="Arial" w:hAnsi="Arial"/>
          <w:b w:val="false"/>
          <w:bCs w:val="false"/>
          <w:i w:val="false"/>
          <w:iCs w:val="false"/>
          <w:color w:val="6B7280"/>
          <w:sz w:val="22"/>
          <w:szCs w:val="22"/>
        </w:rPr>
        <w:t xml:space="preserve">© 2026 Energy Shift Europe Limited. All rights reserved.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Jc w:val="left"/>
      <w:pPr>
        <w:ind w:left="360" w:hanging="180"/>
      </w:pPr>
    </w:lvl>
    <w:lvl w:ilvl="1"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82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5B21B6"/>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11182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8l9wnt21u17sk6xsyqmc" Type="http://schemas.openxmlformats.org/officeDocument/2006/relationships/hyperlink" Target="mailto:privacy@energyshift.eu"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2026-03-21T12:34:17.056Z</dcterms:created>
  <dcterms:modified xsi:type="dcterms:W3CDTF">2026-03-21T12:34:17.057Z</dcterms:modified>
</cp:coreProperties>
</file>

<file path=docProps/custom.xml><?xml version="1.0" encoding="utf-8"?>
<Properties xmlns="http://schemas.openxmlformats.org/officeDocument/2006/custom-properties" xmlns:vt="http://schemas.openxmlformats.org/officeDocument/2006/docPropsVTypes"/>
</file>