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sz w:val="28"/>
          <w:szCs w:val="28"/>
        </w:rPr>
        <w:t xml:space="preserve">TQG, INC.</w:t>
      </w:r>
    </w:p>
    <w:p>
      <w:pPr>
        <w:spacing w:after="200"/>
        <w:jc w:val="center"/>
      </w:pPr>
      <w:r>
        <w:rPr>
          <w:rFonts w:ascii="Arial" w:cs="Arial" w:eastAsia="Arial" w:hAnsi="Arial"/>
          <w:sz w:val="22"/>
          <w:szCs w:val="22"/>
        </w:rPr>
        <w:t xml:space="preserve">THE QWIK GROUP</w:t>
      </w:r>
    </w:p>
    <w:p>
      <w:pPr>
        <w:pBdr>
          <w:bottom w:val="single" w:color="000000" w:sz="6" w:space="4"/>
        </w:pBdr>
        <w:spacing w:after="240"/>
        <w:jc w:val="center"/>
      </w:pPr>
      <w:r>
        <w:rPr>
          <w:rFonts w:ascii="Arial" w:cs="Arial" w:eastAsia="Arial" w:hAnsi="Arial"/>
          <w:b/>
          <w:bCs/>
          <w:sz w:val="26"/>
          <w:szCs w:val="26"/>
        </w:rPr>
        <w:t xml:space="preserve">EQUITY AGREEMENT FOR SERVICE (EASE)</w:t>
      </w:r>
    </w:p>
    <w:p>
      <w:pPr>
        <w:spacing w:after="160" w:before="160"/>
        <w:ind/>
      </w:pPr>
      <w:r>
        <w:rPr>
          <w:rFonts w:ascii="Arial" w:cs="Arial" w:eastAsia="Arial" w:hAnsi="Arial"/>
          <w:b w:val="false"/>
          <w:bCs w:val="false"/>
          <w:sz w:val="22"/>
          <w:szCs w:val="22"/>
        </w:rPr>
        <w:t xml:space="preserve">This Equity Agreement for Service (the "Agreement") is entered into by and between:</w:t>
      </w:r>
    </w:p>
    <w:p>
      <w:pPr>
        <w:pBdr>
          <w:bottom w:val="single" w:color="333333" w:sz="6" w:space="1"/>
        </w:pBdr>
        <w:spacing w:after="120" w:before="280"/>
      </w:pPr>
      <w:r>
        <w:rPr>
          <w:rFonts w:ascii="Arial" w:cs="Arial" w:eastAsia="Arial" w:hAnsi="Arial"/>
          <w:b/>
          <w:bCs/>
          <w:sz w:val="26"/>
          <w:szCs w:val="26"/>
        </w:rPr>
        <w:t xml:space="preserve">1. PARTIES</w:t>
      </w:r>
    </w:p>
    <w:p>
      <w:pPr>
        <w:spacing w:after="80" w:before="160"/>
      </w:pPr>
      <w:r>
        <w:rPr>
          <w:rFonts w:ascii="Arial" w:cs="Arial" w:eastAsia="Arial" w:hAnsi="Arial"/>
          <w:b/>
          <w:bCs/>
          <w:sz w:val="22"/>
          <w:szCs w:val="22"/>
        </w:rPr>
        <w:t xml:space="preserve">Company:</w:t>
      </w:r>
    </w:p>
    <w:p>
      <w:pPr>
        <w:spacing w:after="80" w:before="80"/>
        <w:ind/>
      </w:pPr>
      <w:r>
        <w:rPr>
          <w:rFonts w:ascii="Arial" w:cs="Arial" w:eastAsia="Arial" w:hAnsi="Arial"/>
          <w:b w:val="false"/>
          <w:bCs w:val="false"/>
          <w:sz w:val="22"/>
          <w:szCs w:val="22"/>
        </w:rPr>
        <w:t xml:space="preserve">TQG, Inc. (the "Company")</w:t>
      </w:r>
    </w:p>
    <w:p>
      <w:pPr>
        <w:spacing w:after="80" w:before="80"/>
        <w:ind/>
      </w:pPr>
      <w:r>
        <w:rPr>
          <w:rFonts w:ascii="Arial" w:cs="Arial" w:eastAsia="Arial" w:hAnsi="Arial"/>
          <w:b w:val="false"/>
          <w:bCs w:val="false"/>
          <w:sz w:val="22"/>
          <w:szCs w:val="22"/>
        </w:rPr>
        <w:t xml:space="preserve">A Delaware C-Corporation</w:t>
      </w:r>
    </w:p>
    <w:p>
      <w:pPr>
        <w:spacing w:after="60" w:before="60"/>
      </w:pPr>
      <w:r>
        <w:t xml:space="preserve"/>
      </w:r>
    </w:p>
    <w:p>
      <w:pPr>
        <w:spacing w:after="80" w:before="160"/>
      </w:pPr>
      <w:r>
        <w:rPr>
          <w:rFonts w:ascii="Arial" w:cs="Arial" w:eastAsia="Arial" w:hAnsi="Arial"/>
          <w:b/>
          <w:bCs/>
          <w:sz w:val="22"/>
          <w:szCs w:val="22"/>
        </w:rPr>
        <w:t xml:space="preserve">Advisory Board Member:</w:t>
      </w:r>
    </w:p>
    <w:p>
      <w:pPr>
        <w:spacing w:after="80" w:before="80"/>
        <w:ind/>
      </w:pPr>
      <w:r>
        <w:rPr>
          <w:rFonts w:ascii="Arial" w:cs="Arial" w:eastAsia="Arial" w:hAnsi="Arial"/>
          <w:b w:val="false"/>
          <w:bCs w:val="false"/>
          <w:sz w:val="22"/>
          <w:szCs w:val="22"/>
        </w:rPr>
        <w:t xml:space="preserve">_______________________ (the "Advisory Board Member")</w:t>
      </w:r>
    </w:p>
    <w:p>
      <w:pPr>
        <w:pBdr>
          <w:bottom w:val="single" w:color="333333" w:sz="6" w:space="1"/>
        </w:pBdr>
        <w:spacing w:after="120" w:before="280"/>
      </w:pPr>
      <w:r>
        <w:rPr>
          <w:rFonts w:ascii="Arial" w:cs="Arial" w:eastAsia="Arial" w:hAnsi="Arial"/>
          <w:b/>
          <w:bCs/>
          <w:sz w:val="26"/>
          <w:szCs w:val="26"/>
        </w:rPr>
        <w:t xml:space="preserve">2. SERVICES</w:t>
      </w:r>
    </w:p>
    <w:p>
      <w:pPr>
        <w:spacing w:after="80" w:before="80"/>
        <w:ind/>
      </w:pPr>
      <w:r>
        <w:rPr>
          <w:rFonts w:ascii="Arial" w:cs="Arial" w:eastAsia="Arial" w:hAnsi="Arial"/>
          <w:b w:val="false"/>
          <w:bCs w:val="false"/>
          <w:sz w:val="22"/>
          <w:szCs w:val="22"/>
        </w:rPr>
        <w:t xml:space="preserve">The Advisory Board Member agrees to serve on the Company's Advisory Board and provide the services described on the signature page (collectively, the "Services") or as otherwise mutually agreed.</w:t>
      </w:r>
    </w:p>
    <w:p>
      <w:pPr>
        <w:pBdr>
          <w:bottom w:val="single" w:color="333333" w:sz="6" w:space="1"/>
        </w:pBdr>
        <w:spacing w:after="120" w:before="280"/>
      </w:pPr>
      <w:r>
        <w:rPr>
          <w:rFonts w:ascii="Arial" w:cs="Arial" w:eastAsia="Arial" w:hAnsi="Arial"/>
          <w:b/>
          <w:bCs/>
          <w:sz w:val="26"/>
          <w:szCs w:val="26"/>
        </w:rPr>
        <w:t xml:space="preserve">3. COMPENSATION</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Equity. As detailed below in the section titled "Advisory Board Member Equity Compensation."</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The Company will authorize any equity compensation within 30 days of this Agreement's effective date.</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Any additional compensation will be addressed separately in an Employment Agreement, if applicable.</w:t>
      </w:r>
    </w:p>
    <w:p>
      <w:pPr>
        <w:pBdr>
          <w:bottom w:val="single" w:color="333333" w:sz="6" w:space="1"/>
        </w:pBdr>
        <w:spacing w:after="120" w:before="280"/>
      </w:pPr>
      <w:r>
        <w:rPr>
          <w:rFonts w:ascii="Arial" w:cs="Arial" w:eastAsia="Arial" w:hAnsi="Arial"/>
          <w:b/>
          <w:bCs/>
          <w:sz w:val="26"/>
          <w:szCs w:val="26"/>
        </w:rPr>
        <w:t xml:space="preserve">4. EXPENSES</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The Company shall reimburse reasonable travel and related expenses, subject to: (i) prior written approval; and (ii) any specified maximum.</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Deferred cash compensation may be authorized as needed, also subject to pre-approval.</w:t>
      </w:r>
    </w:p>
    <w:p>
      <w:pPr>
        <w:pBdr>
          <w:bottom w:val="single" w:color="333333" w:sz="6" w:space="1"/>
        </w:pBdr>
        <w:spacing w:after="120" w:before="280"/>
      </w:pPr>
      <w:r>
        <w:rPr>
          <w:rFonts w:ascii="Arial" w:cs="Arial" w:eastAsia="Arial" w:hAnsi="Arial"/>
          <w:b/>
          <w:bCs/>
          <w:sz w:val="26"/>
          <w:szCs w:val="26"/>
        </w:rPr>
        <w:t xml:space="preserve">5. TERM; TERMINATION; INDEPENDENT CONTRACTOR STATUS</w:t>
      </w:r>
    </w:p>
    <w:p>
      <w:pPr>
        <w:spacing w:after="80" w:before="160"/>
      </w:pPr>
      <w:r>
        <w:rPr>
          <w:rFonts w:ascii="Arial" w:cs="Arial" w:eastAsia="Arial" w:hAnsi="Arial"/>
          <w:b/>
          <w:bCs/>
          <w:sz w:val="22"/>
          <w:szCs w:val="22"/>
        </w:rPr>
        <w:t xml:space="preserve">(a) Term and Termination.</w:t>
      </w:r>
    </w:p>
    <w:p>
      <w:pPr>
        <w:spacing w:after="80" w:before="80"/>
        <w:ind/>
      </w:pPr>
      <w:r>
        <w:rPr>
          <w:rFonts w:ascii="Arial" w:cs="Arial" w:eastAsia="Arial" w:hAnsi="Arial"/>
          <w:b w:val="false"/>
          <w:bCs w:val="false"/>
          <w:sz w:val="22"/>
          <w:szCs w:val="22"/>
        </w:rPr>
        <w:t xml:space="preserve">All shares vested under this Agreement shall remain vested upon termination.</w:t>
      </w:r>
    </w:p>
    <w:p>
      <w:pPr>
        <w:spacing w:after="60" w:before="60"/>
      </w:pPr>
      <w:r>
        <w:t xml:space="preserve"/>
      </w:r>
    </w:p>
    <w:p>
      <w:pPr>
        <w:spacing w:after="80" w:before="160"/>
      </w:pPr>
      <w:r>
        <w:rPr>
          <w:rFonts w:ascii="Arial" w:cs="Arial" w:eastAsia="Arial" w:hAnsi="Arial"/>
          <w:b/>
          <w:bCs/>
          <w:sz w:val="22"/>
          <w:szCs w:val="22"/>
        </w:rPr>
        <w:t xml:space="preserve">(b) Independent Contractor.</w:t>
      </w:r>
    </w:p>
    <w:p>
      <w:pPr>
        <w:spacing w:after="80" w:before="80"/>
        <w:ind/>
      </w:pPr>
      <w:r>
        <w:rPr>
          <w:rFonts w:ascii="Arial" w:cs="Arial" w:eastAsia="Arial" w:hAnsi="Arial"/>
          <w:b w:val="false"/>
          <w:bCs w:val="false"/>
          <w:sz w:val="22"/>
          <w:szCs w:val="22"/>
        </w:rPr>
        <w:t xml:space="preserve">The Advisory Board Member acts solely as an independent contractor and not as an employee. The Advisory Board Member is not eligible for employee benefits, and all employment tax obligations remain the Advisory Board Member's sole responsibility. The Advisory Board Member has no authority to bind the Company without prior written authorization.</w:t>
      </w:r>
    </w:p>
    <w:p>
      <w:pPr>
        <w:spacing w:after="60" w:before="60"/>
      </w:pPr>
      <w:r>
        <w:t xml:space="preserve"/>
      </w:r>
    </w:p>
    <w:p>
      <w:pPr>
        <w:spacing w:after="80" w:before="160"/>
      </w:pPr>
      <w:r>
        <w:rPr>
          <w:rFonts w:ascii="Arial" w:cs="Arial" w:eastAsia="Arial" w:hAnsi="Arial"/>
          <w:b/>
          <w:bCs/>
          <w:sz w:val="22"/>
          <w:szCs w:val="22"/>
        </w:rPr>
        <w:t xml:space="preserve">(c) Restrictions on Access.</w:t>
      </w:r>
    </w:p>
    <w:p>
      <w:pPr>
        <w:spacing w:after="80" w:before="80"/>
        <w:ind/>
      </w:pPr>
      <w:r>
        <w:rPr>
          <w:rFonts w:ascii="Arial" w:cs="Arial" w:eastAsia="Arial" w:hAnsi="Arial"/>
          <w:b w:val="false"/>
          <w:bCs w:val="false"/>
          <w:sz w:val="22"/>
          <w:szCs w:val="22"/>
        </w:rPr>
        <w:t xml:space="preserve">The Advisory Board Member shall not have access to Company financial records, statements, or fiduciary-level decision-making authority.</w:t>
      </w:r>
    </w:p>
    <w:p>
      <w:pPr>
        <w:spacing w:after="60" w:before="60"/>
      </w:pPr>
      <w:r>
        <w:t xml:space="preserve"/>
      </w:r>
    </w:p>
    <w:p>
      <w:pPr>
        <w:spacing w:after="80" w:before="160"/>
      </w:pPr>
      <w:r>
        <w:rPr>
          <w:rFonts w:ascii="Arial" w:cs="Arial" w:eastAsia="Arial" w:hAnsi="Arial"/>
          <w:b/>
          <w:bCs/>
          <w:sz w:val="22"/>
          <w:szCs w:val="22"/>
        </w:rPr>
        <w:t xml:space="preserve">(d) Milestone Grants.</w:t>
      </w:r>
    </w:p>
    <w:p>
      <w:pPr>
        <w:spacing w:after="80" w:before="80"/>
        <w:ind/>
      </w:pPr>
      <w:r>
        <w:rPr>
          <w:rFonts w:ascii="Arial" w:cs="Arial" w:eastAsia="Arial" w:hAnsi="Arial"/>
          <w:b w:val="false"/>
          <w:bCs w:val="false"/>
          <w:sz w:val="22"/>
          <w:szCs w:val="22"/>
        </w:rPr>
        <w:t xml:space="preserve">RSU milestone grants shall be awarded upon the successful completion of each milestone set forth in the Advisory Board Member Equity Compensation section below. Each milestone may be triggered by the first of the following thresholds to be reached, as verified by the Company's records at the time of the trigger:</w:t>
      </w:r>
    </w:p>
    <w:p>
      <w:pPr>
        <w:spacing w:after="60" w:before="60"/>
      </w:pPr>
      <w:r>
        <w:t xml:space="preserve"/>
      </w:r>
    </w:p>
    <w:p>
      <w:pPr>
        <w:spacing w:after="60" w:before="60"/>
        <w:ind w:left="720"/>
      </w:pPr>
      <w:r>
        <w:rPr>
          <w:rFonts w:ascii="Arial" w:cs="Arial" w:eastAsia="Arial" w:hAnsi="Arial"/>
          <w:sz w:val="22"/>
          <w:szCs w:val="22"/>
        </w:rPr>
        <w:t xml:space="preserve">(i) 100 locker installations, $100,000 in cumulative revenue, or 100,000 registered users;</w:t>
      </w:r>
    </w:p>
    <w:p>
      <w:pPr>
        <w:spacing w:after="60" w:before="60"/>
        <w:ind w:left="720"/>
      </w:pPr>
      <w:r>
        <w:rPr>
          <w:rFonts w:ascii="Arial" w:cs="Arial" w:eastAsia="Arial" w:hAnsi="Arial"/>
          <w:sz w:val="22"/>
          <w:szCs w:val="22"/>
        </w:rPr>
        <w:t xml:space="preserve">(ii) 1,000 locker installations, $1,000,000 in cumulative revenue, or 1,000,000 registered users; and</w:t>
      </w:r>
    </w:p>
    <w:p>
      <w:pPr>
        <w:spacing w:after="60" w:before="60"/>
        <w:ind w:left="720"/>
      </w:pPr>
      <w:r>
        <w:rPr>
          <w:rFonts w:ascii="Arial" w:cs="Arial" w:eastAsia="Arial" w:hAnsi="Arial"/>
          <w:sz w:val="22"/>
          <w:szCs w:val="22"/>
        </w:rPr>
        <w:t xml:space="preserve">(iii) 10,000 locker installations, $10,000,000 in cumulative revenue, or 10,000,000 registered users.</w:t>
      </w:r>
    </w:p>
    <w:p>
      <w:pPr>
        <w:spacing w:after="60" w:before="60"/>
      </w:pPr>
      <w:r>
        <w:t xml:space="preserve"/>
      </w:r>
    </w:p>
    <w:p>
      <w:pPr>
        <w:spacing w:after="80" w:before="80"/>
        <w:ind/>
      </w:pPr>
      <w:r>
        <w:rPr>
          <w:rFonts w:ascii="Arial" w:cs="Arial" w:eastAsia="Arial" w:hAnsi="Arial"/>
          <w:b w:val="false"/>
          <w:bCs w:val="false"/>
          <w:sz w:val="22"/>
          <w:szCs w:val="22"/>
        </w:rPr>
        <w:t xml:space="preserve">In the event of a Change of Control or other Exit Event, the granting of Milestone Grants shall be accelerated.</w:t>
      </w:r>
    </w:p>
    <w:p>
      <w:pPr>
        <w:spacing w:after="60" w:before="60"/>
      </w:pPr>
      <w:r>
        <w:t xml:space="preserve"/>
      </w:r>
    </w:p>
    <w:p>
      <w:pPr>
        <w:spacing w:after="80" w:before="160"/>
      </w:pPr>
      <w:r>
        <w:rPr>
          <w:rFonts w:ascii="Arial" w:cs="Arial" w:eastAsia="Arial" w:hAnsi="Arial"/>
          <w:b/>
          <w:bCs/>
          <w:sz w:val="22"/>
          <w:szCs w:val="22"/>
        </w:rPr>
        <w:t xml:space="preserve">(e) Cash Compensation Contingency.</w:t>
      </w:r>
    </w:p>
    <w:p>
      <w:pPr>
        <w:spacing w:after="80" w:before="80"/>
        <w:ind/>
      </w:pPr>
      <w:r>
        <w:rPr>
          <w:rFonts w:ascii="Arial" w:cs="Arial" w:eastAsia="Arial" w:hAnsi="Arial"/>
          <w:b w:val="false"/>
          <w:bCs w:val="false"/>
          <w:sz w:val="22"/>
          <w:szCs w:val="22"/>
        </w:rPr>
        <w:t xml:space="preserve">Any cash compensation payable to an Advisory Board Member under this Agreement or any supplemental compensation arrangement shall be contingent upon and payable solely from cash flows directly generated by or attributable to assets purchased, deployed, or activated using capital introduced or facilitated by that Advisory Board Member. For the avoidance of doubt:</w:t>
      </w:r>
    </w:p>
    <w:p>
      <w:pPr>
        <w:spacing w:after="60" w:before="60"/>
      </w:pPr>
      <w:r>
        <w:t xml:space="preserve"/>
      </w:r>
    </w:p>
    <w:p>
      <w:pPr>
        <w:spacing w:after="60" w:before="60"/>
        <w:ind w:left="720"/>
      </w:pPr>
      <w:r>
        <w:rPr>
          <w:rFonts w:ascii="Arial" w:cs="Arial" w:eastAsia="Arial" w:hAnsi="Arial"/>
          <w:sz w:val="22"/>
          <w:szCs w:val="22"/>
        </w:rPr>
        <w:t xml:space="preserve">(i) Cash compensation shall only be disbursed to the extent that the Company has received cash inflows from operations, transactions, or revenue streams directly tied to assets funded or deployed with the applicable Advisory Board Member's capital contribution or introduction;</w:t>
      </w:r>
    </w:p>
    <w:p>
      <w:pPr>
        <w:spacing w:after="60" w:before="60"/>
        <w:ind w:left="720"/>
      </w:pPr>
      <w:r>
        <w:rPr>
          <w:rFonts w:ascii="Arial" w:cs="Arial" w:eastAsia="Arial" w:hAnsi="Arial"/>
          <w:sz w:val="22"/>
          <w:szCs w:val="22"/>
        </w:rPr>
        <w:t xml:space="preserve">(ii) No cash compensation obligation shall arise with respect to an Advisory Board Member from general Company revenues, reserves, or capital sources unrelated to that Advisory Board Member's deployed capital;</w:t>
      </w:r>
    </w:p>
    <w:p>
      <w:pPr>
        <w:spacing w:after="60" w:before="60"/>
        <w:ind w:left="720"/>
      </w:pPr>
      <w:r>
        <w:rPr>
          <w:rFonts w:ascii="Arial" w:cs="Arial" w:eastAsia="Arial" w:hAnsi="Arial"/>
          <w:sz w:val="22"/>
          <w:szCs w:val="22"/>
        </w:rPr>
        <w:t xml:space="preserve">(iii) The Company shall maintain reasonable records sufficient to trace cash flows to the relevant deployed assets and shall provide a summary accounting to the Advisory Board Member upon request; and</w:t>
      </w:r>
    </w:p>
    <w:p>
      <w:pPr>
        <w:spacing w:after="60" w:before="60"/>
        <w:ind w:left="720"/>
      </w:pPr>
      <w:r>
        <w:rPr>
          <w:rFonts w:ascii="Arial" w:cs="Arial" w:eastAsia="Arial" w:hAnsi="Arial"/>
          <w:sz w:val="22"/>
          <w:szCs w:val="22"/>
        </w:rPr>
        <w:t xml:space="preserve">(iv) In the event that a specific asset or deployment generates insufficient cash flow to cover the full cash compensation amount in a given period, any unpaid balance shall accrue without interest and be paid in subsequent periods as eligible cash flows become available, unless otherwise agreed in writing.</w:t>
      </w:r>
    </w:p>
    <w:p>
      <w:pPr>
        <w:pBdr>
          <w:bottom w:val="single" w:color="333333" w:sz="6" w:space="1"/>
        </w:pBdr>
        <w:spacing w:after="120" w:before="280"/>
      </w:pPr>
      <w:r>
        <w:rPr>
          <w:rFonts w:ascii="Arial" w:cs="Arial" w:eastAsia="Arial" w:hAnsi="Arial"/>
          <w:b/>
          <w:bCs/>
          <w:sz w:val="26"/>
          <w:szCs w:val="26"/>
        </w:rPr>
        <w:t xml:space="preserve">6. NONDISCLOSURE OF CONFIDENTIAL INFORMATION</w:t>
      </w:r>
    </w:p>
    <w:p>
      <w:pPr>
        <w:spacing w:after="80" w:before="160"/>
      </w:pPr>
      <w:r>
        <w:rPr>
          <w:rFonts w:ascii="Arial" w:cs="Arial" w:eastAsia="Arial" w:hAnsi="Arial"/>
          <w:b/>
          <w:bCs/>
          <w:sz w:val="22"/>
          <w:szCs w:val="22"/>
        </w:rPr>
        <w:t xml:space="preserve">(a) Agreement Not to Disclose.</w:t>
      </w:r>
    </w:p>
    <w:p>
      <w:pPr>
        <w:spacing w:after="80" w:before="80"/>
        <w:ind/>
      </w:pPr>
      <w:r>
        <w:rPr>
          <w:rFonts w:ascii="Arial" w:cs="Arial" w:eastAsia="Arial" w:hAnsi="Arial"/>
          <w:b w:val="false"/>
          <w:bCs w:val="false"/>
          <w:sz w:val="22"/>
          <w:szCs w:val="22"/>
        </w:rPr>
        <w:t xml:space="preserve">The Advisory Board Member shall use Confidential Information only to perform the Services. The Advisory Board Member will safeguard such information and return or destroy materials upon request.</w:t>
      </w:r>
    </w:p>
    <w:p>
      <w:pPr>
        <w:spacing w:after="60" w:before="60"/>
      </w:pPr>
      <w:r>
        <w:t xml:space="preserve"/>
      </w:r>
    </w:p>
    <w:p>
      <w:pPr>
        <w:spacing w:after="80" w:before="160"/>
      </w:pPr>
      <w:r>
        <w:rPr>
          <w:rFonts w:ascii="Arial" w:cs="Arial" w:eastAsia="Arial" w:hAnsi="Arial"/>
          <w:b/>
          <w:bCs/>
          <w:sz w:val="22"/>
          <w:szCs w:val="22"/>
        </w:rPr>
        <w:t xml:space="preserve">(b) Definition of Confidential Information.</w:t>
      </w:r>
    </w:p>
    <w:p>
      <w:pPr>
        <w:spacing w:after="80" w:before="80"/>
        <w:ind/>
      </w:pPr>
      <w:r>
        <w:rPr>
          <w:rFonts w:ascii="Arial" w:cs="Arial" w:eastAsia="Arial" w:hAnsi="Arial"/>
          <w:b w:val="false"/>
          <w:bCs w:val="false"/>
          <w:sz w:val="22"/>
          <w:szCs w:val="22"/>
        </w:rPr>
        <w:t xml:space="preserve">"Confidential Information" includes all non-public business, technical, or financial data, plans, forecasts, and related materials, but excludes information that:</w:t>
      </w:r>
    </w:p>
    <w:p>
      <w:pPr>
        <w:spacing w:after="60" w:before="60"/>
      </w:pPr>
      <w:r>
        <w:t xml:space="preserve"/>
      </w:r>
    </w:p>
    <w:p>
      <w:pPr>
        <w:spacing w:after="60" w:before="60"/>
        <w:ind w:left="720"/>
      </w:pPr>
      <w:r>
        <w:rPr>
          <w:rFonts w:ascii="Arial" w:cs="Arial" w:eastAsia="Arial" w:hAnsi="Arial"/>
          <w:sz w:val="22"/>
          <w:szCs w:val="22"/>
        </w:rPr>
        <w:t xml:space="preserve">(i) Was in the Advisory Board Member's possession prior to disclosure, as evidenced by documentary evidence; or</w:t>
      </w:r>
    </w:p>
    <w:p>
      <w:pPr>
        <w:spacing w:after="60" w:before="60"/>
        <w:ind w:left="720"/>
      </w:pPr>
      <w:r>
        <w:rPr>
          <w:rFonts w:ascii="Arial" w:cs="Arial" w:eastAsia="Arial" w:hAnsi="Arial"/>
          <w:sz w:val="22"/>
          <w:szCs w:val="22"/>
        </w:rPr>
        <w:t xml:space="preserve">(ii) Becomes public through no fault of the Advisory Board Member.</w:t>
      </w:r>
    </w:p>
    <w:p>
      <w:pPr>
        <w:spacing w:after="60" w:before="60"/>
      </w:pPr>
      <w:r>
        <w:t xml:space="preserve"/>
      </w:r>
    </w:p>
    <w:p>
      <w:pPr>
        <w:spacing w:after="80" w:before="80"/>
        <w:ind/>
      </w:pPr>
      <w:r>
        <w:rPr>
          <w:rFonts w:ascii="Arial" w:cs="Arial" w:eastAsia="Arial" w:hAnsi="Arial"/>
          <w:b w:val="false"/>
          <w:bCs w:val="false"/>
          <w:sz w:val="22"/>
          <w:szCs w:val="22"/>
        </w:rPr>
        <w:t xml:space="preserve">Disclosure may occur only with the Company's written consent or as required by law, with best efforts to limit such disclosure.</w:t>
      </w:r>
    </w:p>
    <w:p>
      <w:pPr>
        <w:pBdr>
          <w:bottom w:val="single" w:color="333333" w:sz="6" w:space="1"/>
        </w:pBdr>
        <w:spacing w:after="120" w:before="280"/>
      </w:pPr>
      <w:r>
        <w:rPr>
          <w:rFonts w:ascii="Arial" w:cs="Arial" w:eastAsia="Arial" w:hAnsi="Arial"/>
          <w:b/>
          <w:bCs/>
          <w:sz w:val="26"/>
          <w:szCs w:val="26"/>
        </w:rPr>
        <w:t xml:space="preserve">7. NO RIGHTS GRANTED</w:t>
      </w:r>
    </w:p>
    <w:p>
      <w:pPr>
        <w:spacing w:after="80" w:before="80"/>
        <w:ind/>
      </w:pPr>
      <w:r>
        <w:rPr>
          <w:rFonts w:ascii="Arial" w:cs="Arial" w:eastAsia="Arial" w:hAnsi="Arial"/>
          <w:b w:val="false"/>
          <w:bCs w:val="false"/>
          <w:sz w:val="22"/>
          <w:szCs w:val="22"/>
        </w:rPr>
        <w:t xml:space="preserve">This Agreement does not grant the Advisory Board Member any rights in the Company's intellectual property or Confidential Information, except as strictly necessary to perform the Services.</w:t>
      </w:r>
    </w:p>
    <w:p>
      <w:pPr>
        <w:pBdr>
          <w:bottom w:val="single" w:color="333333" w:sz="6" w:space="1"/>
        </w:pBdr>
        <w:spacing w:after="120" w:before="280"/>
      </w:pPr>
      <w:r>
        <w:rPr>
          <w:rFonts w:ascii="Arial" w:cs="Arial" w:eastAsia="Arial" w:hAnsi="Arial"/>
          <w:b/>
          <w:bCs/>
          <w:sz w:val="26"/>
          <w:szCs w:val="26"/>
        </w:rPr>
        <w:t xml:space="preserve">8. ASSIGNMENT OF INTELLECTUAL PROPERTY</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The Advisory Board Member irrevocably assigns to the Company all rights in any inventions, developments, or other intellectual property conceived or made in connection with the Services or Confidential Information.</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If pre-existing proprietary materials are incorporated, the Advisory Board Member shall notify the Company and grant the Company a perpetual, royalty-free license to use those materials.</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This section does not apply to inventions owned by the Advisory Board Member prior to the execution of this Agreement.</w:t>
      </w:r>
    </w:p>
    <w:p>
      <w:pPr>
        <w:pBdr>
          <w:bottom w:val="single" w:color="333333" w:sz="6" w:space="1"/>
        </w:pBdr>
        <w:spacing w:after="120" w:before="280"/>
      </w:pPr>
      <w:r>
        <w:rPr>
          <w:rFonts w:ascii="Arial" w:cs="Arial" w:eastAsia="Arial" w:hAnsi="Arial"/>
          <w:b/>
          <w:bCs/>
          <w:sz w:val="26"/>
          <w:szCs w:val="26"/>
        </w:rPr>
        <w:t xml:space="preserve">9. DUTY TO ASSIST</w:t>
      </w:r>
    </w:p>
    <w:p>
      <w:pPr>
        <w:spacing w:after="80" w:before="80"/>
        <w:ind/>
      </w:pPr>
      <w:r>
        <w:rPr>
          <w:rFonts w:ascii="Arial" w:cs="Arial" w:eastAsia="Arial" w:hAnsi="Arial"/>
          <w:b w:val="false"/>
          <w:bCs w:val="false"/>
          <w:sz w:val="22"/>
          <w:szCs w:val="22"/>
        </w:rPr>
        <w:t xml:space="preserve">The Advisory Board Member agrees, without additional remuneration (except for approved expenses), to execute documents and perform acts necessary to secure the Company's intellectual property rights worldwide. This duty survives the termination of this Agreement.</w:t>
      </w:r>
    </w:p>
    <w:p>
      <w:pPr>
        <w:pBdr>
          <w:bottom w:val="single" w:color="333333" w:sz="6" w:space="1"/>
        </w:pBdr>
        <w:spacing w:after="120" w:before="280"/>
      </w:pPr>
      <w:r>
        <w:rPr>
          <w:rFonts w:ascii="Arial" w:cs="Arial" w:eastAsia="Arial" w:hAnsi="Arial"/>
          <w:b/>
          <w:bCs/>
          <w:sz w:val="26"/>
          <w:szCs w:val="26"/>
        </w:rPr>
        <w:t xml:space="preserve">10. COMPANY'S RIGHT TO DISCLOSE</w:t>
      </w:r>
    </w:p>
    <w:p>
      <w:pPr>
        <w:spacing w:after="80" w:before="80"/>
        <w:ind/>
      </w:pPr>
      <w:r>
        <w:rPr>
          <w:rFonts w:ascii="Arial" w:cs="Arial" w:eastAsia="Arial" w:hAnsi="Arial"/>
          <w:b w:val="false"/>
          <w:bCs w:val="false"/>
          <w:sz w:val="22"/>
          <w:szCs w:val="22"/>
        </w:rPr>
        <w:t xml:space="preserve">During the term of this Agreement and with prior notice, the Company may disclose: (a) the existence of this Agreement; (b) the Advisory Board Member's status as an Advisory Board Member; and (c) the Advisory Board Member's name, image, and profile in promotional materials, including but not limited to private placement memoranda and offering materials.</w:t>
      </w:r>
    </w:p>
    <w:p>
      <w:pPr>
        <w:pBdr>
          <w:bottom w:val="single" w:color="333333" w:sz="6" w:space="1"/>
        </w:pBdr>
        <w:spacing w:after="120" w:before="280"/>
      </w:pPr>
      <w:r>
        <w:rPr>
          <w:rFonts w:ascii="Arial" w:cs="Arial" w:eastAsia="Arial" w:hAnsi="Arial"/>
          <w:b/>
          <w:bCs/>
          <w:sz w:val="26"/>
          <w:szCs w:val="26"/>
        </w:rPr>
        <w:t xml:space="preserve">11. NO CONFLICTS</w:t>
      </w:r>
    </w:p>
    <w:p>
      <w:pPr>
        <w:spacing w:after="80" w:before="80"/>
        <w:ind/>
      </w:pPr>
      <w:r>
        <w:rPr>
          <w:rFonts w:ascii="Arial" w:cs="Arial" w:eastAsia="Arial" w:hAnsi="Arial"/>
          <w:b w:val="false"/>
          <w:bCs w:val="false"/>
          <w:sz w:val="22"/>
          <w:szCs w:val="22"/>
        </w:rPr>
        <w:t xml:space="preserve">The Advisory Board Member represents that this Agreement does not violate any existing obligations. The Advisory Board Member will promptly notify the Company of any concurrent services provided to competitors for review.</w:t>
      </w:r>
    </w:p>
    <w:p>
      <w:pPr>
        <w:pBdr>
          <w:bottom w:val="single" w:color="333333" w:sz="6" w:space="1"/>
        </w:pBdr>
        <w:spacing w:after="120" w:before="280"/>
      </w:pPr>
      <w:r>
        <w:rPr>
          <w:rFonts w:ascii="Arial" w:cs="Arial" w:eastAsia="Arial" w:hAnsi="Arial"/>
          <w:b/>
          <w:bCs/>
          <w:sz w:val="26"/>
          <w:szCs w:val="26"/>
        </w:rPr>
        <w:t xml:space="preserve">12. MISCELLANEOUS</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Amendments and Waivers. This Agreement may only be amended by written consent of both parties.</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Entire Agreement. This Agreement supersedes all prior negotiations and agreements between the parties.</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Counterparts. This Agreement may be executed in multiple counterparts, each of which shall be deemed an original.</w:t>
      </w:r>
    </w:p>
    <w:p>
      <w:pPr>
        <w:pBdr>
          <w:bottom w:val="single" w:color="333333" w:sz="6" w:space="1"/>
        </w:pBdr>
        <w:spacing w:after="120" w:before="280"/>
      </w:pPr>
      <w:r>
        <w:rPr>
          <w:rFonts w:ascii="Arial" w:cs="Arial" w:eastAsia="Arial" w:hAnsi="Arial"/>
          <w:b/>
          <w:bCs/>
          <w:sz w:val="26"/>
          <w:szCs w:val="26"/>
        </w:rPr>
        <w:t xml:space="preserve">13. ARBITRATION AND DISPUTE RESOLUTION</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Any dispute, controversy, or claim arising out of or relating to this Agreement shall be resolved exclusively by binding arbitration administered by JAMS in accordance with its Comprehensive Arbitration Rules and Procedures.</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The place of arbitration shall be Wilmington, Delaware, unless otherwise agreed by the parties.</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The decision of the arbitrator shall be final and binding on both parties, and judgment upon the award may be entered in any court of competent jurisdiction.</w:t>
      </w:r>
    </w:p>
    <w:p>
      <w:pPr>
        <w:pBdr>
          <w:bottom w:val="single" w:color="333333" w:sz="6" w:space="1"/>
        </w:pBdr>
        <w:spacing w:after="120" w:before="280"/>
      </w:pPr>
      <w:r>
        <w:rPr>
          <w:rFonts w:ascii="Arial" w:cs="Arial" w:eastAsia="Arial" w:hAnsi="Arial"/>
          <w:b/>
          <w:bCs/>
          <w:sz w:val="26"/>
          <w:szCs w:val="26"/>
        </w:rPr>
        <w:t xml:space="preserve">14. LIMITATION OF LIABILITY AND INDEMNIFICATION</w:t>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The Advisory Board Member shall not be personally liable for any debts, obligations, or liabilities of the Company.</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The Company shall indemnify and hold harmless the Advisory Board Member against any claims, losses, or expenses arising from their role, except for acts of gross negligence, fraud, or willful misconduct.</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The Advisory Board Member acknowledges that their role is advisory only and carries no fiduciary responsibility to the Company, its shareholders, or its creditors.</w:t>
      </w:r>
    </w:p>
    <w:p>
      <w:pPr>
        <w:spacing w:after="0" w:before="0"/>
      </w:pPr>
      <w:r>
        <w:br w:type="page"/>
      </w:r>
    </w:p>
    <w:p>
      <w:pPr>
        <w:pBdr>
          <w:bottom w:val="single" w:color="000000" w:sz="6" w:space="4"/>
        </w:pBdr>
        <w:spacing w:after="200" w:before="200"/>
        <w:jc w:val="center"/>
      </w:pPr>
      <w:r>
        <w:rPr>
          <w:rFonts w:ascii="Arial" w:cs="Arial" w:eastAsia="Arial" w:hAnsi="Arial"/>
          <w:b/>
          <w:bCs/>
          <w:sz w:val="26"/>
          <w:szCs w:val="26"/>
        </w:rPr>
        <w:t xml:space="preserve">ADVISORY BOARD MEMBER EQUITY COMPENSATION</w:t>
      </w:r>
    </w:p>
    <w:p>
      <w:pPr>
        <w:spacing w:after="60" w:before="60"/>
      </w:pPr>
      <w:r>
        <w:t xml:space="preserve"/>
      </w:r>
    </w:p>
    <w:p>
      <w:pPr>
        <w:spacing w:after="80" w:before="160"/>
      </w:pPr>
      <w:r>
        <w:rPr>
          <w:rFonts w:ascii="Arial" w:cs="Arial" w:eastAsia="Arial" w:hAnsi="Arial"/>
          <w:b/>
          <w:bCs/>
          <w:sz w:val="22"/>
          <w:szCs w:val="22"/>
        </w:rPr>
        <w:t xml:space="preserve">A. Acquired Shares (Upon Execution)</w:t>
      </w:r>
    </w:p>
    <w:p>
      <w:pPr>
        <w:spacing w:after="80" w:before="80"/>
        <w:ind/>
      </w:pPr>
      <w:r>
        <w:rPr>
          <w:rFonts w:ascii="Arial" w:cs="Arial" w:eastAsia="Arial" w:hAnsi="Arial"/>
          <w:b w:val="false"/>
          <w:bCs w:val="false"/>
          <w:sz w:val="22"/>
          <w:szCs w:val="22"/>
        </w:rPr>
        <w:t xml:space="preserve">Upon execution of this Agreement, the Advisory Board Member shall receive 481,928 shares, already vested, in the form of Restricted Stock Units (RSUs).</w:t>
      </w:r>
    </w:p>
    <w:p>
      <w:pPr>
        <w:spacing w:after="60" w:before="60"/>
      </w:pPr>
      <w:r>
        <w:t xml:space="preserve"/>
      </w:r>
    </w:p>
    <w:p>
      <w:pPr>
        <w:spacing w:after="80" w:before="160"/>
      </w:pPr>
      <w:r>
        <w:rPr>
          <w:rFonts w:ascii="Arial" w:cs="Arial" w:eastAsia="Arial" w:hAnsi="Arial"/>
          <w:b/>
          <w:bCs/>
          <w:sz w:val="22"/>
          <w:szCs w:val="22"/>
        </w:rPr>
        <w:t xml:space="preserve">B. Compensatory Shares — Milestone RSU Grants</w:t>
      </w:r>
    </w:p>
    <w:p>
      <w:pPr>
        <w:spacing w:after="80" w:before="80"/>
        <w:ind/>
      </w:pPr>
      <w:r>
        <w:rPr>
          <w:rFonts w:ascii="Arial" w:cs="Arial" w:eastAsia="Arial" w:hAnsi="Arial"/>
          <w:b w:val="false"/>
          <w:bCs w:val="false"/>
          <w:sz w:val="22"/>
          <w:szCs w:val="22"/>
        </w:rPr>
        <w:t xml:space="preserve">Additional RSUs will be granted upon achievement of the milestones set forth below. All shares are Restricted Stock Units (RSUs) and shall remain unissued until conversion is triggered by a qualifying event. Each milestone is triggered by whichever threshold is reached first — documented locker installations, cumulative Company revenue, or registered user count.</w:t>
      </w:r>
    </w:p>
    <w:p>
      <w:pPr>
        <w:spacing w:after="60" w:before="60"/>
      </w:pPr>
      <w:r>
        <w:t xml:space="preserve"/>
      </w:r>
    </w:p>
    <w:tbl>
      <w:tblPr>
        <w:tblW w:type="dxa" w:w="7360"/>
        <w:tblBorders>
          <w:top w:val="single" w:color="auto" w:sz="4"/>
          <w:left w:val="single" w:color="auto" w:sz="4"/>
          <w:bottom w:val="single" w:color="auto" w:sz="4"/>
          <w:right w:val="single" w:color="auto" w:sz="4"/>
          <w:insideH w:val="single" w:color="auto" w:sz="4"/>
          <w:insideV w:val="single" w:color="auto" w:sz="4"/>
        </w:tblBorders>
      </w:tblPr>
      <w:tblGrid>
        <w:gridCol w:w="700"/>
        <w:gridCol w:w="1200"/>
        <w:gridCol w:w="1200"/>
        <w:gridCol w:w="1400"/>
        <w:gridCol w:w="1560"/>
        <w:gridCol w:w="1300"/>
      </w:tblGrid>
      <w:tr>
        <w:trPr>
          <w:tblHeader/>
        </w:trPr>
        <w:tc>
          <w:tcPr>
            <w:tcW w:type="dxa" w:w="70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Milestone</w:t>
            </w:r>
          </w:p>
        </w:tc>
        <w:tc>
          <w:tcPr>
            <w:tcW w:type="dxa" w:w="120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Locker Installations</w:t>
            </w:r>
          </w:p>
        </w:tc>
        <w:tc>
          <w:tcPr>
            <w:tcW w:type="dxa" w:w="120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Revenue Threshold (Whichever First)</w:t>
            </w:r>
          </w:p>
        </w:tc>
        <w:tc>
          <w:tcPr>
            <w:tcW w:type="dxa" w:w="140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User Threshold (Whichever First)</w:t>
            </w:r>
          </w:p>
        </w:tc>
        <w:tc>
          <w:tcPr>
            <w:tcW w:type="dxa" w:w="156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 Fully Diluted (Target Shares)</w:t>
            </w:r>
          </w:p>
        </w:tc>
        <w:tc>
          <w:tcPr>
            <w:tcW w:type="dxa" w:w="1300"/>
            <w:tcBorders>
              <w:top w:val="single" w:color="AAAAAA" w:sz="1"/>
              <w:left w:val="single" w:color="AAAAAA" w:sz="1"/>
              <w:bottom w:val="single" w:color="AAAAAA" w:sz="1"/>
              <w:right w:val="single" w:color="AAAAAA" w:sz="1"/>
            </w:tcBorders>
            <w:shd w:fill="D0D8E8" w:val="clear"/>
            <w:tcMar>
              <w:top w:type="dxa" w:w="80"/>
              <w:left w:type="dxa" w:w="100"/>
              <w:bottom w:type="dxa" w:w="80"/>
              <w:right w:type="dxa" w:w="100"/>
            </w:tcMar>
            <w:vAlign w:val="center"/>
          </w:tcPr>
          <w:p>
            <w:pPr>
              <w:jc w:val="center"/>
            </w:pPr>
            <w:r>
              <w:rPr>
                <w:rFonts w:ascii="Arial" w:cs="Arial" w:eastAsia="Arial" w:hAnsi="Arial"/>
                <w:b/>
                <w:bCs/>
                <w:sz w:val="18"/>
                <w:szCs w:val="18"/>
              </w:rPr>
              <w:t xml:space="preserve">Additional Shares (RSU)</w:t>
            </w:r>
          </w:p>
        </w:tc>
      </w:tr>
      <w:tr>
        <w:tc>
          <w:tcPr>
            <w:tcW w:type="dxa" w:w="7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w:t>
            </w:r>
          </w:p>
        </w:tc>
        <w:tc>
          <w:tcPr>
            <w:tcW w:type="dxa" w:w="1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w:t>
            </w:r>
          </w:p>
        </w:tc>
        <w:tc>
          <w:tcPr>
            <w:tcW w:type="dxa" w:w="1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w:t>
            </w:r>
          </w:p>
        </w:tc>
        <w:tc>
          <w:tcPr>
            <w:tcW w:type="dxa" w:w="1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 users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0.50% (2,000,000)</w:t>
            </w:r>
          </w:p>
        </w:tc>
        <w:tc>
          <w:tcPr>
            <w:tcW w:type="dxa" w:w="13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1,518,072</w:t>
            </w:r>
          </w:p>
        </w:tc>
      </w:tr>
      <w:tr>
        <w:tc>
          <w:tcPr>
            <w:tcW w:type="dxa" w:w="7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2</w:t>
            </w:r>
          </w:p>
        </w:tc>
        <w:tc>
          <w:tcPr>
            <w:tcW w:type="dxa" w:w="12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1,000</w:t>
            </w:r>
          </w:p>
        </w:tc>
        <w:tc>
          <w:tcPr>
            <w:tcW w:type="dxa" w:w="12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$1,000,000</w:t>
            </w:r>
          </w:p>
        </w:tc>
        <w:tc>
          <w:tcPr>
            <w:tcW w:type="dxa" w:w="14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1,000,000 users</w:t>
            </w:r>
          </w:p>
        </w:tc>
        <w:tc>
          <w:tcPr>
            <w:tcW w:type="dxa" w:w="156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1.00% (4,000,000)</w:t>
            </w:r>
          </w:p>
        </w:tc>
        <w:tc>
          <w:tcPr>
            <w:tcW w:type="dxa" w:w="13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vAlign w:val="center"/>
          </w:tcPr>
          <w:p>
            <w:pPr>
              <w:jc w:val="center"/>
            </w:pPr>
            <w:r>
              <w:rPr>
                <w:rFonts w:ascii="Arial" w:cs="Arial" w:eastAsia="Arial" w:hAnsi="Arial"/>
                <w:sz w:val="18"/>
                <w:szCs w:val="18"/>
              </w:rPr>
              <w:t xml:space="preserve">2,000,000</w:t>
            </w:r>
          </w:p>
        </w:tc>
      </w:tr>
      <w:tr>
        <w:tc>
          <w:tcPr>
            <w:tcW w:type="dxa" w:w="7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3</w:t>
            </w:r>
          </w:p>
        </w:tc>
        <w:tc>
          <w:tcPr>
            <w:tcW w:type="dxa" w:w="1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10,000</w:t>
            </w:r>
          </w:p>
        </w:tc>
        <w:tc>
          <w:tcPr>
            <w:tcW w:type="dxa" w:w="1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$10,000,000</w:t>
            </w:r>
          </w:p>
        </w:tc>
        <w:tc>
          <w:tcPr>
            <w:tcW w:type="dxa" w:w="1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10,000,000 users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2.00% (8,000,000)</w:t>
            </w:r>
          </w:p>
        </w:tc>
        <w:tc>
          <w:tcPr>
            <w:tcW w:type="dxa" w:w="13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sz w:val="18"/>
                <w:szCs w:val="18"/>
              </w:rPr>
              <w:t xml:space="preserve">4,000,000</w:t>
            </w:r>
          </w:p>
        </w:tc>
      </w:tr>
    </w:tbl>
    <w:p>
      <w:pPr>
        <w:spacing w:after="60" w:before="60"/>
      </w:pPr>
      <w:r>
        <w:t xml:space="preserve"/>
      </w:r>
    </w:p>
    <w:p>
      <w:pPr>
        <w:spacing w:after="60" w:before="60"/>
        <w:ind w:left="720"/>
      </w:pPr>
      <w:r>
        <w:rPr>
          <w:rFonts w:ascii="Arial" w:cs="Arial" w:eastAsia="Arial" w:hAnsi="Arial"/>
          <w:b/>
          <w:bCs/>
          <w:sz w:val="22"/>
          <w:szCs w:val="22"/>
        </w:rPr>
        <w:t xml:space="preserve">(a) </w:t>
      </w:r>
      <w:r>
        <w:rPr>
          <w:rFonts w:ascii="Arial" w:cs="Arial" w:eastAsia="Arial" w:hAnsi="Arial"/>
          <w:sz w:val="22"/>
          <w:szCs w:val="22"/>
        </w:rPr>
        <w:t xml:space="preserve">Vesting. RSUs will vest upon a Liquidity Event, IPO, sale of the Company, or any other transaction which provides for the settlement in cash in exchange for these RSUs.</w:t>
      </w:r>
    </w:p>
    <w:p>
      <w:pPr>
        <w:spacing w:after="60" w:before="60"/>
        <w:ind w:left="720"/>
      </w:pPr>
      <w:r>
        <w:rPr>
          <w:rFonts w:ascii="Arial" w:cs="Arial" w:eastAsia="Arial" w:hAnsi="Arial"/>
          <w:b/>
          <w:bCs/>
          <w:sz w:val="22"/>
          <w:szCs w:val="22"/>
        </w:rPr>
        <w:t xml:space="preserve">(b) </w:t>
      </w:r>
      <w:r>
        <w:rPr>
          <w:rFonts w:ascii="Arial" w:cs="Arial" w:eastAsia="Arial" w:hAnsi="Arial"/>
          <w:sz w:val="22"/>
          <w:szCs w:val="22"/>
        </w:rPr>
        <w:t xml:space="preserve">Total Authorized Shares: 400,000,000.</w:t>
      </w:r>
    </w:p>
    <w:p>
      <w:pPr>
        <w:spacing w:after="60" w:before="60"/>
        <w:ind w:left="720"/>
      </w:pPr>
      <w:r>
        <w:rPr>
          <w:rFonts w:ascii="Arial" w:cs="Arial" w:eastAsia="Arial" w:hAnsi="Arial"/>
          <w:b/>
          <w:bCs/>
          <w:sz w:val="22"/>
          <w:szCs w:val="22"/>
        </w:rPr>
        <w:t xml:space="preserve">(c) </w:t>
      </w:r>
      <w:r>
        <w:rPr>
          <w:rFonts w:ascii="Arial" w:cs="Arial" w:eastAsia="Arial" w:hAnsi="Arial"/>
          <w:sz w:val="22"/>
          <w:szCs w:val="22"/>
        </w:rPr>
        <w:t xml:space="preserve">Type of Security: Series A Common Stock (fully diluted basis; RSUs until conversion).</w:t>
      </w:r>
    </w:p>
    <w:p>
      <w:pPr>
        <w:spacing w:after="60" w:before="60"/>
        <w:ind w:left="720"/>
      </w:pPr>
      <w:r>
        <w:rPr>
          <w:rFonts w:ascii="Arial" w:cs="Arial" w:eastAsia="Arial" w:hAnsi="Arial"/>
          <w:b/>
          <w:bCs/>
          <w:sz w:val="22"/>
          <w:szCs w:val="22"/>
        </w:rPr>
        <w:t xml:space="preserve">(d) </w:t>
      </w:r>
      <w:r>
        <w:rPr>
          <w:rFonts w:ascii="Arial" w:cs="Arial" w:eastAsia="Arial" w:hAnsi="Arial"/>
          <w:sz w:val="22"/>
          <w:szCs w:val="22"/>
        </w:rPr>
        <w:t xml:space="preserve">All vested shares will remain in RSU form until a qualifying conversion event.</w:t>
      </w:r>
    </w:p>
    <w:p>
      <w:pPr>
        <w:spacing w:after="60" w:before="60"/>
      </w:pPr>
      <w:r>
        <w:t xml:space="preserve"/>
      </w:r>
    </w:p>
    <w:p>
      <w:pPr>
        <w:spacing w:after="120" w:before="120"/>
        <w:ind/>
      </w:pPr>
      <w:r>
        <w:rPr>
          <w:rFonts w:ascii="Arial" w:cs="Arial" w:eastAsia="Arial" w:hAnsi="Arial"/>
          <w:b w:val="false"/>
          <w:bCs w:val="false"/>
          <w:sz w:val="22"/>
          <w:szCs w:val="22"/>
        </w:rPr>
        <w:t xml:space="preserve">"Registered Users" means unique individuals who have completed account registration on the Company's platform, as tracked and verified by the Company's internal records. The Company shall maintain reasonable documentation of registered user counts for purposes of milestone verification.</w:t>
      </w:r>
    </w:p>
    <w:p>
      <w:pPr>
        <w:spacing w:after="0" w:before="0"/>
      </w:pPr>
      <w:r>
        <w:br w:type="page"/>
      </w:r>
    </w:p>
    <w:p>
      <w:pPr>
        <w:pBdr>
          <w:bottom w:val="single" w:color="000000" w:sz="6" w:space="4"/>
        </w:pBdr>
        <w:spacing w:after="200" w:before="200"/>
        <w:jc w:val="center"/>
      </w:pPr>
      <w:r>
        <w:rPr>
          <w:rFonts w:ascii="Arial" w:cs="Arial" w:eastAsia="Arial" w:hAnsi="Arial"/>
          <w:b/>
          <w:bCs/>
          <w:sz w:val="26"/>
          <w:szCs w:val="26"/>
        </w:rPr>
        <w:t xml:space="preserve">SIGNATURE PAGE</w:t>
      </w:r>
    </w:p>
    <w:p>
      <w:pPr>
        <w:spacing w:after="60" w:before="60"/>
      </w:pPr>
      <w:r>
        <w:t xml:space="preserve"/>
      </w:r>
    </w:p>
    <w:p>
      <w:pPr>
        <w:spacing w:after="80" w:before="160"/>
      </w:pPr>
      <w:r>
        <w:rPr>
          <w:rFonts w:ascii="Arial" w:cs="Arial" w:eastAsia="Arial" w:hAnsi="Arial"/>
          <w:b/>
          <w:bCs/>
          <w:sz w:val="22"/>
          <w:szCs w:val="22"/>
        </w:rPr>
        <w:t xml:space="preserve">Effective Date: </w:t>
      </w:r>
      <w:r>
        <w:rPr>
          <w:rFonts w:ascii="Arial" w:cs="Arial" w:eastAsia="Arial" w:hAnsi="Arial"/>
          <w:sz w:val="22"/>
          <w:szCs w:val="22"/>
        </w:rPr>
        <w:t xml:space="preserve">_______________________</w:t>
      </w:r>
    </w:p>
    <w:p>
      <w:pPr>
        <w:spacing w:after="160" w:before="80"/>
      </w:pPr>
      <w:r>
        <w:rPr>
          <w:rFonts w:ascii="Arial" w:cs="Arial" w:eastAsia="Arial" w:hAnsi="Arial"/>
          <w:b/>
          <w:bCs/>
          <w:sz w:val="22"/>
          <w:szCs w:val="22"/>
        </w:rPr>
        <w:t xml:space="preserve">Governing Law: </w:t>
      </w:r>
      <w:r>
        <w:rPr>
          <w:rFonts w:ascii="Arial" w:cs="Arial" w:eastAsia="Arial" w:hAnsi="Arial"/>
          <w:sz w:val="22"/>
          <w:szCs w:val="22"/>
        </w:rPr>
        <w:t xml:space="preserve">Wilmington, Delaware, United States of America</w:t>
      </w:r>
    </w:p>
    <w:p>
      <w:pPr>
        <w:spacing w:after="60" w:before="60"/>
      </w:pPr>
      <w:r>
        <w:t xml:space="preserve"/>
      </w:r>
    </w:p>
    <w:p>
      <w:pPr>
        <w:spacing w:after="80" w:before="160"/>
      </w:pPr>
      <w:r>
        <w:rPr>
          <w:rFonts w:ascii="Arial" w:cs="Arial" w:eastAsia="Arial" w:hAnsi="Arial"/>
          <w:b/>
          <w:bCs/>
          <w:sz w:val="22"/>
          <w:szCs w:val="22"/>
        </w:rPr>
        <w:t xml:space="preserve">Description of Services</w:t>
      </w:r>
    </w:p>
    <w:p>
      <w:pPr>
        <w:spacing w:after="80" w:before="80"/>
        <w:ind/>
      </w:pPr>
      <w:r>
        <w:rPr>
          <w:rFonts w:ascii="Arial" w:cs="Arial" w:eastAsia="Arial" w:hAnsi="Arial"/>
          <w:b w:val="false"/>
          <w:bCs w:val="false"/>
          <w:sz w:val="22"/>
          <w:szCs w:val="22"/>
        </w:rPr>
        <w:t xml:space="preserve">Upon execution, ______________________ will join TQG, Inc. as an Advisory Board Member and advise the CEO, Board, and C-suite team as needed.</w:t>
      </w:r>
    </w:p>
    <w:p>
      <w:pPr>
        <w:spacing w:after="60" w:before="60"/>
      </w:pPr>
      <w:r>
        <w:t xml:space="preserve"/>
      </w:r>
    </w:p>
    <w:p>
      <w:pPr>
        <w:spacing w:after="80" w:before="200"/>
      </w:pPr>
      <w:r>
        <w:rPr>
          <w:rFonts w:ascii="Arial" w:cs="Arial" w:eastAsia="Arial" w:hAnsi="Arial"/>
          <w:b/>
          <w:bCs/>
          <w:sz w:val="22"/>
          <w:szCs w:val="22"/>
        </w:rPr>
        <w:t xml:space="preserve">COMPANY: TQG, Inc.</w:t>
      </w:r>
    </w:p>
    <w:p>
      <w:pPr>
        <w:spacing w:after="80" w:before="200"/>
      </w:pPr>
      <w:r>
        <w:rPr>
          <w:rFonts w:ascii="Arial" w:cs="Arial" w:eastAsia="Arial" w:hAnsi="Arial"/>
          <w:b/>
          <w:bCs/>
          <w:sz w:val="22"/>
          <w:szCs w:val="22"/>
        </w:rPr>
        <w:t xml:space="preserve">Signature: </w:t>
      </w:r>
      <w:r>
        <w:rPr>
          <w:rFonts w:ascii="Arial" w:cs="Arial" w:eastAsia="Arial" w:hAnsi="Arial"/>
          <w:sz w:val="22"/>
          <w:szCs w:val="22"/>
        </w:rPr>
        <w:t xml:space="preserve">_________________________________</w:t>
      </w:r>
    </w:p>
    <w:p>
      <w:pPr>
        <w:spacing w:after="60" w:before="80"/>
      </w:pPr>
      <w:r>
        <w:rPr>
          <w:rFonts w:ascii="Arial" w:cs="Arial" w:eastAsia="Arial" w:hAnsi="Arial"/>
          <w:sz w:val="22"/>
          <w:szCs w:val="22"/>
        </w:rPr>
        <w:t xml:space="preserve">Name: Neil Biafore</w:t>
      </w:r>
    </w:p>
    <w:p>
      <w:pPr>
        <w:spacing w:after="60" w:before="60"/>
      </w:pPr>
      <w:r>
        <w:rPr>
          <w:rFonts w:ascii="Arial" w:cs="Arial" w:eastAsia="Arial" w:hAnsi="Arial"/>
          <w:sz w:val="22"/>
          <w:szCs w:val="22"/>
        </w:rPr>
        <w:t xml:space="preserve">Title: Chief Executive Officer</w:t>
      </w:r>
    </w:p>
    <w:p>
      <w:pPr>
        <w:spacing w:after="60" w:before="60"/>
      </w:pPr>
      <w:r>
        <w:rPr>
          <w:rFonts w:ascii="Arial" w:cs="Arial" w:eastAsia="Arial" w:hAnsi="Arial"/>
          <w:sz w:val="22"/>
          <w:szCs w:val="22"/>
        </w:rPr>
        <w:t xml:space="preserve">Address: 407 California Ave, Office #6, Palo Alto, CA 94306</w:t>
      </w:r>
    </w:p>
    <w:p>
      <w:pPr>
        <w:spacing w:after="80" w:before="200"/>
      </w:pPr>
      <w:r>
        <w:rPr>
          <w:rFonts w:ascii="Arial" w:cs="Arial" w:eastAsia="Arial" w:hAnsi="Arial"/>
          <w:b/>
          <w:bCs/>
          <w:sz w:val="22"/>
          <w:szCs w:val="22"/>
        </w:rPr>
        <w:t xml:space="preserve">Date: </w:t>
      </w:r>
      <w:r>
        <w:rPr>
          <w:rFonts w:ascii="Arial" w:cs="Arial" w:eastAsia="Arial" w:hAnsi="Arial"/>
          <w:sz w:val="22"/>
          <w:szCs w:val="22"/>
        </w:rPr>
        <w:t xml:space="preserve">_________________________________</w:t>
      </w:r>
    </w:p>
    <w:p>
      <w:pPr>
        <w:spacing w:after="60" w:before="60"/>
      </w:pPr>
      <w:r>
        <w:t xml:space="preserve"/>
      </w:r>
    </w:p>
    <w:p>
      <w:pPr>
        <w:spacing w:after="80" w:before="200"/>
      </w:pPr>
      <w:r>
        <w:rPr>
          <w:rFonts w:ascii="Arial" w:cs="Arial" w:eastAsia="Arial" w:hAnsi="Arial"/>
          <w:b/>
          <w:bCs/>
          <w:sz w:val="22"/>
          <w:szCs w:val="22"/>
        </w:rPr>
        <w:t xml:space="preserve">ADVISORY BOARD MEMBER:</w:t>
      </w:r>
    </w:p>
    <w:p>
      <w:pPr>
        <w:spacing w:after="80" w:before="200"/>
      </w:pPr>
      <w:r>
        <w:rPr>
          <w:rFonts w:ascii="Arial" w:cs="Arial" w:eastAsia="Arial" w:hAnsi="Arial"/>
          <w:b/>
          <w:bCs/>
          <w:sz w:val="22"/>
          <w:szCs w:val="22"/>
        </w:rPr>
        <w:t xml:space="preserve">Signature: </w:t>
      </w:r>
      <w:r>
        <w:rPr>
          <w:rFonts w:ascii="Arial" w:cs="Arial" w:eastAsia="Arial" w:hAnsi="Arial"/>
          <w:sz w:val="22"/>
          <w:szCs w:val="22"/>
        </w:rPr>
        <w:t xml:space="preserve">_________________________________</w:t>
      </w:r>
    </w:p>
    <w:p>
      <w:pPr>
        <w:spacing w:after="60" w:before="80"/>
      </w:pPr>
      <w:r>
        <w:rPr>
          <w:rFonts w:ascii="Arial" w:cs="Arial" w:eastAsia="Arial" w:hAnsi="Arial"/>
          <w:sz w:val="22"/>
          <w:szCs w:val="22"/>
        </w:rPr>
        <w:t xml:space="preserve">Name: _______________________________</w:t>
      </w:r>
    </w:p>
    <w:p>
      <w:pPr>
        <w:spacing w:after="60" w:before="60"/>
      </w:pPr>
      <w:r>
        <w:rPr>
          <w:rFonts w:ascii="Arial" w:cs="Arial" w:eastAsia="Arial" w:hAnsi="Arial"/>
          <w:sz w:val="22"/>
          <w:szCs w:val="22"/>
        </w:rPr>
        <w:t xml:space="preserve">Title: Advisory Board Member</w:t>
      </w:r>
    </w:p>
    <w:p>
      <w:pPr>
        <w:spacing w:after="80" w:before="200"/>
      </w:pPr>
      <w:r>
        <w:rPr>
          <w:rFonts w:ascii="Arial" w:cs="Arial" w:eastAsia="Arial" w:hAnsi="Arial"/>
          <w:b/>
          <w:bCs/>
          <w:sz w:val="22"/>
          <w:szCs w:val="22"/>
        </w:rPr>
        <w:t xml:space="preserve">Date: </w:t>
      </w:r>
      <w:r>
        <w:rPr>
          <w:rFonts w:ascii="Arial" w:cs="Arial" w:eastAsia="Arial" w:hAnsi="Arial"/>
          <w:sz w:val="22"/>
          <w:szCs w:val="22"/>
        </w:rPr>
        <w:t xml:space="preserve">_________________________________</w:t>
      </w:r>
    </w:p>
    <w:p>
      <w:pPr>
        <w:spacing w:after="60" w:before="60"/>
      </w:pPr>
      <w:r>
        <w:t xml:space="preserve"/>
      </w:r>
    </w:p>
    <w:p>
      <w:pPr>
        <w:spacing w:after="80" w:before="160"/>
      </w:pPr>
      <w:r>
        <w:rPr>
          <w:rFonts w:ascii="Arial" w:cs="Arial" w:eastAsia="Arial" w:hAnsi="Arial"/>
          <w:b/>
          <w:bCs/>
          <w:sz w:val="22"/>
          <w:szCs w:val="22"/>
        </w:rPr>
        <w:t xml:space="preserve">Deliverable</w:t>
      </w:r>
    </w:p>
    <w:p>
      <w:pPr>
        <w:spacing w:after="80" w:before="80"/>
        <w:ind/>
      </w:pPr>
      <w:r>
        <w:rPr>
          <w:rFonts w:ascii="Arial" w:cs="Arial" w:eastAsia="Arial" w:hAnsi="Arial"/>
          <w:b w:val="false"/>
          <w:bCs w:val="false"/>
          <w:sz w:val="22"/>
          <w:szCs w:val="22"/>
        </w:rPr>
        <w:t xml:space="preserve">Upon signature, _____________________ will join TQG, Inc. as an Advisory Board Member and advise the CEO, fellow Advisory Board Members, and the C-suite team as needed.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2026-06-10T17:28:37.505Z</dcterms:created>
  <dcterms:modified xsi:type="dcterms:W3CDTF">2026-06-10T17:28:37.505Z</dcterms:modified>
</cp:coreProperties>
</file>

<file path=docProps/custom.xml><?xml version="1.0" encoding="utf-8"?>
<Properties xmlns="http://schemas.openxmlformats.org/officeDocument/2006/custom-properties" xmlns:vt="http://schemas.openxmlformats.org/officeDocument/2006/docPropsVTypes"/>
</file>