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45078"/>
          <w:sz w:val="20"/>
        </w:rPr>
        <w:t>PRG LANDTECH MEMBER OPERATIONS LIBRARY</w:t>
        <w:br/>
      </w:r>
      <w:r>
        <w:rPr>
          <w:b/>
          <w:sz w:val="36"/>
        </w:rPr>
        <w:t>Title Review Guide</w:t>
      </w:r>
      <w:r>
        <w:rPr>
          <w:i/>
          <w:sz w:val="20"/>
        </w:rPr>
        <w:br/>
        <w:t>Ownership, liens, easements, probate, restrictions, and closing risk review</w:t>
      </w:r>
    </w:p>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vAlign w:val="center"/>
            <w:shd w:fill="EAF2F8"/>
          </w:tcPr>
          <w:p>
            <w:r/>
            <w:r>
              <w:rPr>
                <w:b/>
                <w:sz w:val="18"/>
              </w:rPr>
              <w:t>Owner</w:t>
            </w:r>
          </w:p>
        </w:tc>
        <w:tc>
          <w:tcPr>
            <w:tcW w:type="dxa" w:w="2556"/>
            <w:vAlign w:val="center"/>
          </w:tcPr>
          <w:p>
            <w:r/>
            <w:r>
              <w:rPr>
                <w:b w:val="0"/>
                <w:sz w:val="18"/>
              </w:rPr>
              <w:t>Acquisition Manager / Closing Coordinator</w:t>
            </w:r>
          </w:p>
        </w:tc>
        <w:tc>
          <w:tcPr>
            <w:tcW w:type="dxa" w:w="2556"/>
            <w:vAlign w:val="center"/>
            <w:shd w:fill="EAF2F8"/>
          </w:tcPr>
          <w:p>
            <w:r/>
            <w:r>
              <w:rPr>
                <w:b/>
                <w:sz w:val="18"/>
              </w:rPr>
              <w:t>Frequency</w:t>
            </w:r>
          </w:p>
        </w:tc>
        <w:tc>
          <w:tcPr>
            <w:tcW w:type="dxa" w:w="2556"/>
            <w:vAlign w:val="center"/>
          </w:tcPr>
          <w:p>
            <w:r/>
            <w:r>
              <w:rPr>
                <w:b w:val="0"/>
                <w:sz w:val="18"/>
              </w:rPr>
              <w:t>Before contract assignment and before closing</w:t>
            </w:r>
          </w:p>
        </w:tc>
      </w:tr>
      <w:tr>
        <w:tc>
          <w:tcPr>
            <w:tcW w:type="dxa" w:w="2556"/>
            <w:vAlign w:val="center"/>
            <w:shd w:fill="EAF2F8"/>
          </w:tcPr>
          <w:p>
            <w:r/>
            <w:r>
              <w:rPr>
                <w:b/>
                <w:sz w:val="18"/>
              </w:rPr>
              <w:t>Primary System</w:t>
            </w:r>
          </w:p>
        </w:tc>
        <w:tc>
          <w:tcPr>
            <w:tcW w:type="dxa" w:w="2556"/>
            <w:vAlign w:val="center"/>
          </w:tcPr>
          <w:p>
            <w:r/>
            <w:r>
              <w:rPr>
                <w:b w:val="0"/>
                <w:sz w:val="18"/>
              </w:rPr>
              <w:t>CRM / FreedomSoft</w:t>
            </w:r>
          </w:p>
        </w:tc>
        <w:tc>
          <w:tcPr>
            <w:tcW w:type="dxa" w:w="2556"/>
            <w:vAlign w:val="center"/>
            <w:shd w:fill="EAF2F8"/>
          </w:tcPr>
          <w:p>
            <w:r/>
            <w:r>
              <w:rPr>
                <w:b/>
                <w:sz w:val="18"/>
              </w:rPr>
              <w:t>Output</w:t>
            </w:r>
          </w:p>
        </w:tc>
        <w:tc>
          <w:tcPr>
            <w:tcW w:type="dxa" w:w="2556"/>
            <w:vAlign w:val="center"/>
          </w:tcPr>
          <w:p>
            <w:r/>
            <w:r>
              <w:rPr>
                <w:b w:val="0"/>
                <w:sz w:val="18"/>
              </w:rPr>
              <w:t>Clean lead record and next action</w:t>
            </w:r>
          </w:p>
        </w:tc>
      </w:tr>
      <w:tr>
        <w:tc>
          <w:tcPr>
            <w:tcW w:type="dxa" w:w="2556"/>
            <w:vAlign w:val="center"/>
            <w:shd w:fill="EAF2F8"/>
          </w:tcPr>
          <w:p>
            <w:r/>
            <w:r>
              <w:rPr>
                <w:b/>
                <w:sz w:val="18"/>
              </w:rPr>
              <w:t>Skill Level</w:t>
            </w:r>
          </w:p>
        </w:tc>
        <w:tc>
          <w:tcPr>
            <w:tcW w:type="dxa" w:w="2556"/>
            <w:vAlign w:val="center"/>
          </w:tcPr>
          <w:p>
            <w:r/>
            <w:r>
              <w:rPr>
                <w:b w:val="0"/>
                <w:sz w:val="18"/>
              </w:rPr>
              <w:t>Beginner to intermediate</w:t>
            </w:r>
          </w:p>
        </w:tc>
        <w:tc>
          <w:tcPr>
            <w:tcW w:type="dxa" w:w="2556"/>
            <w:vAlign w:val="center"/>
            <w:shd w:fill="EAF2F8"/>
          </w:tcPr>
          <w:p>
            <w:r/>
            <w:r>
              <w:rPr>
                <w:b/>
                <w:sz w:val="18"/>
              </w:rPr>
              <w:t>Quality Standard</w:t>
            </w:r>
          </w:p>
        </w:tc>
        <w:tc>
          <w:tcPr>
            <w:tcW w:type="dxa" w:w="2556"/>
            <w:vAlign w:val="center"/>
          </w:tcPr>
          <w:p>
            <w:r/>
            <w:r>
              <w:rPr>
                <w:b w:val="0"/>
                <w:sz w:val="18"/>
              </w:rPr>
              <w:t>No blanks in required fields</w:t>
            </w:r>
          </w:p>
        </w:tc>
      </w:tr>
      <w:tr>
        <w:tc>
          <w:tcPr>
            <w:tcW w:type="dxa" w:w="2556"/>
            <w:vAlign w:val="center"/>
            <w:shd w:fill="EAF2F8"/>
          </w:tcPr>
          <w:p>
            <w:r/>
            <w:r>
              <w:rPr>
                <w:b/>
                <w:sz w:val="18"/>
              </w:rPr>
              <w:t>Last Updated</w:t>
            </w:r>
          </w:p>
        </w:tc>
        <w:tc>
          <w:tcPr>
            <w:tcW w:type="dxa" w:w="2556"/>
            <w:vAlign w:val="center"/>
          </w:tcPr>
          <w:p>
            <w:r/>
            <w:r>
              <w:rPr>
                <w:b w:val="0"/>
                <w:sz w:val="18"/>
              </w:rPr>
              <w:t>June 2026</w:t>
            </w:r>
          </w:p>
        </w:tc>
        <w:tc>
          <w:tcPr>
            <w:tcW w:type="dxa" w:w="2556"/>
            <w:vAlign w:val="center"/>
            <w:shd w:fill="EAF2F8"/>
          </w:tcPr>
          <w:p>
            <w:r/>
            <w:r>
              <w:rPr>
                <w:b/>
                <w:sz w:val="18"/>
              </w:rPr>
              <w:t>Version</w:t>
            </w:r>
          </w:p>
        </w:tc>
        <w:tc>
          <w:tcPr>
            <w:tcW w:type="dxa" w:w="2556"/>
            <w:vAlign w:val="center"/>
          </w:tcPr>
          <w:p>
            <w:r/>
            <w:r>
              <w:rPr>
                <w:b w:val="0"/>
                <w:sz w:val="18"/>
              </w:rPr>
              <w:t>1.0</w:t>
            </w:r>
          </w:p>
        </w:tc>
      </w:tr>
    </w:tbl>
    <w:p/>
    <w:p>
      <w:pPr>
        <w:pStyle w:val="Heading1"/>
      </w:pPr>
      <w:r>
        <w:t>1. Purpose</w:t>
      </w:r>
    </w:p>
    <w:p>
      <w:r>
        <w:t>Title review protects PRG members from assigning or acquiring deals with hidden ownership, lien, easement, restriction, probate, or closing issues. This guide is not a substitute for title company or attorney review, but it tells members what to look for and when to escalate.</w:t>
      </w:r>
    </w:p>
    <w:p>
      <w:pPr>
        <w:pStyle w:val="Heading1"/>
      </w:pPr>
      <w:r>
        <w:t>2. What Title Review Must Confirm</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D9EAF7"/>
          </w:tcPr>
          <w:p>
            <w:r/>
            <w:r>
              <w:rPr>
                <w:b/>
                <w:sz w:val="18"/>
              </w:rPr>
              <w:t>Item</w:t>
            </w:r>
          </w:p>
        </w:tc>
        <w:tc>
          <w:tcPr>
            <w:tcW w:type="dxa" w:w="5112"/>
            <w:vAlign w:val="center"/>
            <w:shd w:fill="D9EAF7"/>
          </w:tcPr>
          <w:p>
            <w:r/>
            <w:r>
              <w:rPr>
                <w:b/>
                <w:sz w:val="18"/>
              </w:rPr>
              <w:t>Standard / Detail</w:t>
            </w:r>
          </w:p>
        </w:tc>
      </w:tr>
      <w:tr>
        <w:tc>
          <w:tcPr>
            <w:tcW w:type="dxa" w:w="5112"/>
            <w:vAlign w:val="center"/>
          </w:tcPr>
          <w:p>
            <w:r/>
            <w:r>
              <w:rPr>
                <w:b/>
                <w:sz w:val="18"/>
              </w:rPr>
              <w:t>Ownership</w:t>
            </w:r>
          </w:p>
        </w:tc>
        <w:tc>
          <w:tcPr>
            <w:tcW w:type="dxa" w:w="5112"/>
            <w:vAlign w:val="center"/>
          </w:tcPr>
          <w:p>
            <w:r/>
            <w:r>
              <w:rPr>
                <w:b w:val="0"/>
                <w:sz w:val="18"/>
              </w:rPr>
              <w:t>Seller is owner of record or has authority to sell.</w:t>
            </w:r>
          </w:p>
        </w:tc>
      </w:tr>
      <w:tr>
        <w:tc>
          <w:tcPr>
            <w:tcW w:type="dxa" w:w="5112"/>
            <w:vAlign w:val="center"/>
          </w:tcPr>
          <w:p>
            <w:r/>
            <w:r>
              <w:rPr>
                <w:b/>
                <w:sz w:val="18"/>
              </w:rPr>
              <w:t>Vesting</w:t>
            </w:r>
          </w:p>
        </w:tc>
        <w:tc>
          <w:tcPr>
            <w:tcW w:type="dxa" w:w="5112"/>
            <w:vAlign w:val="center"/>
          </w:tcPr>
          <w:p>
            <w:r/>
            <w:r>
              <w:rPr>
                <w:b w:val="0"/>
                <w:sz w:val="18"/>
              </w:rPr>
              <w:t>How title is held: individual, spouses, LLC, trust, estate, partnership, corporation.</w:t>
            </w:r>
          </w:p>
        </w:tc>
      </w:tr>
      <w:tr>
        <w:tc>
          <w:tcPr>
            <w:tcW w:type="dxa" w:w="5112"/>
            <w:vAlign w:val="center"/>
          </w:tcPr>
          <w:p>
            <w:r/>
            <w:r>
              <w:rPr>
                <w:b/>
                <w:sz w:val="18"/>
              </w:rPr>
              <w:t>Liens</w:t>
            </w:r>
          </w:p>
        </w:tc>
        <w:tc>
          <w:tcPr>
            <w:tcW w:type="dxa" w:w="5112"/>
            <w:vAlign w:val="center"/>
          </w:tcPr>
          <w:p>
            <w:r/>
            <w:r>
              <w:rPr>
                <w:b w:val="0"/>
                <w:sz w:val="18"/>
              </w:rPr>
              <w:t>Mortgages, tax liens, judgments, HOA liens, municipal liens, mechanic liens.</w:t>
            </w:r>
          </w:p>
        </w:tc>
      </w:tr>
      <w:tr>
        <w:tc>
          <w:tcPr>
            <w:tcW w:type="dxa" w:w="5112"/>
            <w:vAlign w:val="center"/>
          </w:tcPr>
          <w:p>
            <w:r/>
            <w:r>
              <w:rPr>
                <w:b/>
                <w:sz w:val="18"/>
              </w:rPr>
              <w:t>Taxes</w:t>
            </w:r>
          </w:p>
        </w:tc>
        <w:tc>
          <w:tcPr>
            <w:tcW w:type="dxa" w:w="5112"/>
            <w:vAlign w:val="center"/>
          </w:tcPr>
          <w:p>
            <w:r/>
            <w:r>
              <w:rPr>
                <w:b w:val="0"/>
                <w:sz w:val="18"/>
              </w:rPr>
              <w:t>Current, delinquent, tax sale, redemption, special assessments, rollback taxes.</w:t>
            </w:r>
          </w:p>
        </w:tc>
      </w:tr>
      <w:tr>
        <w:tc>
          <w:tcPr>
            <w:tcW w:type="dxa" w:w="5112"/>
            <w:vAlign w:val="center"/>
          </w:tcPr>
          <w:p>
            <w:r/>
            <w:r>
              <w:rPr>
                <w:b/>
                <w:sz w:val="18"/>
              </w:rPr>
              <w:t>Easements</w:t>
            </w:r>
          </w:p>
        </w:tc>
        <w:tc>
          <w:tcPr>
            <w:tcW w:type="dxa" w:w="5112"/>
            <w:vAlign w:val="center"/>
          </w:tcPr>
          <w:p>
            <w:r/>
            <w:r>
              <w:rPr>
                <w:b w:val="0"/>
                <w:sz w:val="18"/>
              </w:rPr>
              <w:t>Access, utility, drainage, conservation, ingress/egress, private road agreements.</w:t>
            </w:r>
          </w:p>
        </w:tc>
      </w:tr>
      <w:tr>
        <w:tc>
          <w:tcPr>
            <w:tcW w:type="dxa" w:w="5112"/>
            <w:vAlign w:val="center"/>
          </w:tcPr>
          <w:p>
            <w:r/>
            <w:r>
              <w:rPr>
                <w:b/>
                <w:sz w:val="18"/>
              </w:rPr>
              <w:t>Restrictions</w:t>
            </w:r>
          </w:p>
        </w:tc>
        <w:tc>
          <w:tcPr>
            <w:tcW w:type="dxa" w:w="5112"/>
            <w:vAlign w:val="center"/>
          </w:tcPr>
          <w:p>
            <w:r/>
            <w:r>
              <w:rPr>
                <w:b w:val="0"/>
                <w:sz w:val="18"/>
              </w:rPr>
              <w:t>Deed restrictions, covenants, HOA/POA, subdivision restrictions, conservation limitations.</w:t>
            </w:r>
          </w:p>
        </w:tc>
      </w:tr>
      <w:tr>
        <w:tc>
          <w:tcPr>
            <w:tcW w:type="dxa" w:w="5112"/>
            <w:vAlign w:val="center"/>
          </w:tcPr>
          <w:p>
            <w:r/>
            <w:r>
              <w:rPr>
                <w:b/>
                <w:sz w:val="18"/>
              </w:rPr>
              <w:t>Legal description</w:t>
            </w:r>
          </w:p>
        </w:tc>
        <w:tc>
          <w:tcPr>
            <w:tcW w:type="dxa" w:w="5112"/>
            <w:vAlign w:val="center"/>
          </w:tcPr>
          <w:p>
            <w:r/>
            <w:r>
              <w:rPr>
                <w:b w:val="0"/>
                <w:sz w:val="18"/>
              </w:rPr>
              <w:t>Matches parcel intended to be purchased and can be insured/recorded.</w:t>
            </w:r>
          </w:p>
        </w:tc>
      </w:tr>
      <w:tr>
        <w:tc>
          <w:tcPr>
            <w:tcW w:type="dxa" w:w="5112"/>
            <w:vAlign w:val="center"/>
          </w:tcPr>
          <w:p>
            <w:r/>
            <w:r>
              <w:rPr>
                <w:b/>
                <w:sz w:val="18"/>
              </w:rPr>
              <w:t>Closing authority</w:t>
            </w:r>
          </w:p>
        </w:tc>
        <w:tc>
          <w:tcPr>
            <w:tcW w:type="dxa" w:w="5112"/>
            <w:vAlign w:val="center"/>
          </w:tcPr>
          <w:p>
            <w:r/>
            <w:r>
              <w:rPr>
                <w:b w:val="0"/>
                <w:sz w:val="18"/>
              </w:rPr>
              <w:t>All required signers can sign and provide ID/entity documents.</w:t>
            </w:r>
          </w:p>
        </w:tc>
      </w:tr>
    </w:tbl>
    <w:p/>
    <w:p>
      <w:pPr>
        <w:pStyle w:val="Heading1"/>
      </w:pPr>
      <w:r>
        <w:t>3. Title Order Checklist</w:t>
      </w:r>
    </w:p>
    <w:p>
      <w:r>
        <w:t>☐ Send executed purchase agreement to title company/closing attorney.</w:t>
      </w:r>
    </w:p>
    <w:p>
      <w:r>
        <w:t>☐ Provide seller contact information.</w:t>
      </w:r>
    </w:p>
    <w:p>
      <w:r>
        <w:t>☐ Provide buyer/assignee vesting information.</w:t>
      </w:r>
    </w:p>
    <w:p>
      <w:r>
        <w:t>☐ Provide APN, county, legal description, and property address if available.</w:t>
      </w:r>
    </w:p>
    <w:p>
      <w:r>
        <w:t>☐ Ask for title commitment/preliminary title report.</w:t>
      </w:r>
    </w:p>
    <w:p>
      <w:r>
        <w:t>☐ Ask for tax payoff information.</w:t>
      </w:r>
    </w:p>
    <w:p>
      <w:r>
        <w:t>☐ Ask whether assignment structure is acceptable.</w:t>
      </w:r>
    </w:p>
    <w:p>
      <w:r>
        <w:t>☐ Ask what seller documents are needed.</w:t>
      </w:r>
    </w:p>
    <w:p>
      <w:r>
        <w:t>☐ Ask what buyer/entity documents are needed.</w:t>
      </w:r>
    </w:p>
    <w:p>
      <w:r>
        <w:t>☐ Ask whether seller consent to assignment is required.</w:t>
      </w:r>
    </w:p>
    <w:p>
      <w:r>
        <w:t>☐ Ask for estimated closing timeline.</w:t>
      </w:r>
    </w:p>
    <w:p>
      <w:pPr>
        <w:pStyle w:val="Heading1"/>
      </w:pPr>
      <w:r>
        <w:t>4. Title Company Email Template</w:t>
      </w:r>
    </w:p>
    <w:p>
      <w:r>
        <w:t>Subject: Title Order - [County/State] - APN [____]</w:t>
      </w:r>
    </w:p>
    <w:p>
      <w:r>
        <w:t>Hello [Closer], attached is the purchase agreement for a vacant land transaction we would like to open. Please begin title review and let us know any requirements, title issues, seller authority concerns, assignment requirements, estimated closing costs, tax payoffs, and documents needed from buyer or seller. Property: [address/APN]. Seller: [name]. Buyer/Contract Holder: PRG LandTech, LLC. Closing target: [date]. Thank you.</w:t>
      </w:r>
    </w:p>
    <w:p>
      <w:pPr>
        <w:pStyle w:val="Heading1"/>
      </w:pPr>
      <w:r>
        <w:t>5. Reading a Title Commitment or Preliminary Report</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D9EAF7"/>
          </w:tcPr>
          <w:p>
            <w:r/>
            <w:r>
              <w:rPr>
                <w:b/>
                <w:sz w:val="18"/>
              </w:rPr>
              <w:t>Item</w:t>
            </w:r>
          </w:p>
        </w:tc>
        <w:tc>
          <w:tcPr>
            <w:tcW w:type="dxa" w:w="5112"/>
            <w:vAlign w:val="center"/>
            <w:shd w:fill="D9EAF7"/>
          </w:tcPr>
          <w:p>
            <w:r/>
            <w:r>
              <w:rPr>
                <w:b/>
                <w:sz w:val="18"/>
              </w:rPr>
              <w:t>Standard / Detail</w:t>
            </w:r>
          </w:p>
        </w:tc>
      </w:tr>
      <w:tr>
        <w:tc>
          <w:tcPr>
            <w:tcW w:type="dxa" w:w="5112"/>
            <w:vAlign w:val="center"/>
          </w:tcPr>
          <w:p>
            <w:r/>
            <w:r>
              <w:rPr>
                <w:b/>
                <w:sz w:val="18"/>
              </w:rPr>
              <w:t>Schedule A / Cover</w:t>
            </w:r>
          </w:p>
        </w:tc>
        <w:tc>
          <w:tcPr>
            <w:tcW w:type="dxa" w:w="5112"/>
            <w:vAlign w:val="center"/>
          </w:tcPr>
          <w:p>
            <w:r/>
            <w:r>
              <w:rPr>
                <w:b w:val="0"/>
                <w:sz w:val="18"/>
              </w:rPr>
              <w:t>Confirm property, owner, buyer, legal description, policy amount, and closing file number.</w:t>
            </w:r>
          </w:p>
        </w:tc>
      </w:tr>
      <w:tr>
        <w:tc>
          <w:tcPr>
            <w:tcW w:type="dxa" w:w="5112"/>
            <w:vAlign w:val="center"/>
          </w:tcPr>
          <w:p>
            <w:r/>
            <w:r>
              <w:rPr>
                <w:b/>
                <w:sz w:val="18"/>
              </w:rPr>
              <w:t>Requirements</w:t>
            </w:r>
          </w:p>
        </w:tc>
        <w:tc>
          <w:tcPr>
            <w:tcW w:type="dxa" w:w="5112"/>
            <w:vAlign w:val="center"/>
          </w:tcPr>
          <w:p>
            <w:r/>
            <w:r>
              <w:rPr>
                <w:b w:val="0"/>
                <w:sz w:val="18"/>
              </w:rPr>
              <w:t>Items that must be satisfied before closing: releases, payoffs, affidavits, entity documents, probate documents.</w:t>
            </w:r>
          </w:p>
        </w:tc>
      </w:tr>
      <w:tr>
        <w:tc>
          <w:tcPr>
            <w:tcW w:type="dxa" w:w="5112"/>
            <w:vAlign w:val="center"/>
          </w:tcPr>
          <w:p>
            <w:r/>
            <w:r>
              <w:rPr>
                <w:b/>
                <w:sz w:val="18"/>
              </w:rPr>
              <w:t>Exceptions</w:t>
            </w:r>
          </w:p>
        </w:tc>
        <w:tc>
          <w:tcPr>
            <w:tcW w:type="dxa" w:w="5112"/>
            <w:vAlign w:val="center"/>
          </w:tcPr>
          <w:p>
            <w:r/>
            <w:r>
              <w:rPr>
                <w:b w:val="0"/>
                <w:sz w:val="18"/>
              </w:rPr>
              <w:t>Items title insurance will not cover: easements, restrictions, mineral reservations, road agreements, survey matters.</w:t>
            </w:r>
          </w:p>
        </w:tc>
      </w:tr>
      <w:tr>
        <w:tc>
          <w:tcPr>
            <w:tcW w:type="dxa" w:w="5112"/>
            <w:vAlign w:val="center"/>
          </w:tcPr>
          <w:p>
            <w:r/>
            <w:r>
              <w:rPr>
                <w:b/>
                <w:sz w:val="18"/>
              </w:rPr>
              <w:t>Tax information</w:t>
            </w:r>
          </w:p>
        </w:tc>
        <w:tc>
          <w:tcPr>
            <w:tcW w:type="dxa" w:w="5112"/>
            <w:vAlign w:val="center"/>
          </w:tcPr>
          <w:p>
            <w:r/>
            <w:r>
              <w:rPr>
                <w:b w:val="0"/>
                <w:sz w:val="18"/>
              </w:rPr>
              <w:t>Check current/delinquent taxes, special assessments, rollback risk.</w:t>
            </w:r>
          </w:p>
        </w:tc>
      </w:tr>
      <w:tr>
        <w:tc>
          <w:tcPr>
            <w:tcW w:type="dxa" w:w="5112"/>
            <w:vAlign w:val="center"/>
          </w:tcPr>
          <w:p>
            <w:r/>
            <w:r>
              <w:rPr>
                <w:b/>
                <w:sz w:val="18"/>
              </w:rPr>
              <w:t>Legal description</w:t>
            </w:r>
          </w:p>
        </w:tc>
        <w:tc>
          <w:tcPr>
            <w:tcW w:type="dxa" w:w="5112"/>
            <w:vAlign w:val="center"/>
          </w:tcPr>
          <w:p>
            <w:r/>
            <w:r>
              <w:rPr>
                <w:b w:val="0"/>
                <w:sz w:val="18"/>
              </w:rPr>
              <w:t>Compare to contract, assessor, deed, and GIS.</w:t>
            </w:r>
          </w:p>
        </w:tc>
      </w:tr>
      <w:tr>
        <w:tc>
          <w:tcPr>
            <w:tcW w:type="dxa" w:w="5112"/>
            <w:vAlign w:val="center"/>
          </w:tcPr>
          <w:p>
            <w:r/>
            <w:r>
              <w:rPr>
                <w:b/>
                <w:sz w:val="18"/>
              </w:rPr>
              <w:t>Access references</w:t>
            </w:r>
          </w:p>
        </w:tc>
        <w:tc>
          <w:tcPr>
            <w:tcW w:type="dxa" w:w="5112"/>
            <w:vAlign w:val="center"/>
          </w:tcPr>
          <w:p>
            <w:r/>
            <w:r>
              <w:rPr>
                <w:b w:val="0"/>
                <w:sz w:val="18"/>
              </w:rPr>
              <w:t>Look for recorded easements or road references if access is not obvious.</w:t>
            </w:r>
          </w:p>
        </w:tc>
      </w:tr>
      <w:tr>
        <w:tc>
          <w:tcPr>
            <w:tcW w:type="dxa" w:w="5112"/>
            <w:vAlign w:val="center"/>
          </w:tcPr>
          <w:p>
            <w:r/>
            <w:r>
              <w:rPr>
                <w:b/>
                <w:sz w:val="18"/>
              </w:rPr>
              <w:t>Entity requirements</w:t>
            </w:r>
          </w:p>
        </w:tc>
        <w:tc>
          <w:tcPr>
            <w:tcW w:type="dxa" w:w="5112"/>
            <w:vAlign w:val="center"/>
          </w:tcPr>
          <w:p>
            <w:r/>
            <w:r>
              <w:rPr>
                <w:b w:val="0"/>
                <w:sz w:val="18"/>
              </w:rPr>
              <w:t>Operating agreement, resolution, good standing, trustee certificate, probate authority, power of attorney review.</w:t>
            </w:r>
          </w:p>
        </w:tc>
      </w:tr>
    </w:tbl>
    <w:p/>
    <w:p>
      <w:pPr>
        <w:pStyle w:val="Heading1"/>
      </w:pPr>
      <w:r>
        <w:t>6. Common Title Problems and Actions</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shd w:fill="D9EAF7"/>
          </w:tcPr>
          <w:p>
            <w:r/>
            <w:r>
              <w:rPr>
                <w:b/>
                <w:sz w:val="18"/>
              </w:rPr>
              <w:t>Issue</w:t>
            </w:r>
          </w:p>
        </w:tc>
        <w:tc>
          <w:tcPr>
            <w:tcW w:type="dxa" w:w="3408"/>
            <w:vAlign w:val="center"/>
            <w:shd w:fill="D9EAF7"/>
          </w:tcPr>
          <w:p>
            <w:r/>
            <w:r>
              <w:rPr>
                <w:b/>
                <w:sz w:val="18"/>
              </w:rPr>
              <w:t>Risk</w:t>
            </w:r>
          </w:p>
        </w:tc>
        <w:tc>
          <w:tcPr>
            <w:tcW w:type="dxa" w:w="3408"/>
            <w:vAlign w:val="center"/>
            <w:shd w:fill="D9EAF7"/>
          </w:tcPr>
          <w:p>
            <w:r/>
            <w:r>
              <w:rPr>
                <w:b/>
                <w:sz w:val="18"/>
              </w:rPr>
              <w:t>Action</w:t>
            </w:r>
          </w:p>
        </w:tc>
      </w:tr>
      <w:tr>
        <w:tc>
          <w:tcPr>
            <w:tcW w:type="dxa" w:w="3408"/>
            <w:vAlign w:val="center"/>
          </w:tcPr>
          <w:p>
            <w:r/>
            <w:r>
              <w:rPr>
                <w:b w:val="0"/>
                <w:sz w:val="18"/>
              </w:rPr>
              <w:t>Seller not owner of record</w:t>
            </w:r>
          </w:p>
        </w:tc>
        <w:tc>
          <w:tcPr>
            <w:tcW w:type="dxa" w:w="3408"/>
            <w:vAlign w:val="center"/>
          </w:tcPr>
          <w:p>
            <w:r/>
            <w:r>
              <w:rPr>
                <w:b w:val="0"/>
                <w:sz w:val="18"/>
              </w:rPr>
              <w:t>High</w:t>
            </w:r>
          </w:p>
        </w:tc>
        <w:tc>
          <w:tcPr>
            <w:tcW w:type="dxa" w:w="3408"/>
            <w:vAlign w:val="center"/>
          </w:tcPr>
          <w:p>
            <w:r/>
            <w:r>
              <w:rPr>
                <w:b w:val="0"/>
                <w:sz w:val="18"/>
              </w:rPr>
              <w:t>Pause. Ask title company what authority is needed.</w:t>
            </w:r>
          </w:p>
        </w:tc>
      </w:tr>
      <w:tr>
        <w:tc>
          <w:tcPr>
            <w:tcW w:type="dxa" w:w="3408"/>
            <w:vAlign w:val="center"/>
          </w:tcPr>
          <w:p>
            <w:r/>
            <w:r>
              <w:rPr>
                <w:b w:val="0"/>
                <w:sz w:val="18"/>
              </w:rPr>
              <w:t>Deceased owner</w:t>
            </w:r>
          </w:p>
        </w:tc>
        <w:tc>
          <w:tcPr>
            <w:tcW w:type="dxa" w:w="3408"/>
            <w:vAlign w:val="center"/>
          </w:tcPr>
          <w:p>
            <w:r/>
            <w:r>
              <w:rPr>
                <w:b w:val="0"/>
                <w:sz w:val="18"/>
              </w:rPr>
              <w:t>High</w:t>
            </w:r>
          </w:p>
        </w:tc>
        <w:tc>
          <w:tcPr>
            <w:tcW w:type="dxa" w:w="3408"/>
            <w:vAlign w:val="center"/>
          </w:tcPr>
          <w:p>
            <w:r/>
            <w:r>
              <w:rPr>
                <w:b w:val="0"/>
                <w:sz w:val="18"/>
              </w:rPr>
              <w:t>Probate/heirship review required before closing.</w:t>
            </w:r>
          </w:p>
        </w:tc>
      </w:tr>
      <w:tr>
        <w:tc>
          <w:tcPr>
            <w:tcW w:type="dxa" w:w="3408"/>
            <w:vAlign w:val="center"/>
          </w:tcPr>
          <w:p>
            <w:r/>
            <w:r>
              <w:rPr>
                <w:b w:val="0"/>
                <w:sz w:val="18"/>
              </w:rPr>
              <w:t>Multiple owners missing</w:t>
            </w:r>
          </w:p>
        </w:tc>
        <w:tc>
          <w:tcPr>
            <w:tcW w:type="dxa" w:w="3408"/>
            <w:vAlign w:val="center"/>
          </w:tcPr>
          <w:p>
            <w:r/>
            <w:r>
              <w:rPr>
                <w:b w:val="0"/>
                <w:sz w:val="18"/>
              </w:rPr>
              <w:t>High</w:t>
            </w:r>
          </w:p>
        </w:tc>
        <w:tc>
          <w:tcPr>
            <w:tcW w:type="dxa" w:w="3408"/>
            <w:vAlign w:val="center"/>
          </w:tcPr>
          <w:p>
            <w:r/>
            <w:r>
              <w:rPr>
                <w:b w:val="0"/>
                <w:sz w:val="18"/>
              </w:rPr>
              <w:t>All required owners must sign or provide authority.</w:t>
            </w:r>
          </w:p>
        </w:tc>
      </w:tr>
      <w:tr>
        <w:tc>
          <w:tcPr>
            <w:tcW w:type="dxa" w:w="3408"/>
            <w:vAlign w:val="center"/>
          </w:tcPr>
          <w:p>
            <w:r/>
            <w:r>
              <w:rPr>
                <w:b w:val="0"/>
                <w:sz w:val="18"/>
              </w:rPr>
              <w:t>Old mortgage unreleased</w:t>
            </w:r>
          </w:p>
        </w:tc>
        <w:tc>
          <w:tcPr>
            <w:tcW w:type="dxa" w:w="3408"/>
            <w:vAlign w:val="center"/>
          </w:tcPr>
          <w:p>
            <w:r/>
            <w:r>
              <w:rPr>
                <w:b w:val="0"/>
                <w:sz w:val="18"/>
              </w:rPr>
              <w:t>Medium/High</w:t>
            </w:r>
          </w:p>
        </w:tc>
        <w:tc>
          <w:tcPr>
            <w:tcW w:type="dxa" w:w="3408"/>
            <w:vAlign w:val="center"/>
          </w:tcPr>
          <w:p>
            <w:r/>
            <w:r>
              <w:rPr>
                <w:b w:val="0"/>
                <w:sz w:val="18"/>
              </w:rPr>
              <w:t>Title company must obtain release or payoff.</w:t>
            </w:r>
          </w:p>
        </w:tc>
      </w:tr>
      <w:tr>
        <w:tc>
          <w:tcPr>
            <w:tcW w:type="dxa" w:w="3408"/>
            <w:vAlign w:val="center"/>
          </w:tcPr>
          <w:p>
            <w:r/>
            <w:r>
              <w:rPr>
                <w:b w:val="0"/>
                <w:sz w:val="18"/>
              </w:rPr>
              <w:t>Tax lien/judgment</w:t>
            </w:r>
          </w:p>
        </w:tc>
        <w:tc>
          <w:tcPr>
            <w:tcW w:type="dxa" w:w="3408"/>
            <w:vAlign w:val="center"/>
          </w:tcPr>
          <w:p>
            <w:r/>
            <w:r>
              <w:rPr>
                <w:b w:val="0"/>
                <w:sz w:val="18"/>
              </w:rPr>
              <w:t>Medium/High</w:t>
            </w:r>
          </w:p>
        </w:tc>
        <w:tc>
          <w:tcPr>
            <w:tcW w:type="dxa" w:w="3408"/>
            <w:vAlign w:val="center"/>
          </w:tcPr>
          <w:p>
            <w:r/>
            <w:r>
              <w:rPr>
                <w:b w:val="0"/>
                <w:sz w:val="18"/>
              </w:rPr>
              <w:t>Estimate payoff and confirm seller/closing treatment.</w:t>
            </w:r>
          </w:p>
        </w:tc>
      </w:tr>
      <w:tr>
        <w:tc>
          <w:tcPr>
            <w:tcW w:type="dxa" w:w="3408"/>
            <w:vAlign w:val="center"/>
          </w:tcPr>
          <w:p>
            <w:r/>
            <w:r>
              <w:rPr>
                <w:b w:val="0"/>
                <w:sz w:val="18"/>
              </w:rPr>
              <w:t>No recorded access</w:t>
            </w:r>
          </w:p>
        </w:tc>
        <w:tc>
          <w:tcPr>
            <w:tcW w:type="dxa" w:w="3408"/>
            <w:vAlign w:val="center"/>
          </w:tcPr>
          <w:p>
            <w:r/>
            <w:r>
              <w:rPr>
                <w:b w:val="0"/>
                <w:sz w:val="18"/>
              </w:rPr>
              <w:t>High</w:t>
            </w:r>
          </w:p>
        </w:tc>
        <w:tc>
          <w:tcPr>
            <w:tcW w:type="dxa" w:w="3408"/>
            <w:vAlign w:val="center"/>
          </w:tcPr>
          <w:p>
            <w:r/>
            <w:r>
              <w:rPr>
                <w:b w:val="0"/>
                <w:sz w:val="18"/>
              </w:rPr>
              <w:t>Do not market as accessible until resolved.</w:t>
            </w:r>
          </w:p>
        </w:tc>
      </w:tr>
      <w:tr>
        <w:tc>
          <w:tcPr>
            <w:tcW w:type="dxa" w:w="3408"/>
            <w:vAlign w:val="center"/>
          </w:tcPr>
          <w:p>
            <w:r/>
            <w:r>
              <w:rPr>
                <w:b w:val="0"/>
                <w:sz w:val="18"/>
              </w:rPr>
              <w:t>Deed restrictions</w:t>
            </w:r>
          </w:p>
        </w:tc>
        <w:tc>
          <w:tcPr>
            <w:tcW w:type="dxa" w:w="3408"/>
            <w:vAlign w:val="center"/>
          </w:tcPr>
          <w:p>
            <w:r/>
            <w:r>
              <w:rPr>
                <w:b w:val="0"/>
                <w:sz w:val="18"/>
              </w:rPr>
              <w:t>Medium</w:t>
            </w:r>
          </w:p>
        </w:tc>
        <w:tc>
          <w:tcPr>
            <w:tcW w:type="dxa" w:w="3408"/>
            <w:vAlign w:val="center"/>
          </w:tcPr>
          <w:p>
            <w:r/>
            <w:r>
              <w:rPr>
                <w:b w:val="0"/>
                <w:sz w:val="18"/>
              </w:rPr>
              <w:t>Review impact on buyer use and marketing.</w:t>
            </w:r>
          </w:p>
        </w:tc>
      </w:tr>
      <w:tr>
        <w:tc>
          <w:tcPr>
            <w:tcW w:type="dxa" w:w="3408"/>
            <w:vAlign w:val="center"/>
          </w:tcPr>
          <w:p>
            <w:r/>
            <w:r>
              <w:rPr>
                <w:b w:val="0"/>
                <w:sz w:val="18"/>
              </w:rPr>
              <w:t>Mineral reservation</w:t>
            </w:r>
          </w:p>
        </w:tc>
        <w:tc>
          <w:tcPr>
            <w:tcW w:type="dxa" w:w="3408"/>
            <w:vAlign w:val="center"/>
          </w:tcPr>
          <w:p>
            <w:r/>
            <w:r>
              <w:rPr>
                <w:b w:val="0"/>
                <w:sz w:val="18"/>
              </w:rPr>
              <w:t>Medium</w:t>
            </w:r>
          </w:p>
        </w:tc>
        <w:tc>
          <w:tcPr>
            <w:tcW w:type="dxa" w:w="3408"/>
            <w:vAlign w:val="center"/>
          </w:tcPr>
          <w:p>
            <w:r/>
            <w:r>
              <w:rPr>
                <w:b w:val="0"/>
                <w:sz w:val="18"/>
              </w:rPr>
              <w:t>Disclose where relevant; may be normal in some states.</w:t>
            </w:r>
          </w:p>
        </w:tc>
      </w:tr>
      <w:tr>
        <w:tc>
          <w:tcPr>
            <w:tcW w:type="dxa" w:w="3408"/>
            <w:vAlign w:val="center"/>
          </w:tcPr>
          <w:p>
            <w:r/>
            <w:r>
              <w:rPr>
                <w:b w:val="0"/>
                <w:sz w:val="18"/>
              </w:rPr>
              <w:t>HOA/POA dues</w:t>
            </w:r>
          </w:p>
        </w:tc>
        <w:tc>
          <w:tcPr>
            <w:tcW w:type="dxa" w:w="3408"/>
            <w:vAlign w:val="center"/>
          </w:tcPr>
          <w:p>
            <w:r/>
            <w:r>
              <w:rPr>
                <w:b w:val="0"/>
                <w:sz w:val="18"/>
              </w:rPr>
              <w:t>Medium</w:t>
            </w:r>
          </w:p>
        </w:tc>
        <w:tc>
          <w:tcPr>
            <w:tcW w:type="dxa" w:w="3408"/>
            <w:vAlign w:val="center"/>
          </w:tcPr>
          <w:p>
            <w:r/>
            <w:r>
              <w:rPr>
                <w:b w:val="0"/>
                <w:sz w:val="18"/>
              </w:rPr>
              <w:t>Verify transfer fees, restrictions, dues, and approval.</w:t>
            </w:r>
          </w:p>
        </w:tc>
      </w:tr>
      <w:tr>
        <w:tc>
          <w:tcPr>
            <w:tcW w:type="dxa" w:w="3408"/>
            <w:vAlign w:val="center"/>
          </w:tcPr>
          <w:p>
            <w:r/>
            <w:r>
              <w:rPr>
                <w:b w:val="0"/>
                <w:sz w:val="18"/>
              </w:rPr>
              <w:t>Legal description defect</w:t>
            </w:r>
          </w:p>
        </w:tc>
        <w:tc>
          <w:tcPr>
            <w:tcW w:type="dxa" w:w="3408"/>
            <w:vAlign w:val="center"/>
          </w:tcPr>
          <w:p>
            <w:r/>
            <w:r>
              <w:rPr>
                <w:b w:val="0"/>
                <w:sz w:val="18"/>
              </w:rPr>
              <w:t>High</w:t>
            </w:r>
          </w:p>
        </w:tc>
        <w:tc>
          <w:tcPr>
            <w:tcW w:type="dxa" w:w="3408"/>
            <w:vAlign w:val="center"/>
          </w:tcPr>
          <w:p>
            <w:r/>
            <w:r>
              <w:rPr>
                <w:b w:val="0"/>
                <w:sz w:val="18"/>
              </w:rPr>
              <w:t>Surveyor/title correction may be needed.</w:t>
            </w:r>
          </w:p>
        </w:tc>
      </w:tr>
    </w:tbl>
    <w:p/>
    <w:p>
      <w:pPr>
        <w:pStyle w:val="Heading1"/>
      </w:pPr>
      <w:r>
        <w:t>7. Assignment-Specific Title Questions</w:t>
      </w:r>
    </w:p>
    <w:p>
      <w:r>
        <w:t>☐ Will the closing agent allow an assignment of contract?</w:t>
      </w:r>
    </w:p>
    <w:p>
      <w:r>
        <w:t>☐ Does the original contract require seller consent?</w:t>
      </w:r>
    </w:p>
    <w:p>
      <w:r>
        <w:t>☐ Does the assignment fee appear on the settlement statement?</w:t>
      </w:r>
    </w:p>
    <w:p>
      <w:r>
        <w:t>☐ Will the assignment fee be paid through escrow at closing?</w:t>
      </w:r>
    </w:p>
    <w:p>
      <w:r>
        <w:t>☐ Does the buyer/assignee need to sign the purchase agreement assignment?</w:t>
      </w:r>
    </w:p>
    <w:p>
      <w:r>
        <w:t>☐ Does seller need notice of the assignee's identity?</w:t>
      </w:r>
    </w:p>
    <w:p>
      <w:r>
        <w:t>☐ Will the deed transfer directly from seller to assignee?</w:t>
      </w:r>
    </w:p>
    <w:p>
      <w:r>
        <w:t>☐ Are there state-specific rules requiring attorney preparation or review?</w:t>
      </w:r>
    </w:p>
    <w:p>
      <w:r>
        <w:t>☐ Are there brokerage, disclosure, or licensing concerns to refer to counsel?</w:t>
      </w:r>
    </w:p>
    <w:p>
      <w:pPr>
        <w:pStyle w:val="Heading1"/>
      </w:pPr>
      <w:r>
        <w:t>8. Title Review Decision Rules</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shd w:fill="D9EAF7"/>
          </w:tcPr>
          <w:p>
            <w:r/>
            <w:r>
              <w:rPr>
                <w:b/>
                <w:sz w:val="18"/>
              </w:rPr>
              <w:t>Finding</w:t>
            </w:r>
          </w:p>
        </w:tc>
        <w:tc>
          <w:tcPr>
            <w:tcW w:type="dxa" w:w="3408"/>
            <w:vAlign w:val="center"/>
            <w:shd w:fill="D9EAF7"/>
          </w:tcPr>
          <w:p>
            <w:r/>
            <w:r>
              <w:rPr>
                <w:b/>
                <w:sz w:val="18"/>
              </w:rPr>
              <w:t>Decision</w:t>
            </w:r>
          </w:p>
        </w:tc>
        <w:tc>
          <w:tcPr>
            <w:tcW w:type="dxa" w:w="3408"/>
            <w:vAlign w:val="center"/>
            <w:shd w:fill="D9EAF7"/>
          </w:tcPr>
          <w:p>
            <w:r/>
            <w:r>
              <w:rPr>
                <w:b/>
                <w:sz w:val="18"/>
              </w:rPr>
              <w:t>Next Action</w:t>
            </w:r>
          </w:p>
        </w:tc>
      </w:tr>
      <w:tr>
        <w:tc>
          <w:tcPr>
            <w:tcW w:type="dxa" w:w="3408"/>
            <w:vAlign w:val="center"/>
          </w:tcPr>
          <w:p>
            <w:r/>
            <w:r>
              <w:rPr>
                <w:b w:val="0"/>
                <w:sz w:val="18"/>
              </w:rPr>
              <w:t>Clear title, no material exceptions</w:t>
            </w:r>
          </w:p>
        </w:tc>
        <w:tc>
          <w:tcPr>
            <w:tcW w:type="dxa" w:w="3408"/>
            <w:vAlign w:val="center"/>
          </w:tcPr>
          <w:p>
            <w:r/>
            <w:r>
              <w:rPr>
                <w:b w:val="0"/>
                <w:sz w:val="18"/>
              </w:rPr>
              <w:t>Proceed</w:t>
            </w:r>
          </w:p>
        </w:tc>
        <w:tc>
          <w:tcPr>
            <w:tcW w:type="dxa" w:w="3408"/>
            <w:vAlign w:val="center"/>
          </w:tcPr>
          <w:p>
            <w:r/>
            <w:r>
              <w:rPr>
                <w:b w:val="0"/>
                <w:sz w:val="18"/>
              </w:rPr>
              <w:t>Move to closing coordination.</w:t>
            </w:r>
          </w:p>
        </w:tc>
      </w:tr>
      <w:tr>
        <w:tc>
          <w:tcPr>
            <w:tcW w:type="dxa" w:w="3408"/>
            <w:vAlign w:val="center"/>
          </w:tcPr>
          <w:p>
            <w:r/>
            <w:r>
              <w:rPr>
                <w:b w:val="0"/>
                <w:sz w:val="18"/>
              </w:rPr>
              <w:t>Curable lien/payoff</w:t>
            </w:r>
          </w:p>
        </w:tc>
        <w:tc>
          <w:tcPr>
            <w:tcW w:type="dxa" w:w="3408"/>
            <w:vAlign w:val="center"/>
          </w:tcPr>
          <w:p>
            <w:r/>
            <w:r>
              <w:rPr>
                <w:b w:val="0"/>
                <w:sz w:val="18"/>
              </w:rPr>
              <w:t>Proceed with caution</w:t>
            </w:r>
          </w:p>
        </w:tc>
        <w:tc>
          <w:tcPr>
            <w:tcW w:type="dxa" w:w="3408"/>
            <w:vAlign w:val="center"/>
          </w:tcPr>
          <w:p>
            <w:r/>
            <w:r>
              <w:rPr>
                <w:b w:val="0"/>
                <w:sz w:val="18"/>
              </w:rPr>
              <w:t>Confirm payoff and net seller expectation.</w:t>
            </w:r>
          </w:p>
        </w:tc>
      </w:tr>
      <w:tr>
        <w:tc>
          <w:tcPr>
            <w:tcW w:type="dxa" w:w="3408"/>
            <w:vAlign w:val="center"/>
          </w:tcPr>
          <w:p>
            <w:r/>
            <w:r>
              <w:rPr>
                <w:b w:val="0"/>
                <w:sz w:val="18"/>
              </w:rPr>
              <w:t>Probate/heirs unresolved</w:t>
            </w:r>
          </w:p>
        </w:tc>
        <w:tc>
          <w:tcPr>
            <w:tcW w:type="dxa" w:w="3408"/>
            <w:vAlign w:val="center"/>
          </w:tcPr>
          <w:p>
            <w:r/>
            <w:r>
              <w:rPr>
                <w:b w:val="0"/>
                <w:sz w:val="18"/>
              </w:rPr>
              <w:t>Pause</w:t>
            </w:r>
          </w:p>
        </w:tc>
        <w:tc>
          <w:tcPr>
            <w:tcW w:type="dxa" w:w="3408"/>
            <w:vAlign w:val="center"/>
          </w:tcPr>
          <w:p>
            <w:r/>
            <w:r>
              <w:rPr>
                <w:b w:val="0"/>
                <w:sz w:val="18"/>
              </w:rPr>
              <w:t>Escalate to title/legal; do not promise closing date.</w:t>
            </w:r>
          </w:p>
        </w:tc>
      </w:tr>
      <w:tr>
        <w:tc>
          <w:tcPr>
            <w:tcW w:type="dxa" w:w="3408"/>
            <w:vAlign w:val="center"/>
          </w:tcPr>
          <w:p>
            <w:r/>
            <w:r>
              <w:rPr>
                <w:b w:val="0"/>
                <w:sz w:val="18"/>
              </w:rPr>
              <w:t>No legal access</w:t>
            </w:r>
          </w:p>
        </w:tc>
        <w:tc>
          <w:tcPr>
            <w:tcW w:type="dxa" w:w="3408"/>
            <w:vAlign w:val="center"/>
          </w:tcPr>
          <w:p>
            <w:r/>
            <w:r>
              <w:rPr>
                <w:b w:val="0"/>
                <w:sz w:val="18"/>
              </w:rPr>
              <w:t>Major risk</w:t>
            </w:r>
          </w:p>
        </w:tc>
        <w:tc>
          <w:tcPr>
            <w:tcW w:type="dxa" w:w="3408"/>
            <w:vAlign w:val="center"/>
          </w:tcPr>
          <w:p>
            <w:r/>
            <w:r>
              <w:rPr>
                <w:b w:val="0"/>
                <w:sz w:val="18"/>
              </w:rPr>
              <w:t>Reject, renegotiate, or disclose and price accordingly.</w:t>
            </w:r>
          </w:p>
        </w:tc>
      </w:tr>
      <w:tr>
        <w:tc>
          <w:tcPr>
            <w:tcW w:type="dxa" w:w="3408"/>
            <w:vAlign w:val="center"/>
          </w:tcPr>
          <w:p>
            <w:r/>
            <w:r>
              <w:rPr>
                <w:b w:val="0"/>
                <w:sz w:val="18"/>
              </w:rPr>
              <w:t>Restrictions conflict with buyer use</w:t>
            </w:r>
          </w:p>
        </w:tc>
        <w:tc>
          <w:tcPr>
            <w:tcW w:type="dxa" w:w="3408"/>
            <w:vAlign w:val="center"/>
          </w:tcPr>
          <w:p>
            <w:r/>
            <w:r>
              <w:rPr>
                <w:b w:val="0"/>
                <w:sz w:val="18"/>
              </w:rPr>
              <w:t>Renegotiate/reject</w:t>
            </w:r>
          </w:p>
        </w:tc>
        <w:tc>
          <w:tcPr>
            <w:tcW w:type="dxa" w:w="3408"/>
            <w:vAlign w:val="center"/>
          </w:tcPr>
          <w:p>
            <w:r/>
            <w:r>
              <w:rPr>
                <w:b w:val="0"/>
                <w:sz w:val="18"/>
              </w:rPr>
              <w:t>Do not conceal restrictions.</w:t>
            </w:r>
          </w:p>
        </w:tc>
      </w:tr>
      <w:tr>
        <w:tc>
          <w:tcPr>
            <w:tcW w:type="dxa" w:w="3408"/>
            <w:vAlign w:val="center"/>
          </w:tcPr>
          <w:p>
            <w:r/>
            <w:r>
              <w:rPr>
                <w:b w:val="0"/>
                <w:sz w:val="18"/>
              </w:rPr>
              <w:t>Assignment not allowed</w:t>
            </w:r>
          </w:p>
        </w:tc>
        <w:tc>
          <w:tcPr>
            <w:tcW w:type="dxa" w:w="3408"/>
            <w:vAlign w:val="center"/>
          </w:tcPr>
          <w:p>
            <w:r/>
            <w:r>
              <w:rPr>
                <w:b w:val="0"/>
                <w:sz w:val="18"/>
              </w:rPr>
              <w:t>Restructure</w:t>
            </w:r>
          </w:p>
        </w:tc>
        <w:tc>
          <w:tcPr>
            <w:tcW w:type="dxa" w:w="3408"/>
            <w:vAlign w:val="center"/>
          </w:tcPr>
          <w:p>
            <w:r/>
            <w:r>
              <w:rPr>
                <w:b w:val="0"/>
                <w:sz w:val="18"/>
              </w:rPr>
              <w:t>Manager/legal review required.</w:t>
            </w:r>
          </w:p>
        </w:tc>
      </w:tr>
    </w:tbl>
    <w:p/>
    <w:p>
      <w:pPr>
        <w:pStyle w:val="Heading1"/>
      </w:pPr>
      <w:r>
        <w:t>9. CRM Title Review Note Template</w:t>
      </w:r>
    </w:p>
    <w:p>
      <w:r>
        <w:t>Title Review - [Date]. Title company: [____]. File #: [____]. Owner confirmed: [yes/no]. Requirements: [____]. Exceptions: [____]. Taxes/payoffs: [____]. Assignment allowed: [yes/no/needs consent]. Seller docs needed: [____]. Buyer docs needed: [____]. Red flags: [____]. Recommendation: [Proceed / Pause / Escalate / Reject].</w:t>
      </w:r>
    </w:p>
    <w:p>
      <w:pPr>
        <w:pStyle w:val="Heading1"/>
      </w:pPr>
      <w:r>
        <w:t>10. Closing Coordinator Quality Standard</w:t>
      </w:r>
    </w:p>
    <w:p>
      <w:r>
        <w:t>☐ No closing scheduled until required signers are identified.</w:t>
      </w:r>
    </w:p>
    <w:p>
      <w:r>
        <w:t>☐ No assignment fee assumed unless closing agent confirms disbursement method.</w:t>
      </w:r>
    </w:p>
    <w:p>
      <w:r>
        <w:t>☐ No buyer marketing claims that conflict with title exceptions.</w:t>
      </w:r>
    </w:p>
    <w:p>
      <w:r>
        <w:t>☐ No unresolved probate or authority issue ignored.</w:t>
      </w:r>
    </w:p>
    <w:p>
      <w:r>
        <w:t>☐ All title red flags are logged in CRM.</w:t>
      </w:r>
    </w:p>
    <w:p>
      <w:r>
        <w:t>☐ Manager is notified of any issue that could kill, delay, or materially reduce the deal.</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PRG LandTech - Member SOP Library - Internal Training Resource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